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43FA" w:rsidRDefault="00000000">
      <w:pPr>
        <w:spacing w:line="48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Carbon quantum dots fluorescence molecular imprinting sensor was fabricated using surface molecular imprinting technique to detect chloramphenicol </w:t>
      </w:r>
      <w:r>
        <w:rPr>
          <w:rFonts w:ascii="Times New Roman" w:hAnsi="Times New Roman" w:cs="Times New Roman" w:hint="eastAsia"/>
          <w:b/>
          <w:bCs/>
          <w:sz w:val="32"/>
          <w:szCs w:val="32"/>
        </w:rPr>
        <w:t>in</w:t>
      </w:r>
      <w:r>
        <w:rPr>
          <w:rFonts w:ascii="Times New Roman" w:hAnsi="Times New Roman" w:cs="Times New Roman"/>
          <w:b/>
          <w:bCs/>
          <w:sz w:val="32"/>
          <w:szCs w:val="32"/>
        </w:rPr>
        <w:t xml:space="preserve"> </w:t>
      </w:r>
      <w:r>
        <w:rPr>
          <w:rFonts w:ascii="Times New Roman" w:hAnsi="Times New Roman" w:cs="Times New Roman" w:hint="eastAsia"/>
          <w:b/>
          <w:bCs/>
          <w:sz w:val="32"/>
          <w:szCs w:val="32"/>
        </w:rPr>
        <w:t>food</w:t>
      </w:r>
    </w:p>
    <w:p w:rsidR="00D843FA" w:rsidRDefault="00000000">
      <w:pPr>
        <w:spacing w:line="480" w:lineRule="auto"/>
        <w:jc w:val="center"/>
        <w:rPr>
          <w:rFonts w:ascii="Times New Roman" w:hAnsi="Times New Roman" w:cs="Times New Roman"/>
          <w:sz w:val="24"/>
          <w:szCs w:val="24"/>
          <w:vertAlign w:val="superscript"/>
        </w:rPr>
      </w:pPr>
      <w:r>
        <w:rPr>
          <w:rFonts w:ascii="Times New Roman" w:hAnsi="Times New Roman" w:cs="Times New Roman"/>
          <w:sz w:val="24"/>
          <w:szCs w:val="24"/>
        </w:rPr>
        <w:t>H</w:t>
      </w:r>
      <w:r>
        <w:rPr>
          <w:rFonts w:ascii="Times New Roman" w:hAnsi="Times New Roman" w:cs="Times New Roman" w:hint="eastAsia"/>
          <w:sz w:val="24"/>
          <w:szCs w:val="24"/>
        </w:rPr>
        <w:t>ao</w:t>
      </w:r>
      <w:r>
        <w:rPr>
          <w:rFonts w:ascii="Times New Roman" w:hAnsi="Times New Roman" w:cs="Times New Roman"/>
          <w:sz w:val="24"/>
          <w:szCs w:val="24"/>
        </w:rPr>
        <w:t xml:space="preserve"> L</w:t>
      </w:r>
      <w:r>
        <w:rPr>
          <w:rFonts w:ascii="Times New Roman" w:hAnsi="Times New Roman" w:cs="Times New Roman" w:hint="eastAsia"/>
          <w:sz w:val="24"/>
          <w:szCs w:val="24"/>
        </w:rPr>
        <w:t>iu</w:t>
      </w:r>
      <w:r>
        <w:rPr>
          <w:rFonts w:ascii="Times New Roman" w:hAnsi="Times New Roman" w:cs="Times New Roman"/>
          <w:sz w:val="24"/>
          <w:szCs w:val="24"/>
        </w:rPr>
        <w:t xml:space="preserve"> </w:t>
      </w:r>
      <w:r w:rsidR="00922A47">
        <w:rPr>
          <w:rFonts w:ascii="Times New Roman" w:hAnsi="Times New Roman" w:cs="Times New Roman"/>
          <w:sz w:val="24"/>
          <w:szCs w:val="24"/>
          <w:vertAlign w:val="superscript"/>
        </w:rPr>
        <w:t>1</w:t>
      </w:r>
      <w:r>
        <w:rPr>
          <w:rFonts w:ascii="Times New Roman" w:hAnsi="Times New Roman" w:cs="Times New Roman" w:hint="eastAsia"/>
          <w:sz w:val="24"/>
          <w:szCs w:val="24"/>
        </w:rPr>
        <w:t>,</w:t>
      </w:r>
      <w:r>
        <w:rPr>
          <w:rFonts w:ascii="Times New Roman" w:hAnsi="Times New Roman" w:cs="Times New Roman"/>
          <w:sz w:val="24"/>
          <w:szCs w:val="24"/>
        </w:rPr>
        <w:t xml:space="preserve"> Jing Yang </w:t>
      </w:r>
      <w:r w:rsidR="00922A47">
        <w:rPr>
          <w:rFonts w:ascii="Times New Roman" w:hAnsi="Times New Roman" w:cs="Times New Roman"/>
          <w:sz w:val="24"/>
          <w:szCs w:val="24"/>
          <w:vertAlign w:val="superscript"/>
        </w:rPr>
        <w:t>1</w:t>
      </w:r>
      <w:r>
        <w:rPr>
          <w:rFonts w:ascii="Times New Roman" w:hAnsi="Times New Roman" w:cs="Times New Roman"/>
          <w:sz w:val="24"/>
          <w:szCs w:val="24"/>
        </w:rPr>
        <w:t>, Xuyuan Sun</w:t>
      </w:r>
      <w:r w:rsidR="00922A47">
        <w:rPr>
          <w:rFonts w:ascii="Times New Roman" w:hAnsi="Times New Roman" w:cs="Times New Roman"/>
          <w:sz w:val="24"/>
          <w:szCs w:val="24"/>
          <w:vertAlign w:val="superscript"/>
        </w:rPr>
        <w:t>1</w:t>
      </w:r>
      <w:r>
        <w:rPr>
          <w:rFonts w:ascii="Times New Roman" w:hAnsi="Times New Roman" w:cs="Times New Roman"/>
          <w:sz w:val="24"/>
          <w:szCs w:val="24"/>
        </w:rPr>
        <w:t xml:space="preserve">, Yan Huang </w:t>
      </w:r>
      <w:r w:rsidR="00922A47">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Pr>
          <w:rFonts w:ascii="Times New Roman" w:hAnsi="Times New Roman" w:cs="Times New Roman" w:hint="eastAsia"/>
          <w:sz w:val="24"/>
          <w:szCs w:val="24"/>
        </w:rPr>
        <w:t>Li</w:t>
      </w:r>
      <w:r>
        <w:rPr>
          <w:rFonts w:ascii="Times New Roman" w:hAnsi="Times New Roman" w:cs="Times New Roman"/>
          <w:sz w:val="24"/>
          <w:szCs w:val="24"/>
        </w:rPr>
        <w:t xml:space="preserve"> L</w:t>
      </w:r>
      <w:r>
        <w:rPr>
          <w:rFonts w:ascii="Times New Roman" w:hAnsi="Times New Roman" w:cs="Times New Roman" w:hint="eastAsia"/>
          <w:sz w:val="24"/>
          <w:szCs w:val="24"/>
        </w:rPr>
        <w:t>i</w:t>
      </w:r>
      <w:r>
        <w:rPr>
          <w:rFonts w:ascii="Times New Roman" w:hAnsi="Times New Roman" w:cs="Times New Roman"/>
          <w:sz w:val="24"/>
          <w:szCs w:val="24"/>
        </w:rPr>
        <w:t xml:space="preserve"> </w:t>
      </w:r>
      <w:r w:rsidR="00922A4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w:t>
      </w:r>
      <w:r>
        <w:rPr>
          <w:rFonts w:ascii="Times New Roman" w:hAnsi="Times New Roman" w:cs="Times New Roman"/>
          <w:sz w:val="24"/>
          <w:szCs w:val="24"/>
        </w:rPr>
        <w:t xml:space="preserve">, </w:t>
      </w:r>
      <w:r>
        <w:rPr>
          <w:rFonts w:ascii="Times New Roman" w:hAnsi="Times New Roman" w:cs="Times New Roman" w:hint="eastAsia"/>
          <w:sz w:val="24"/>
          <w:szCs w:val="24"/>
        </w:rPr>
        <w:t>Y</w:t>
      </w:r>
      <w:r>
        <w:rPr>
          <w:rFonts w:ascii="Times New Roman" w:hAnsi="Times New Roman" w:cs="Times New Roman"/>
          <w:sz w:val="24"/>
          <w:szCs w:val="24"/>
        </w:rPr>
        <w:t xml:space="preserve">aping Ding </w:t>
      </w:r>
      <w:r w:rsidR="00922A4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w:t>
      </w:r>
    </w:p>
    <w:p w:rsidR="00D843FA" w:rsidRDefault="00922A47">
      <w:pPr>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hint="eastAsia"/>
          <w:sz w:val="24"/>
          <w:szCs w:val="24"/>
          <w:vertAlign w:val="superscript"/>
        </w:rPr>
        <w:t xml:space="preserve"> </w:t>
      </w:r>
      <w:r>
        <w:rPr>
          <w:rFonts w:ascii="Times New Roman" w:hAnsi="Times New Roman" w:cs="Times New Roman"/>
          <w:sz w:val="24"/>
          <w:szCs w:val="24"/>
        </w:rPr>
        <w:t>Department of Chemistry, College of Sciences, Shanghai University, Shanghai 200444, PR China</w:t>
      </w:r>
    </w:p>
    <w:p w:rsidR="00601524" w:rsidRPr="0057709B" w:rsidRDefault="00601524" w:rsidP="00601524">
      <w:pPr>
        <w:pStyle w:val="10"/>
        <w:snapToGrid w:val="0"/>
        <w:spacing w:line="360" w:lineRule="auto"/>
        <w:rPr>
          <w:rFonts w:ascii="Times New Roman" w:eastAsiaTheme="minorEastAsia" w:hAnsi="Times New Roman"/>
        </w:rPr>
      </w:pPr>
      <w:r w:rsidRPr="0057709B">
        <w:rPr>
          <w:rFonts w:ascii="Times New Roman" w:eastAsiaTheme="minorEastAsia" w:hAnsi="Times New Roman"/>
        </w:rPr>
        <w:t>*Corresponding author Tel: +86−21−66134734;</w:t>
      </w:r>
    </w:p>
    <w:p w:rsidR="00601524" w:rsidRPr="00601524" w:rsidRDefault="00601524" w:rsidP="00601524">
      <w:pPr>
        <w:spacing w:line="360" w:lineRule="auto"/>
        <w:rPr>
          <w:rFonts w:ascii="Times New Roman" w:hAnsi="Times New Roman" w:cs="Times New Roman"/>
          <w:sz w:val="24"/>
          <w:szCs w:val="24"/>
        </w:rPr>
      </w:pPr>
      <w:r w:rsidRPr="0057709B">
        <w:rPr>
          <w:rFonts w:ascii="Times New Roman" w:hAnsi="Times New Roman" w:cs="Times New Roman"/>
          <w:sz w:val="24"/>
          <w:szCs w:val="24"/>
        </w:rPr>
        <w:t xml:space="preserve">E-mail address: </w:t>
      </w:r>
      <w:hyperlink r:id="rId8" w:history="1">
        <w:r w:rsidRPr="0057709B">
          <w:rPr>
            <w:rFonts w:ascii="Times New Roman" w:hAnsi="Times New Roman" w:cs="Times New Roman"/>
            <w:sz w:val="24"/>
            <w:szCs w:val="24"/>
          </w:rPr>
          <w:t>lilidu@shu.edu.cn</w:t>
        </w:r>
      </w:hyperlink>
      <w:r w:rsidRPr="0057709B">
        <w:rPr>
          <w:rFonts w:ascii="Times New Roman" w:hAnsi="Times New Roman" w:cs="Times New Roman"/>
          <w:sz w:val="24"/>
          <w:szCs w:val="24"/>
        </w:rPr>
        <w:t xml:space="preserve">(L. Li), </w:t>
      </w:r>
      <w:hyperlink r:id="rId9" w:history="1">
        <w:r w:rsidRPr="0057709B">
          <w:rPr>
            <w:rFonts w:ascii="Times New Roman" w:hAnsi="Times New Roman" w:cs="Times New Roman"/>
            <w:sz w:val="24"/>
            <w:szCs w:val="24"/>
          </w:rPr>
          <w:t>wdingyp@sina.com</w:t>
        </w:r>
      </w:hyperlink>
      <w:r w:rsidRPr="0057709B">
        <w:rPr>
          <w:rFonts w:ascii="Times New Roman" w:hAnsi="Times New Roman" w:cs="Times New Roman"/>
          <w:sz w:val="24"/>
          <w:szCs w:val="24"/>
        </w:rPr>
        <w:t>(Y.P. Ding)</w:t>
      </w:r>
    </w:p>
    <w:p w:rsidR="00D843FA" w:rsidRDefault="00000000">
      <w:pPr>
        <w:spacing w:line="480" w:lineRule="auto"/>
        <w:ind w:firstLineChars="200" w:firstLine="480"/>
        <w:rPr>
          <w:rFonts w:ascii="Times New Roman" w:hAnsi="Times New Roman" w:cs="Times New Roman"/>
          <w:sz w:val="24"/>
          <w:szCs w:val="24"/>
        </w:rPr>
      </w:pPr>
      <w:r>
        <w:rPr>
          <w:rFonts w:ascii="Times New Roman" w:eastAsia="等线" w:hAnsi="Times New Roman" w:cs="Times New Roman"/>
          <w:sz w:val="24"/>
          <w:szCs w:val="24"/>
          <w:lang w:bidi="ar"/>
        </w:rPr>
        <w:t>CDs have been widely used in various aspects due to their unique advantages. Yang et al. synthesized carbon quantum dots by hydrothermal method, combined with silver nanoclusters to design a ratio fluorescence probe for detecting sulfur ions</w:t>
      </w:r>
      <w:r w:rsidR="00922A47">
        <w:rPr>
          <w:rFonts w:ascii="Times New Roman" w:eastAsia="等线" w:hAnsi="Times New Roman" w:cs="Times New Roman"/>
          <w:sz w:val="24"/>
          <w:szCs w:val="24"/>
          <w:lang w:bidi="ar"/>
        </w:rPr>
        <w:t xml:space="preserve"> </w:t>
      </w:r>
      <w:r w:rsidR="00E2232E">
        <w:rPr>
          <w:rFonts w:ascii="Times New Roman" w:eastAsia="等线" w:hAnsi="Times New Roman" w:cs="Times New Roman"/>
          <w:sz w:val="24"/>
          <w:szCs w:val="24"/>
          <w:lang w:bidi="ar"/>
        </w:rPr>
        <w:fldChar w:fldCharType="begin"/>
      </w:r>
      <w:r w:rsidR="00E2232E">
        <w:rPr>
          <w:rFonts w:ascii="Times New Roman" w:eastAsia="等线" w:hAnsi="Times New Roman" w:cs="Times New Roman"/>
          <w:sz w:val="24"/>
          <w:szCs w:val="24"/>
          <w:lang w:bidi="ar"/>
        </w:rPr>
        <w:instrText xml:space="preserve"> REF d8 \r \h </w:instrText>
      </w:r>
      <w:r w:rsidR="00E2232E">
        <w:rPr>
          <w:rFonts w:ascii="Times New Roman" w:eastAsia="等线" w:hAnsi="Times New Roman" w:cs="Times New Roman"/>
          <w:sz w:val="24"/>
          <w:szCs w:val="24"/>
          <w:lang w:bidi="ar"/>
        </w:rPr>
      </w:r>
      <w:r w:rsidR="00E2232E">
        <w:rPr>
          <w:rFonts w:ascii="Times New Roman" w:eastAsia="等线" w:hAnsi="Times New Roman" w:cs="Times New Roman"/>
          <w:sz w:val="24"/>
          <w:szCs w:val="24"/>
          <w:lang w:bidi="ar"/>
        </w:rPr>
        <w:fldChar w:fldCharType="separate"/>
      </w:r>
      <w:r w:rsidR="00E2232E">
        <w:rPr>
          <w:rFonts w:ascii="Times New Roman" w:eastAsia="等线" w:hAnsi="Times New Roman" w:cs="Times New Roman"/>
          <w:sz w:val="24"/>
          <w:szCs w:val="24"/>
          <w:lang w:bidi="ar"/>
        </w:rPr>
        <w:t>[1]</w:t>
      </w:r>
      <w:r w:rsidR="00E2232E">
        <w:rPr>
          <w:rFonts w:ascii="Times New Roman" w:eastAsia="等线" w:hAnsi="Times New Roman" w:cs="Times New Roman"/>
          <w:sz w:val="24"/>
          <w:szCs w:val="24"/>
          <w:lang w:bidi="ar"/>
        </w:rPr>
        <w:fldChar w:fldCharType="end"/>
      </w:r>
      <w:r>
        <w:rPr>
          <w:rFonts w:ascii="Times New Roman" w:eastAsia="等线" w:hAnsi="Times New Roman" w:cs="Times New Roman"/>
          <w:sz w:val="24"/>
          <w:szCs w:val="24"/>
          <w:lang w:bidi="ar"/>
        </w:rPr>
        <w:t>; Zhang et al. synthesized blue-yellow luminescent carbon dots using hydrothermal method, combined with curcumin, for a sensor for fluorescence detection of fluoride ions</w:t>
      </w:r>
      <w:r w:rsidR="00922A47">
        <w:rPr>
          <w:rFonts w:ascii="Times New Roman" w:eastAsia="等线" w:hAnsi="Times New Roman" w:cs="Times New Roman"/>
          <w:sz w:val="24"/>
          <w:szCs w:val="24"/>
          <w:lang w:bidi="ar"/>
        </w:rPr>
        <w:t xml:space="preserve"> </w:t>
      </w:r>
      <w:r w:rsidR="00E2232E">
        <w:rPr>
          <w:rFonts w:ascii="Times New Roman" w:eastAsia="等线" w:hAnsi="Times New Roman" w:cs="Times New Roman"/>
          <w:sz w:val="24"/>
          <w:szCs w:val="24"/>
          <w:lang w:bidi="ar"/>
        </w:rPr>
        <w:fldChar w:fldCharType="begin"/>
      </w:r>
      <w:r w:rsidR="00E2232E">
        <w:rPr>
          <w:rFonts w:ascii="Times New Roman" w:eastAsia="等线" w:hAnsi="Times New Roman" w:cs="Times New Roman"/>
          <w:sz w:val="24"/>
          <w:szCs w:val="24"/>
          <w:lang w:bidi="ar"/>
        </w:rPr>
        <w:instrText xml:space="preserve"> REF _Ref134526191 \r \h </w:instrText>
      </w:r>
      <w:r w:rsidR="00E2232E">
        <w:rPr>
          <w:rFonts w:ascii="Times New Roman" w:eastAsia="等线" w:hAnsi="Times New Roman" w:cs="Times New Roman"/>
          <w:sz w:val="24"/>
          <w:szCs w:val="24"/>
          <w:lang w:bidi="ar"/>
        </w:rPr>
      </w:r>
      <w:r w:rsidR="00E2232E">
        <w:rPr>
          <w:rFonts w:ascii="Times New Roman" w:eastAsia="等线" w:hAnsi="Times New Roman" w:cs="Times New Roman"/>
          <w:sz w:val="24"/>
          <w:szCs w:val="24"/>
          <w:lang w:bidi="ar"/>
        </w:rPr>
        <w:fldChar w:fldCharType="separate"/>
      </w:r>
      <w:r w:rsidR="00E2232E">
        <w:rPr>
          <w:rFonts w:ascii="Times New Roman" w:eastAsia="等线" w:hAnsi="Times New Roman" w:cs="Times New Roman"/>
          <w:sz w:val="24"/>
          <w:szCs w:val="24"/>
          <w:lang w:bidi="ar"/>
        </w:rPr>
        <w:t>[2]</w:t>
      </w:r>
      <w:r w:rsidR="00E2232E">
        <w:rPr>
          <w:rFonts w:ascii="Times New Roman" w:eastAsia="等线" w:hAnsi="Times New Roman" w:cs="Times New Roman"/>
          <w:sz w:val="24"/>
          <w:szCs w:val="24"/>
          <w:lang w:bidi="ar"/>
        </w:rPr>
        <w:fldChar w:fldCharType="end"/>
      </w:r>
      <w:r>
        <w:rPr>
          <w:rFonts w:ascii="Times New Roman" w:eastAsia="等线" w:hAnsi="Times New Roman" w:cs="Times New Roman"/>
          <w:sz w:val="24"/>
          <w:szCs w:val="24"/>
          <w:lang w:bidi="ar"/>
        </w:rPr>
        <w:t>; Cui et al. prepared near infrared emission carbon quantum dots by hydrothermal method, combined with aptamers, for the detection of ofloxacin</w:t>
      </w:r>
      <w:r w:rsidR="00922A47">
        <w:rPr>
          <w:rFonts w:ascii="Times New Roman" w:eastAsia="等线" w:hAnsi="Times New Roman" w:cs="Times New Roman"/>
          <w:sz w:val="24"/>
          <w:szCs w:val="24"/>
          <w:lang w:bidi="ar"/>
        </w:rPr>
        <w:t xml:space="preserve"> </w:t>
      </w:r>
      <w:r w:rsidR="00E2232E">
        <w:rPr>
          <w:rFonts w:ascii="Times New Roman" w:eastAsia="等线" w:hAnsi="Times New Roman" w:cs="Times New Roman"/>
          <w:sz w:val="24"/>
          <w:szCs w:val="24"/>
          <w:lang w:bidi="ar"/>
        </w:rPr>
        <w:fldChar w:fldCharType="begin"/>
      </w:r>
      <w:r w:rsidR="00E2232E">
        <w:rPr>
          <w:rFonts w:ascii="Times New Roman" w:eastAsia="等线" w:hAnsi="Times New Roman" w:cs="Times New Roman"/>
          <w:sz w:val="24"/>
          <w:szCs w:val="24"/>
          <w:lang w:bidi="ar"/>
        </w:rPr>
        <w:instrText xml:space="preserve"> REF _Ref134526201 \r \h </w:instrText>
      </w:r>
      <w:r w:rsidR="00E2232E">
        <w:rPr>
          <w:rFonts w:ascii="Times New Roman" w:eastAsia="等线" w:hAnsi="Times New Roman" w:cs="Times New Roman"/>
          <w:sz w:val="24"/>
          <w:szCs w:val="24"/>
          <w:lang w:bidi="ar"/>
        </w:rPr>
      </w:r>
      <w:r w:rsidR="00E2232E">
        <w:rPr>
          <w:rFonts w:ascii="Times New Roman" w:eastAsia="等线" w:hAnsi="Times New Roman" w:cs="Times New Roman"/>
          <w:sz w:val="24"/>
          <w:szCs w:val="24"/>
          <w:lang w:bidi="ar"/>
        </w:rPr>
        <w:fldChar w:fldCharType="separate"/>
      </w:r>
      <w:r w:rsidR="00E2232E">
        <w:rPr>
          <w:rFonts w:ascii="Times New Roman" w:eastAsia="等线" w:hAnsi="Times New Roman" w:cs="Times New Roman"/>
          <w:sz w:val="24"/>
          <w:szCs w:val="24"/>
          <w:lang w:bidi="ar"/>
        </w:rPr>
        <w:t>[3]</w:t>
      </w:r>
      <w:r w:rsidR="00E2232E">
        <w:rPr>
          <w:rFonts w:ascii="Times New Roman" w:eastAsia="等线" w:hAnsi="Times New Roman" w:cs="Times New Roman"/>
          <w:sz w:val="24"/>
          <w:szCs w:val="24"/>
          <w:lang w:bidi="ar"/>
        </w:rPr>
        <w:fldChar w:fldCharType="end"/>
      </w:r>
      <w:r>
        <w:rPr>
          <w:rFonts w:ascii="Times New Roman" w:eastAsia="等线" w:hAnsi="Times New Roman" w:cs="Times New Roman"/>
          <w:sz w:val="24"/>
          <w:szCs w:val="24"/>
          <w:lang w:bidi="ar"/>
        </w:rPr>
        <w:t xml:space="preserve">. Hydrothermal synthesis of carbon quantum dots has attracted a lot of attention due to its simple operation and high quantum yield. In this paper, we used the hydrothermal method to prepare carbon quantum dots. Blue carbon quantum dots were prepared using citric acid as the carbon source and ethylenediamine as the nitrogen source. </w:t>
      </w:r>
    </w:p>
    <w:p w:rsidR="00D843FA" w:rsidRDefault="00000000">
      <w:pPr>
        <w:spacing w:line="480" w:lineRule="auto"/>
        <w:ind w:firstLineChars="200" w:firstLine="480"/>
        <w:rPr>
          <w:rFonts w:ascii="Times New Roman" w:hAnsi="Times New Roman" w:cs="Times New Roman"/>
          <w:sz w:val="24"/>
          <w:szCs w:val="24"/>
        </w:rPr>
      </w:pPr>
      <w:r>
        <w:rPr>
          <w:rFonts w:ascii="Times New Roman" w:eastAsia="等线" w:hAnsi="Times New Roman" w:cs="Times New Roman"/>
          <w:sz w:val="24"/>
          <w:szCs w:val="24"/>
          <w:lang w:bidi="ar"/>
        </w:rPr>
        <w:t>APTES were used as functional monomers in molecular imprinted polymers. Orachorn et al. used APTES as functional monomers to prepare molecular imprinted adsorbent for extracting</w:t>
      </w:r>
      <w:r>
        <w:rPr>
          <w:rFonts w:ascii="等线" w:eastAsia="等线" w:hAnsi="等线" w:cs="Times New Roman" w:hint="eastAsia"/>
          <w:lang w:bidi="ar"/>
        </w:rPr>
        <w:t xml:space="preserve"> </w:t>
      </w:r>
      <w:r>
        <w:rPr>
          <w:rFonts w:ascii="Times New Roman" w:eastAsia="等线" w:hAnsi="Times New Roman" w:cs="Times New Roman"/>
          <w:sz w:val="24"/>
          <w:szCs w:val="24"/>
          <w:lang w:bidi="ar"/>
        </w:rPr>
        <w:t>nonsteroidal anti</w:t>
      </w:r>
      <w:r>
        <w:rPr>
          <w:rFonts w:ascii="Times New Roman" w:eastAsia="等线" w:hAnsi="Times New Roman" w:cs="Times New Roman"/>
          <w:sz w:val="24"/>
          <w:szCs w:val="24"/>
          <w:lang w:bidi="ar"/>
        </w:rPr>
        <w:noBreakHyphen/>
        <w:t>inflammatory drugs from milk</w:t>
      </w:r>
      <w:r w:rsidR="00922A47">
        <w:rPr>
          <w:rFonts w:ascii="Times New Roman" w:eastAsia="等线" w:hAnsi="Times New Roman" w:cs="Times New Roman"/>
          <w:sz w:val="24"/>
          <w:szCs w:val="24"/>
          <w:lang w:bidi="ar"/>
        </w:rPr>
        <w:t xml:space="preserve"> </w:t>
      </w:r>
      <w:r w:rsidR="00E2232E">
        <w:rPr>
          <w:rFonts w:ascii="Times New Roman" w:eastAsia="等线" w:hAnsi="Times New Roman" w:cs="Times New Roman"/>
          <w:sz w:val="24"/>
          <w:szCs w:val="24"/>
          <w:lang w:bidi="ar"/>
        </w:rPr>
        <w:fldChar w:fldCharType="begin"/>
      </w:r>
      <w:r w:rsidR="00E2232E">
        <w:rPr>
          <w:rFonts w:ascii="Times New Roman" w:eastAsia="等线" w:hAnsi="Times New Roman" w:cs="Times New Roman"/>
          <w:sz w:val="24"/>
          <w:szCs w:val="24"/>
          <w:lang w:bidi="ar"/>
        </w:rPr>
        <w:instrText xml:space="preserve"> REF _Ref134526215 \r \h </w:instrText>
      </w:r>
      <w:r w:rsidR="00E2232E">
        <w:rPr>
          <w:rFonts w:ascii="Times New Roman" w:eastAsia="等线" w:hAnsi="Times New Roman" w:cs="Times New Roman"/>
          <w:sz w:val="24"/>
          <w:szCs w:val="24"/>
          <w:lang w:bidi="ar"/>
        </w:rPr>
      </w:r>
      <w:r w:rsidR="00E2232E">
        <w:rPr>
          <w:rFonts w:ascii="Times New Roman" w:eastAsia="等线" w:hAnsi="Times New Roman" w:cs="Times New Roman"/>
          <w:sz w:val="24"/>
          <w:szCs w:val="24"/>
          <w:lang w:bidi="ar"/>
        </w:rPr>
        <w:fldChar w:fldCharType="separate"/>
      </w:r>
      <w:r w:rsidR="00E2232E">
        <w:rPr>
          <w:rFonts w:ascii="Times New Roman" w:eastAsia="等线" w:hAnsi="Times New Roman" w:cs="Times New Roman"/>
          <w:sz w:val="24"/>
          <w:szCs w:val="24"/>
          <w:lang w:bidi="ar"/>
        </w:rPr>
        <w:t>[4]</w:t>
      </w:r>
      <w:r w:rsidR="00E2232E">
        <w:rPr>
          <w:rFonts w:ascii="Times New Roman" w:eastAsia="等线" w:hAnsi="Times New Roman" w:cs="Times New Roman"/>
          <w:sz w:val="24"/>
          <w:szCs w:val="24"/>
          <w:lang w:bidi="ar"/>
        </w:rPr>
        <w:fldChar w:fldCharType="end"/>
      </w:r>
      <w:r>
        <w:rPr>
          <w:rFonts w:ascii="Times New Roman" w:eastAsia="等线" w:hAnsi="Times New Roman" w:cs="Times New Roman"/>
          <w:sz w:val="24"/>
          <w:szCs w:val="24"/>
          <w:lang w:bidi="ar"/>
        </w:rPr>
        <w:t>. Li et al. prepared molecularly imprinted polymer test strips for ferritin fluorescence detection based on the sol-gel method of APTES</w:t>
      </w:r>
      <w:r w:rsidR="00922A47">
        <w:rPr>
          <w:rFonts w:ascii="Times New Roman" w:eastAsia="等线" w:hAnsi="Times New Roman" w:cs="Times New Roman"/>
          <w:sz w:val="24"/>
          <w:szCs w:val="24"/>
          <w:lang w:bidi="ar"/>
        </w:rPr>
        <w:t xml:space="preserve"> </w:t>
      </w:r>
      <w:r w:rsidR="00E2232E">
        <w:rPr>
          <w:rFonts w:ascii="Times New Roman" w:eastAsia="等线" w:hAnsi="Times New Roman" w:cs="Times New Roman"/>
          <w:sz w:val="24"/>
          <w:szCs w:val="24"/>
          <w:lang w:bidi="ar"/>
        </w:rPr>
        <w:fldChar w:fldCharType="begin"/>
      </w:r>
      <w:r w:rsidR="00E2232E">
        <w:rPr>
          <w:rFonts w:ascii="Times New Roman" w:eastAsia="等线" w:hAnsi="Times New Roman" w:cs="Times New Roman"/>
          <w:sz w:val="24"/>
          <w:szCs w:val="24"/>
          <w:lang w:bidi="ar"/>
        </w:rPr>
        <w:instrText xml:space="preserve"> REF d5 \r \h </w:instrText>
      </w:r>
      <w:r w:rsidR="00E2232E">
        <w:rPr>
          <w:rFonts w:ascii="Times New Roman" w:eastAsia="等线" w:hAnsi="Times New Roman" w:cs="Times New Roman"/>
          <w:sz w:val="24"/>
          <w:szCs w:val="24"/>
          <w:lang w:bidi="ar"/>
        </w:rPr>
      </w:r>
      <w:r w:rsidR="00E2232E">
        <w:rPr>
          <w:rFonts w:ascii="Times New Roman" w:eastAsia="等线" w:hAnsi="Times New Roman" w:cs="Times New Roman"/>
          <w:sz w:val="24"/>
          <w:szCs w:val="24"/>
          <w:lang w:bidi="ar"/>
        </w:rPr>
        <w:fldChar w:fldCharType="separate"/>
      </w:r>
      <w:r w:rsidR="00E2232E">
        <w:rPr>
          <w:rFonts w:ascii="Times New Roman" w:eastAsia="等线" w:hAnsi="Times New Roman" w:cs="Times New Roman"/>
          <w:sz w:val="24"/>
          <w:szCs w:val="24"/>
          <w:lang w:bidi="ar"/>
        </w:rPr>
        <w:t>[5]</w:t>
      </w:r>
      <w:r w:rsidR="00E2232E">
        <w:rPr>
          <w:rFonts w:ascii="Times New Roman" w:eastAsia="等线" w:hAnsi="Times New Roman" w:cs="Times New Roman"/>
          <w:sz w:val="24"/>
          <w:szCs w:val="24"/>
          <w:lang w:bidi="ar"/>
        </w:rPr>
        <w:fldChar w:fldCharType="end"/>
      </w:r>
      <w:r>
        <w:rPr>
          <w:rFonts w:ascii="Times New Roman" w:eastAsia="等线" w:hAnsi="Times New Roman" w:cs="Times New Roman"/>
          <w:sz w:val="24"/>
          <w:szCs w:val="24"/>
          <w:lang w:bidi="ar"/>
        </w:rPr>
        <w:t xml:space="preserve">. However, the addition of APTES will lead to a reduction of the template molecular response sites, which will affect the quenching efficiency of carbon quantum dots. Therefore, the CDs itself is used directly as a </w:t>
      </w:r>
      <w:r>
        <w:rPr>
          <w:rFonts w:ascii="Times New Roman" w:eastAsia="等线" w:hAnsi="Times New Roman" w:cs="Times New Roman"/>
          <w:sz w:val="24"/>
          <w:szCs w:val="24"/>
          <w:lang w:bidi="ar"/>
        </w:rPr>
        <w:lastRenderedPageBreak/>
        <w:t>functional monomer in this paper.</w:t>
      </w:r>
    </w:p>
    <w:p w:rsidR="00D843FA" w:rsidRDefault="00D843FA">
      <w:pPr>
        <w:spacing w:line="360" w:lineRule="auto"/>
        <w:rPr>
          <w:rFonts w:ascii="Times New Roman" w:hAnsi="Times New Roman" w:cs="Times New Roman"/>
          <w:b/>
          <w:bCs/>
          <w:sz w:val="32"/>
          <w:szCs w:val="32"/>
        </w:rPr>
      </w:pPr>
    </w:p>
    <w:p w:rsidR="00D843FA" w:rsidRDefault="00000000">
      <w:pPr>
        <w:jc w:val="center"/>
      </w:pPr>
      <w:r>
        <w:object w:dxaOrig="6990" w:dyaOrig="5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65pt;height:276.35pt" o:ole="">
            <v:imagedata r:id="rId10" o:title=""/>
          </v:shape>
          <o:OLEObject Type="Embed" ProgID="SigmaPlotGraphicObject.11" ShapeID="_x0000_i1025" DrawAspect="Content" ObjectID="_1745671817" r:id="rId11"/>
        </w:object>
      </w:r>
    </w:p>
    <w:p w:rsidR="00D843FA" w:rsidRDefault="00000000">
      <w:pPr>
        <w:pStyle w:val="ad"/>
        <w:numPr>
          <w:ilvl w:val="0"/>
          <w:numId w:val="1"/>
        </w:numPr>
        <w:ind w:firstLineChars="0"/>
        <w:jc w:val="center"/>
        <w:rPr>
          <w:rFonts w:ascii="Times New Roman" w:hAnsi="Times New Roman" w:cs="Times New Roman"/>
          <w:szCs w:val="21"/>
        </w:rPr>
      </w:pPr>
      <w:r>
        <w:rPr>
          <w:rFonts w:ascii="Times New Roman" w:hAnsi="Times New Roman" w:cs="Times New Roman"/>
          <w:szCs w:val="21"/>
        </w:rPr>
        <w:t>The fluorescence spectra of the CDs and MIP@CDs</w:t>
      </w:r>
    </w:p>
    <w:p w:rsidR="00D843FA" w:rsidRDefault="00000000">
      <w:pPr>
        <w:jc w:val="center"/>
      </w:pPr>
      <w:r>
        <w:object w:dxaOrig="7082" w:dyaOrig="5596">
          <v:shape id="_x0000_i1026" type="#_x0000_t75" style="width:354pt;height:279.65pt" o:ole="">
            <v:imagedata r:id="rId12" o:title=""/>
          </v:shape>
          <o:OLEObject Type="Embed" ProgID="SigmaPlotGraphicObject.11" ShapeID="_x0000_i1026" DrawAspect="Content" ObjectID="_1745671818" r:id="rId13"/>
        </w:object>
      </w:r>
    </w:p>
    <w:p w:rsidR="00D843FA" w:rsidRDefault="00000000">
      <w:pPr>
        <w:pStyle w:val="ad"/>
        <w:numPr>
          <w:ilvl w:val="0"/>
          <w:numId w:val="1"/>
        </w:numPr>
        <w:spacing w:line="360" w:lineRule="auto"/>
        <w:ind w:left="0" w:firstLineChars="0" w:firstLine="0"/>
        <w:jc w:val="center"/>
        <w:rPr>
          <w:rFonts w:ascii="Times New Roman" w:hAnsi="Times New Roman" w:cs="Times New Roman"/>
          <w:szCs w:val="21"/>
        </w:rPr>
      </w:pPr>
      <w:bookmarkStart w:id="0" w:name="_Ref128341555"/>
      <w:r>
        <w:rPr>
          <w:rFonts w:ascii="Times New Roman" w:hAnsi="Times New Roman" w:cs="Times New Roman"/>
          <w:szCs w:val="21"/>
        </w:rPr>
        <w:t>Nitrogen adsorption-desorption isotherms of MIP@CDs</w:t>
      </w:r>
      <w:bookmarkEnd w:id="0"/>
    </w:p>
    <w:p w:rsidR="00D843FA" w:rsidRDefault="00D843FA">
      <w:pPr>
        <w:jc w:val="center"/>
        <w:rPr>
          <w:rFonts w:ascii="Times New Roman" w:hAnsi="Times New Roman" w:cs="Times New Roman"/>
          <w:sz w:val="24"/>
          <w:szCs w:val="24"/>
        </w:rPr>
      </w:pPr>
    </w:p>
    <w:p w:rsidR="00D843FA" w:rsidRDefault="00000000">
      <w:pPr>
        <w:jc w:val="center"/>
      </w:pPr>
      <w:r>
        <w:object w:dxaOrig="7173" w:dyaOrig="5651">
          <v:shape id="_x0000_i1027" type="#_x0000_t75" style="width:358.65pt;height:282.65pt" o:ole="">
            <v:imagedata r:id="rId14" o:title=""/>
          </v:shape>
          <o:OLEObject Type="Embed" ProgID="SigmaPlotGraphicObject.11" ShapeID="_x0000_i1027" DrawAspect="Content" ObjectID="_1745671819" r:id="rId15"/>
        </w:object>
      </w:r>
    </w:p>
    <w:p w:rsidR="00D843FA" w:rsidRDefault="00000000">
      <w:pPr>
        <w:pStyle w:val="ad"/>
        <w:numPr>
          <w:ilvl w:val="0"/>
          <w:numId w:val="1"/>
        </w:numPr>
        <w:ind w:firstLineChars="0"/>
        <w:jc w:val="center"/>
        <w:rPr>
          <w:rFonts w:ascii="Times New Roman" w:hAnsi="Times New Roman" w:cs="Times New Roman"/>
          <w:szCs w:val="21"/>
        </w:rPr>
      </w:pPr>
      <w:r>
        <w:rPr>
          <w:rFonts w:ascii="Times New Roman" w:hAnsi="Times New Roman" w:cs="Times New Roman"/>
          <w:szCs w:val="21"/>
        </w:rPr>
        <w:t>Fluorescence spectra at different pH</w:t>
      </w:r>
    </w:p>
    <w:p w:rsidR="00D843FA" w:rsidRDefault="00000000">
      <w:pPr>
        <w:jc w:val="center"/>
      </w:pPr>
      <w:r>
        <w:object w:dxaOrig="7364" w:dyaOrig="5541">
          <v:shape id="_x0000_i1028" type="#_x0000_t75" style="width:368.35pt;height:277.35pt" o:ole="">
            <v:imagedata r:id="rId16" o:title="" croptop="4417f" cropleft="787f" cropright="2360f"/>
          </v:shape>
          <o:OLEObject Type="Embed" ProgID="SigmaPlotGraphicObject.11" ShapeID="_x0000_i1028" DrawAspect="Content" ObjectID="_1745671820" r:id="rId17"/>
        </w:object>
      </w:r>
    </w:p>
    <w:p w:rsidR="00D843FA" w:rsidRDefault="00000000">
      <w:pPr>
        <w:pStyle w:val="ad"/>
        <w:numPr>
          <w:ilvl w:val="0"/>
          <w:numId w:val="1"/>
        </w:numPr>
        <w:ind w:firstLineChars="0"/>
        <w:jc w:val="center"/>
        <w:rPr>
          <w:rFonts w:ascii="Times New Roman" w:hAnsi="Times New Roman" w:cs="Times New Roman"/>
          <w:sz w:val="24"/>
          <w:szCs w:val="24"/>
        </w:rPr>
      </w:pPr>
      <w:r>
        <w:rPr>
          <w:rFonts w:ascii="Times New Roman" w:hAnsi="Times New Roman" w:cs="Times New Roman"/>
          <w:szCs w:val="21"/>
        </w:rPr>
        <w:t>Response of different masses MIP@CDs to chloramphenicol</w:t>
      </w:r>
      <w:r>
        <w:t xml:space="preserve"> </w:t>
      </w:r>
    </w:p>
    <w:p w:rsidR="00D843FA" w:rsidRDefault="00000000">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723130" cy="39560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8"/>
                    <a:srcRect l="7185" t="7099" r="9385" b="1990"/>
                    <a:stretch>
                      <a:fillRect/>
                    </a:stretch>
                  </pic:blipFill>
                  <pic:spPr>
                    <a:xfrm>
                      <a:off x="0" y="0"/>
                      <a:ext cx="4723200" cy="3956400"/>
                    </a:xfrm>
                    <a:prstGeom prst="rect">
                      <a:avLst/>
                    </a:prstGeom>
                  </pic:spPr>
                </pic:pic>
              </a:graphicData>
            </a:graphic>
          </wp:inline>
        </w:drawing>
      </w:r>
    </w:p>
    <w:p w:rsidR="00D843FA" w:rsidRDefault="00000000">
      <w:pPr>
        <w:pStyle w:val="ad"/>
        <w:numPr>
          <w:ilvl w:val="0"/>
          <w:numId w:val="1"/>
        </w:numPr>
        <w:ind w:firstLineChars="0"/>
        <w:jc w:val="center"/>
        <w:rPr>
          <w:rFonts w:ascii="Times New Roman" w:hAnsi="Times New Roman"/>
          <w:szCs w:val="21"/>
        </w:rPr>
      </w:pPr>
      <w:r>
        <w:rPr>
          <w:rFonts w:ascii="Times New Roman" w:hAnsi="Times New Roman"/>
          <w:szCs w:val="21"/>
        </w:rPr>
        <w:t>The reusability of MIP@CDs.</w:t>
      </w:r>
    </w:p>
    <w:p w:rsidR="00D843FA" w:rsidRDefault="00000000">
      <w:pPr>
        <w:jc w:val="center"/>
        <w:rPr>
          <w:rFonts w:ascii="Times New Roman" w:hAnsi="Times New Roman" w:cs="Times New Roman"/>
          <w:sz w:val="24"/>
          <w:szCs w:val="24"/>
        </w:rPr>
      </w:pPr>
      <w:r>
        <w:object w:dxaOrig="7428" w:dyaOrig="5824">
          <v:shape id="_x0000_i1029" type="#_x0000_t75" style="width:371.35pt;height:291.35pt" o:ole="">
            <v:imagedata r:id="rId19" o:title=""/>
          </v:shape>
          <o:OLEObject Type="Embed" ProgID="SigmaPlotGraphicObject.11" ShapeID="_x0000_i1029" DrawAspect="Content" ObjectID="_1745671821" r:id="rId20"/>
        </w:object>
      </w:r>
    </w:p>
    <w:p w:rsidR="00D843FA" w:rsidRDefault="00000000">
      <w:pPr>
        <w:pStyle w:val="ad"/>
        <w:numPr>
          <w:ilvl w:val="0"/>
          <w:numId w:val="1"/>
        </w:numPr>
        <w:ind w:firstLineChars="0"/>
        <w:jc w:val="center"/>
        <w:rPr>
          <w:rFonts w:ascii="Times New Roman" w:hAnsi="Times New Roman"/>
          <w:szCs w:val="21"/>
        </w:rPr>
      </w:pPr>
      <w:r>
        <w:rPr>
          <w:rFonts w:ascii="Times New Roman" w:hAnsi="Times New Roman"/>
          <w:szCs w:val="21"/>
        </w:rPr>
        <w:t>The fluorescence stability of MIP@CDs</w:t>
      </w:r>
    </w:p>
    <w:p w:rsidR="00D843FA" w:rsidRDefault="00000000">
      <w:pPr>
        <w:jc w:val="center"/>
        <w:rPr>
          <w:rFonts w:ascii="Times New Roman" w:hAnsi="Times New Roman"/>
          <w:szCs w:val="21"/>
        </w:rPr>
      </w:pPr>
      <w:r>
        <w:rPr>
          <w:rFonts w:ascii="Times New Roman" w:hAnsi="Times New Roman"/>
          <w:noProof/>
          <w:szCs w:val="21"/>
        </w:rPr>
        <w:lastRenderedPageBreak/>
        <w:drawing>
          <wp:inline distT="0" distB="0" distL="0" distR="0">
            <wp:extent cx="4723130" cy="35096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23200" cy="3510000"/>
                    </a:xfrm>
                    <a:prstGeom prst="rect">
                      <a:avLst/>
                    </a:prstGeom>
                  </pic:spPr>
                </pic:pic>
              </a:graphicData>
            </a:graphic>
          </wp:inline>
        </w:drawing>
      </w:r>
    </w:p>
    <w:p w:rsidR="00D843FA" w:rsidRDefault="00000000">
      <w:pPr>
        <w:pStyle w:val="ad"/>
        <w:numPr>
          <w:ilvl w:val="0"/>
          <w:numId w:val="1"/>
        </w:numPr>
        <w:spacing w:line="360" w:lineRule="auto"/>
        <w:ind w:firstLineChars="0"/>
        <w:jc w:val="center"/>
        <w:rPr>
          <w:rFonts w:ascii="Times New Roman" w:hAnsi="Times New Roman" w:cs="Times New Roman"/>
          <w:szCs w:val="21"/>
        </w:rPr>
      </w:pPr>
      <w:r>
        <w:rPr>
          <w:rFonts w:ascii="Times New Roman" w:hAnsi="Times New Roman" w:cs="Times New Roman"/>
          <w:szCs w:val="21"/>
        </w:rPr>
        <w:t>Selective determination of 10×100 μg/L other potential interfering substances</w:t>
      </w:r>
      <w:r>
        <w:rPr>
          <w:rFonts w:ascii="Times New Roman" w:hAnsi="Times New Roman" w:cs="Times New Roman" w:hint="eastAsia"/>
          <w:szCs w:val="21"/>
        </w:rPr>
        <w:t>.</w:t>
      </w:r>
    </w:p>
    <w:p w:rsidR="00D843FA" w:rsidRDefault="00D843FA">
      <w:pPr>
        <w:spacing w:line="360" w:lineRule="auto"/>
        <w:rPr>
          <w:rFonts w:ascii="Times New Roman" w:hAnsi="Times New Roman" w:cs="Times New Roman"/>
          <w:szCs w:val="21"/>
        </w:rPr>
      </w:pPr>
    </w:p>
    <w:p w:rsidR="00D843FA" w:rsidRDefault="00000000">
      <w:pPr>
        <w:pStyle w:val="ad"/>
        <w:numPr>
          <w:ilvl w:val="0"/>
          <w:numId w:val="2"/>
        </w:numPr>
        <w:spacing w:line="360" w:lineRule="auto"/>
        <w:ind w:firstLineChars="0"/>
        <w:jc w:val="center"/>
        <w:rPr>
          <w:rFonts w:ascii="Times New Roman" w:hAnsi="Times New Roman" w:cs="Times New Roman"/>
          <w:szCs w:val="21"/>
        </w:rPr>
      </w:pPr>
      <w:r>
        <w:rPr>
          <w:rFonts w:ascii="Times New Roman" w:eastAsia="等线" w:hAnsi="Times New Roman" w:cs="Times New Roman"/>
          <w:szCs w:val="21"/>
          <w:lang w:bidi="ar"/>
        </w:rPr>
        <w:t>Comparison with other reported methods for the detection of CLP</w:t>
      </w:r>
    </w:p>
    <w:tbl>
      <w:tblPr>
        <w:tblW w:w="5000" w:type="pct"/>
        <w:jc w:val="center"/>
        <w:tblCellMar>
          <w:left w:w="0" w:type="dxa"/>
          <w:right w:w="0" w:type="dxa"/>
        </w:tblCellMar>
        <w:tblLook w:val="04A0" w:firstRow="1" w:lastRow="0" w:firstColumn="1" w:lastColumn="0" w:noHBand="0" w:noVBand="1"/>
      </w:tblPr>
      <w:tblGrid>
        <w:gridCol w:w="2974"/>
        <w:gridCol w:w="2321"/>
        <w:gridCol w:w="2282"/>
        <w:gridCol w:w="2061"/>
      </w:tblGrid>
      <w:tr w:rsidR="00D843FA">
        <w:trPr>
          <w:cantSplit/>
          <w:trHeight w:val="1073"/>
          <w:jc w:val="center"/>
        </w:trPr>
        <w:tc>
          <w:tcPr>
            <w:tcW w:w="1543" w:type="pct"/>
            <w:tcBorders>
              <w:top w:val="single" w:sz="12" w:space="0" w:color="000000"/>
              <w:left w:val="nil"/>
              <w:bottom w:val="single" w:sz="6" w:space="0" w:color="000000"/>
              <w:right w:val="nil"/>
            </w:tcBorders>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Materials</w:t>
            </w:r>
          </w:p>
        </w:tc>
        <w:tc>
          <w:tcPr>
            <w:tcW w:w="1204" w:type="pct"/>
            <w:tcBorders>
              <w:top w:val="single" w:sz="12" w:space="0" w:color="000000"/>
              <w:left w:val="nil"/>
              <w:bottom w:val="single" w:sz="6" w:space="0" w:color="000000"/>
              <w:right w:val="nil"/>
            </w:tcBorders>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Linear range(μg/L)</w:t>
            </w:r>
          </w:p>
        </w:tc>
        <w:tc>
          <w:tcPr>
            <w:tcW w:w="1184" w:type="pct"/>
            <w:tcBorders>
              <w:top w:val="single" w:sz="12" w:space="0" w:color="000000"/>
              <w:left w:val="nil"/>
              <w:bottom w:val="single" w:sz="6" w:space="0" w:color="000000"/>
              <w:right w:val="nil"/>
            </w:tcBorders>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LOD(μg/L)</w:t>
            </w:r>
          </w:p>
        </w:tc>
        <w:tc>
          <w:tcPr>
            <w:tcW w:w="1069" w:type="pct"/>
            <w:tcBorders>
              <w:top w:val="single" w:sz="12" w:space="0" w:color="000000"/>
              <w:left w:val="nil"/>
              <w:bottom w:val="single" w:sz="6" w:space="0" w:color="000000"/>
              <w:right w:val="nil"/>
            </w:tcBorders>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Ref.</w:t>
            </w:r>
          </w:p>
        </w:tc>
      </w:tr>
      <w:tr w:rsidR="00D843FA">
        <w:trPr>
          <w:cantSplit/>
          <w:trHeight w:val="660"/>
          <w:jc w:val="center"/>
        </w:trPr>
        <w:tc>
          <w:tcPr>
            <w:tcW w:w="1543" w:type="pct"/>
            <w:tcBorders>
              <w:top w:val="single" w:sz="6" w:space="0" w:color="000000"/>
              <w:left w:val="nil"/>
              <w:bottom w:val="nil"/>
              <w:right w:val="nil"/>
            </w:tcBorders>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SPCE</w:t>
            </w:r>
          </w:p>
        </w:tc>
        <w:tc>
          <w:tcPr>
            <w:tcW w:w="1204" w:type="pct"/>
            <w:tcBorders>
              <w:top w:val="single" w:sz="6" w:space="0" w:color="000000"/>
              <w:left w:val="nil"/>
              <w:bottom w:val="nil"/>
              <w:right w:val="nil"/>
            </w:tcBorders>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323.13-16156.5</w:t>
            </w:r>
          </w:p>
        </w:tc>
        <w:tc>
          <w:tcPr>
            <w:tcW w:w="1184" w:type="pct"/>
            <w:tcBorders>
              <w:top w:val="single" w:sz="6" w:space="0" w:color="000000"/>
              <w:left w:val="nil"/>
              <w:bottom w:val="nil"/>
              <w:right w:val="nil"/>
            </w:tcBorders>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32.31</w:t>
            </w:r>
          </w:p>
        </w:tc>
        <w:tc>
          <w:tcPr>
            <w:tcW w:w="1069" w:type="pct"/>
            <w:tcBorders>
              <w:top w:val="single" w:sz="6" w:space="0" w:color="000000"/>
              <w:left w:val="nil"/>
              <w:bottom w:val="nil"/>
              <w:right w:val="nil"/>
            </w:tcBorders>
            <w:shd w:val="clear" w:color="auto" w:fill="auto"/>
            <w:tcMar>
              <w:left w:w="144" w:type="dxa"/>
              <w:right w:w="144" w:type="dxa"/>
            </w:tcMar>
            <w:vAlign w:val="center"/>
          </w:tcPr>
          <w:p w:rsidR="00D843FA" w:rsidRDefault="00E2232E">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sz w:val="24"/>
                <w:szCs w:val="32"/>
              </w:rPr>
              <w:fldChar w:fldCharType="begin"/>
            </w:r>
            <w:r>
              <w:rPr>
                <w:rFonts w:ascii="Times New Roman" w:eastAsia="宋体" w:hAnsi="Times New Roman" w:cs="Times New Roman"/>
                <w:sz w:val="24"/>
                <w:szCs w:val="32"/>
              </w:rPr>
              <w:instrText xml:space="preserve"> REF _Ref134526239 \r \h </w:instrText>
            </w:r>
            <w:r>
              <w:rPr>
                <w:rFonts w:ascii="Times New Roman" w:eastAsia="宋体" w:hAnsi="Times New Roman" w:cs="Times New Roman"/>
                <w:sz w:val="24"/>
                <w:szCs w:val="32"/>
              </w:rPr>
            </w:r>
            <w:r>
              <w:rPr>
                <w:rFonts w:ascii="Times New Roman" w:eastAsia="宋体" w:hAnsi="Times New Roman" w:cs="Times New Roman"/>
                <w:sz w:val="24"/>
                <w:szCs w:val="32"/>
              </w:rPr>
              <w:fldChar w:fldCharType="separate"/>
            </w:r>
            <w:r>
              <w:rPr>
                <w:rFonts w:ascii="Times New Roman" w:eastAsia="宋体" w:hAnsi="Times New Roman" w:cs="Times New Roman"/>
                <w:sz w:val="24"/>
                <w:szCs w:val="32"/>
              </w:rPr>
              <w:t>[6]</w:t>
            </w:r>
            <w:r>
              <w:rPr>
                <w:rFonts w:ascii="Times New Roman" w:eastAsia="宋体" w:hAnsi="Times New Roman" w:cs="Times New Roman"/>
                <w:sz w:val="24"/>
                <w:szCs w:val="32"/>
              </w:rPr>
              <w:fldChar w:fldCharType="end"/>
            </w:r>
          </w:p>
        </w:tc>
      </w:tr>
      <w:tr w:rsidR="00D843FA">
        <w:trPr>
          <w:cantSplit/>
          <w:trHeight w:val="660"/>
          <w:jc w:val="center"/>
        </w:trPr>
        <w:tc>
          <w:tcPr>
            <w:tcW w:w="1543"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SERS-MIP</w:t>
            </w:r>
          </w:p>
        </w:tc>
        <w:tc>
          <w:tcPr>
            <w:tcW w:w="1204"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100-50000</w:t>
            </w:r>
          </w:p>
        </w:tc>
        <w:tc>
          <w:tcPr>
            <w:tcW w:w="1184"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val="el" w:bidi="ar"/>
              </w:rPr>
              <w:t>100</w:t>
            </w:r>
          </w:p>
        </w:tc>
        <w:tc>
          <w:tcPr>
            <w:tcW w:w="1069" w:type="pct"/>
            <w:shd w:val="clear" w:color="auto" w:fill="auto"/>
            <w:tcMar>
              <w:left w:w="144" w:type="dxa"/>
              <w:right w:w="144" w:type="dxa"/>
            </w:tcMar>
            <w:vAlign w:val="center"/>
          </w:tcPr>
          <w:p w:rsidR="00D843FA" w:rsidRDefault="00E2232E">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sz w:val="24"/>
                <w:szCs w:val="32"/>
              </w:rPr>
              <w:fldChar w:fldCharType="begin"/>
            </w:r>
            <w:r>
              <w:rPr>
                <w:rFonts w:ascii="Times New Roman" w:eastAsia="宋体" w:hAnsi="Times New Roman" w:cs="Times New Roman"/>
                <w:sz w:val="24"/>
                <w:szCs w:val="32"/>
              </w:rPr>
              <w:instrText xml:space="preserve"> REF _Ref134526245 \r \h </w:instrText>
            </w:r>
            <w:r>
              <w:rPr>
                <w:rFonts w:ascii="Times New Roman" w:eastAsia="宋体" w:hAnsi="Times New Roman" w:cs="Times New Roman"/>
                <w:sz w:val="24"/>
                <w:szCs w:val="32"/>
              </w:rPr>
            </w:r>
            <w:r>
              <w:rPr>
                <w:rFonts w:ascii="Times New Roman" w:eastAsia="宋体" w:hAnsi="Times New Roman" w:cs="Times New Roman"/>
                <w:sz w:val="24"/>
                <w:szCs w:val="32"/>
              </w:rPr>
              <w:fldChar w:fldCharType="separate"/>
            </w:r>
            <w:r>
              <w:rPr>
                <w:rFonts w:ascii="Times New Roman" w:eastAsia="宋体" w:hAnsi="Times New Roman" w:cs="Times New Roman"/>
                <w:sz w:val="24"/>
                <w:szCs w:val="32"/>
              </w:rPr>
              <w:t>[7]</w:t>
            </w:r>
            <w:r>
              <w:rPr>
                <w:rFonts w:ascii="Times New Roman" w:eastAsia="宋体" w:hAnsi="Times New Roman" w:cs="Times New Roman"/>
                <w:sz w:val="24"/>
                <w:szCs w:val="32"/>
              </w:rPr>
              <w:fldChar w:fldCharType="end"/>
            </w:r>
          </w:p>
        </w:tc>
      </w:tr>
      <w:tr w:rsidR="00D843FA">
        <w:trPr>
          <w:cantSplit/>
          <w:trHeight w:val="660"/>
          <w:jc w:val="center"/>
        </w:trPr>
        <w:tc>
          <w:tcPr>
            <w:tcW w:w="1543"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N, P-CDs</w:t>
            </w:r>
          </w:p>
        </w:tc>
        <w:tc>
          <w:tcPr>
            <w:tcW w:w="1204"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0.26-22.62</w:t>
            </w:r>
          </w:p>
        </w:tc>
        <w:tc>
          <w:tcPr>
            <w:tcW w:w="1184"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0.12</w:t>
            </w:r>
          </w:p>
        </w:tc>
        <w:tc>
          <w:tcPr>
            <w:tcW w:w="1069" w:type="pct"/>
            <w:shd w:val="clear" w:color="auto" w:fill="auto"/>
            <w:tcMar>
              <w:left w:w="144" w:type="dxa"/>
              <w:right w:w="144" w:type="dxa"/>
            </w:tcMar>
            <w:vAlign w:val="center"/>
          </w:tcPr>
          <w:p w:rsidR="00D843FA" w:rsidRDefault="00E2232E">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sz w:val="24"/>
                <w:szCs w:val="32"/>
              </w:rPr>
              <w:fldChar w:fldCharType="begin"/>
            </w:r>
            <w:r>
              <w:rPr>
                <w:rFonts w:ascii="Times New Roman" w:eastAsia="宋体" w:hAnsi="Times New Roman" w:cs="Times New Roman"/>
                <w:sz w:val="24"/>
                <w:szCs w:val="32"/>
              </w:rPr>
              <w:instrText xml:space="preserve"> REF _Ref134526251 \r \h </w:instrText>
            </w:r>
            <w:r>
              <w:rPr>
                <w:rFonts w:ascii="Times New Roman" w:eastAsia="宋体" w:hAnsi="Times New Roman" w:cs="Times New Roman"/>
                <w:sz w:val="24"/>
                <w:szCs w:val="32"/>
              </w:rPr>
            </w:r>
            <w:r>
              <w:rPr>
                <w:rFonts w:ascii="Times New Roman" w:eastAsia="宋体" w:hAnsi="Times New Roman" w:cs="Times New Roman"/>
                <w:sz w:val="24"/>
                <w:szCs w:val="32"/>
              </w:rPr>
              <w:fldChar w:fldCharType="separate"/>
            </w:r>
            <w:r>
              <w:rPr>
                <w:rFonts w:ascii="Times New Roman" w:eastAsia="宋体" w:hAnsi="Times New Roman" w:cs="Times New Roman"/>
                <w:sz w:val="24"/>
                <w:szCs w:val="32"/>
              </w:rPr>
              <w:t>[8]</w:t>
            </w:r>
            <w:r>
              <w:rPr>
                <w:rFonts w:ascii="Times New Roman" w:eastAsia="宋体" w:hAnsi="Times New Roman" w:cs="Times New Roman"/>
                <w:sz w:val="24"/>
                <w:szCs w:val="32"/>
              </w:rPr>
              <w:fldChar w:fldCharType="end"/>
            </w:r>
          </w:p>
        </w:tc>
      </w:tr>
      <w:tr w:rsidR="00D843FA">
        <w:trPr>
          <w:cantSplit/>
          <w:trHeight w:val="660"/>
          <w:jc w:val="center"/>
        </w:trPr>
        <w:tc>
          <w:tcPr>
            <w:tcW w:w="1543"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Aptamer</w:t>
            </w:r>
          </w:p>
        </w:tc>
        <w:tc>
          <w:tcPr>
            <w:tcW w:w="1204"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32.31-321.13</w:t>
            </w:r>
          </w:p>
        </w:tc>
        <w:tc>
          <w:tcPr>
            <w:tcW w:w="1184"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19.39</w:t>
            </w:r>
          </w:p>
        </w:tc>
        <w:tc>
          <w:tcPr>
            <w:tcW w:w="1069" w:type="pct"/>
            <w:shd w:val="clear" w:color="auto" w:fill="auto"/>
            <w:tcMar>
              <w:left w:w="144" w:type="dxa"/>
              <w:right w:w="144" w:type="dxa"/>
            </w:tcMar>
            <w:vAlign w:val="center"/>
          </w:tcPr>
          <w:p w:rsidR="00D843FA" w:rsidRDefault="00E2232E">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sz w:val="24"/>
                <w:szCs w:val="32"/>
              </w:rPr>
              <w:fldChar w:fldCharType="begin"/>
            </w:r>
            <w:r>
              <w:rPr>
                <w:rFonts w:ascii="Times New Roman" w:eastAsia="宋体" w:hAnsi="Times New Roman" w:cs="Times New Roman"/>
                <w:sz w:val="24"/>
                <w:szCs w:val="32"/>
              </w:rPr>
              <w:instrText xml:space="preserve"> REF _Ref134526257 \r \h </w:instrText>
            </w:r>
            <w:r>
              <w:rPr>
                <w:rFonts w:ascii="Times New Roman" w:eastAsia="宋体" w:hAnsi="Times New Roman" w:cs="Times New Roman"/>
                <w:sz w:val="24"/>
                <w:szCs w:val="32"/>
              </w:rPr>
            </w:r>
            <w:r>
              <w:rPr>
                <w:rFonts w:ascii="Times New Roman" w:eastAsia="宋体" w:hAnsi="Times New Roman" w:cs="Times New Roman"/>
                <w:sz w:val="24"/>
                <w:szCs w:val="32"/>
              </w:rPr>
              <w:fldChar w:fldCharType="separate"/>
            </w:r>
            <w:r>
              <w:rPr>
                <w:rFonts w:ascii="Times New Roman" w:eastAsia="宋体" w:hAnsi="Times New Roman" w:cs="Times New Roman"/>
                <w:sz w:val="24"/>
                <w:szCs w:val="32"/>
              </w:rPr>
              <w:t>[9]</w:t>
            </w:r>
            <w:r>
              <w:rPr>
                <w:rFonts w:ascii="Times New Roman" w:eastAsia="宋体" w:hAnsi="Times New Roman" w:cs="Times New Roman"/>
                <w:sz w:val="24"/>
                <w:szCs w:val="32"/>
              </w:rPr>
              <w:fldChar w:fldCharType="end"/>
            </w:r>
          </w:p>
        </w:tc>
      </w:tr>
      <w:tr w:rsidR="00D843FA">
        <w:trPr>
          <w:cantSplit/>
          <w:trHeight w:val="660"/>
          <w:jc w:val="center"/>
        </w:trPr>
        <w:tc>
          <w:tcPr>
            <w:tcW w:w="1543"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Electrochemical sensor</w:t>
            </w:r>
          </w:p>
        </w:tc>
        <w:tc>
          <w:tcPr>
            <w:tcW w:w="1204"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1615.65-</w:t>
            </w:r>
            <w:r>
              <w:rPr>
                <w:rFonts w:ascii="Times New Roman" w:eastAsia="宋体" w:hAnsi="Times New Roman" w:cs="Times New Roman"/>
                <w:bCs/>
                <w:sz w:val="24"/>
                <w:szCs w:val="32"/>
                <w:lang w:val="el" w:bidi="ar"/>
              </w:rPr>
              <w:t>29081.7</w:t>
            </w:r>
          </w:p>
        </w:tc>
        <w:tc>
          <w:tcPr>
            <w:tcW w:w="1184"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val="el" w:bidi="ar"/>
              </w:rPr>
              <w:t>1066.33</w:t>
            </w:r>
          </w:p>
        </w:tc>
        <w:tc>
          <w:tcPr>
            <w:tcW w:w="1069" w:type="pct"/>
            <w:shd w:val="clear" w:color="auto" w:fill="auto"/>
            <w:tcMar>
              <w:left w:w="144" w:type="dxa"/>
              <w:right w:w="144" w:type="dxa"/>
            </w:tcMar>
            <w:vAlign w:val="center"/>
          </w:tcPr>
          <w:p w:rsidR="00D843FA" w:rsidRDefault="00E2232E">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sz w:val="24"/>
                <w:szCs w:val="32"/>
              </w:rPr>
              <w:fldChar w:fldCharType="begin"/>
            </w:r>
            <w:r>
              <w:rPr>
                <w:rFonts w:ascii="Times New Roman" w:eastAsia="宋体" w:hAnsi="Times New Roman" w:cs="Times New Roman"/>
                <w:sz w:val="24"/>
                <w:szCs w:val="32"/>
              </w:rPr>
              <w:instrText xml:space="preserve"> REF _Ref134526263 \r \h </w:instrText>
            </w:r>
            <w:r>
              <w:rPr>
                <w:rFonts w:ascii="Times New Roman" w:eastAsia="宋体" w:hAnsi="Times New Roman" w:cs="Times New Roman"/>
                <w:sz w:val="24"/>
                <w:szCs w:val="32"/>
              </w:rPr>
            </w:r>
            <w:r>
              <w:rPr>
                <w:rFonts w:ascii="Times New Roman" w:eastAsia="宋体" w:hAnsi="Times New Roman" w:cs="Times New Roman"/>
                <w:sz w:val="24"/>
                <w:szCs w:val="32"/>
              </w:rPr>
              <w:fldChar w:fldCharType="separate"/>
            </w:r>
            <w:r>
              <w:rPr>
                <w:rFonts w:ascii="Times New Roman" w:eastAsia="宋体" w:hAnsi="Times New Roman" w:cs="Times New Roman"/>
                <w:sz w:val="24"/>
                <w:szCs w:val="32"/>
              </w:rPr>
              <w:t>[10]</w:t>
            </w:r>
            <w:r>
              <w:rPr>
                <w:rFonts w:ascii="Times New Roman" w:eastAsia="宋体" w:hAnsi="Times New Roman" w:cs="Times New Roman"/>
                <w:sz w:val="24"/>
                <w:szCs w:val="32"/>
              </w:rPr>
              <w:fldChar w:fldCharType="end"/>
            </w:r>
          </w:p>
        </w:tc>
      </w:tr>
      <w:tr w:rsidR="00D843FA">
        <w:trPr>
          <w:cantSplit/>
          <w:trHeight w:val="660"/>
          <w:jc w:val="center"/>
        </w:trPr>
        <w:tc>
          <w:tcPr>
            <w:tcW w:w="1543"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Dual-aptamer</w:t>
            </w:r>
          </w:p>
        </w:tc>
        <w:tc>
          <w:tcPr>
            <w:tcW w:w="1204"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1-800</w:t>
            </w:r>
          </w:p>
        </w:tc>
        <w:tc>
          <w:tcPr>
            <w:tcW w:w="1184" w:type="pct"/>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6.13</w:t>
            </w:r>
          </w:p>
        </w:tc>
        <w:tc>
          <w:tcPr>
            <w:tcW w:w="1069" w:type="pct"/>
            <w:shd w:val="clear" w:color="auto" w:fill="auto"/>
            <w:tcMar>
              <w:left w:w="144" w:type="dxa"/>
              <w:right w:w="144" w:type="dxa"/>
            </w:tcMar>
            <w:vAlign w:val="center"/>
          </w:tcPr>
          <w:p w:rsidR="00D843FA" w:rsidRDefault="00E2232E">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sz w:val="24"/>
                <w:szCs w:val="32"/>
              </w:rPr>
              <w:fldChar w:fldCharType="begin"/>
            </w:r>
            <w:r>
              <w:rPr>
                <w:rFonts w:ascii="Times New Roman" w:eastAsia="宋体" w:hAnsi="Times New Roman" w:cs="Times New Roman"/>
                <w:sz w:val="24"/>
                <w:szCs w:val="32"/>
              </w:rPr>
              <w:instrText xml:space="preserve"> REF _Ref134526269 \r \h </w:instrText>
            </w:r>
            <w:r>
              <w:rPr>
                <w:rFonts w:ascii="Times New Roman" w:eastAsia="宋体" w:hAnsi="Times New Roman" w:cs="Times New Roman"/>
                <w:sz w:val="24"/>
                <w:szCs w:val="32"/>
              </w:rPr>
            </w:r>
            <w:r>
              <w:rPr>
                <w:rFonts w:ascii="Times New Roman" w:eastAsia="宋体" w:hAnsi="Times New Roman" w:cs="Times New Roman"/>
                <w:sz w:val="24"/>
                <w:szCs w:val="32"/>
              </w:rPr>
              <w:fldChar w:fldCharType="separate"/>
            </w:r>
            <w:r>
              <w:rPr>
                <w:rFonts w:ascii="Times New Roman" w:eastAsia="宋体" w:hAnsi="Times New Roman" w:cs="Times New Roman"/>
                <w:sz w:val="24"/>
                <w:szCs w:val="32"/>
              </w:rPr>
              <w:t>[11]</w:t>
            </w:r>
            <w:r>
              <w:rPr>
                <w:rFonts w:ascii="Times New Roman" w:eastAsia="宋体" w:hAnsi="Times New Roman" w:cs="Times New Roman"/>
                <w:sz w:val="24"/>
                <w:szCs w:val="32"/>
              </w:rPr>
              <w:fldChar w:fldCharType="end"/>
            </w:r>
          </w:p>
        </w:tc>
      </w:tr>
      <w:tr w:rsidR="00D843FA">
        <w:trPr>
          <w:cantSplit/>
          <w:trHeight w:val="660"/>
          <w:jc w:val="center"/>
        </w:trPr>
        <w:tc>
          <w:tcPr>
            <w:tcW w:w="1543" w:type="pct"/>
            <w:tcBorders>
              <w:top w:val="nil"/>
              <w:left w:val="nil"/>
              <w:bottom w:val="single" w:sz="12" w:space="0" w:color="000000"/>
              <w:right w:val="nil"/>
            </w:tcBorders>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color w:val="000000"/>
                <w:sz w:val="24"/>
                <w:szCs w:val="20"/>
                <w:lang w:bidi="ar"/>
              </w:rPr>
              <w:t>MIP@CDs</w:t>
            </w:r>
          </w:p>
        </w:tc>
        <w:tc>
          <w:tcPr>
            <w:tcW w:w="1204" w:type="pct"/>
            <w:tcBorders>
              <w:top w:val="nil"/>
              <w:left w:val="nil"/>
              <w:bottom w:val="single" w:sz="12" w:space="0" w:color="000000"/>
              <w:right w:val="nil"/>
            </w:tcBorders>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5-100</w:t>
            </w:r>
          </w:p>
        </w:tc>
        <w:tc>
          <w:tcPr>
            <w:tcW w:w="1184" w:type="pct"/>
            <w:tcBorders>
              <w:top w:val="nil"/>
              <w:left w:val="nil"/>
              <w:bottom w:val="single" w:sz="12" w:space="0" w:color="000000"/>
              <w:right w:val="nil"/>
            </w:tcBorders>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1</w:t>
            </w:r>
          </w:p>
        </w:tc>
        <w:tc>
          <w:tcPr>
            <w:tcW w:w="1069" w:type="pct"/>
            <w:tcBorders>
              <w:top w:val="nil"/>
              <w:left w:val="nil"/>
              <w:bottom w:val="single" w:sz="12" w:space="0" w:color="000000"/>
              <w:right w:val="nil"/>
            </w:tcBorders>
            <w:shd w:val="clear" w:color="auto" w:fill="auto"/>
            <w:tcMar>
              <w:left w:w="144" w:type="dxa"/>
              <w:right w:w="144" w:type="dxa"/>
            </w:tcMar>
            <w:vAlign w:val="center"/>
          </w:tcPr>
          <w:p w:rsidR="00D843FA" w:rsidRDefault="00000000">
            <w:pPr>
              <w:adjustRightInd w:val="0"/>
              <w:snapToGrid w:val="0"/>
              <w:jc w:val="center"/>
              <w:rPr>
                <w:rFonts w:ascii="Times New Roman" w:eastAsia="宋体" w:hAnsi="Times New Roman" w:cs="Times New Roman"/>
                <w:sz w:val="24"/>
                <w:szCs w:val="32"/>
              </w:rPr>
            </w:pPr>
            <w:r>
              <w:rPr>
                <w:rFonts w:ascii="Times New Roman" w:eastAsia="宋体" w:hAnsi="Times New Roman" w:cs="Times New Roman"/>
                <w:bCs/>
                <w:sz w:val="24"/>
                <w:szCs w:val="32"/>
                <w:lang w:bidi="ar"/>
              </w:rPr>
              <w:t>This work</w:t>
            </w:r>
          </w:p>
        </w:tc>
      </w:tr>
    </w:tbl>
    <w:p w:rsidR="00D843FA" w:rsidRDefault="00D843FA">
      <w:pPr>
        <w:spacing w:line="360" w:lineRule="auto"/>
        <w:rPr>
          <w:rFonts w:ascii="Times New Roman" w:hAnsi="Times New Roman" w:cs="Times New Roman"/>
          <w:szCs w:val="21"/>
        </w:rPr>
      </w:pPr>
    </w:p>
    <w:p w:rsidR="00D843FA" w:rsidRDefault="00D843FA">
      <w:pPr>
        <w:spacing w:line="360" w:lineRule="auto"/>
        <w:rPr>
          <w:rFonts w:ascii="Times New Roman" w:hAnsi="Times New Roman" w:cs="Times New Roman"/>
          <w:szCs w:val="21"/>
        </w:rPr>
      </w:pPr>
    </w:p>
    <w:p w:rsidR="00DA0521" w:rsidRDefault="00DA0521">
      <w:pPr>
        <w:spacing w:line="360" w:lineRule="auto"/>
        <w:rPr>
          <w:rFonts w:ascii="Times New Roman" w:hAnsi="Times New Roman" w:cs="Times New Roman"/>
          <w:szCs w:val="21"/>
        </w:rPr>
      </w:pPr>
    </w:p>
    <w:p w:rsidR="00D843FA" w:rsidRDefault="00000000">
      <w:pPr>
        <w:pStyle w:val="ad"/>
        <w:numPr>
          <w:ilvl w:val="0"/>
          <w:numId w:val="2"/>
        </w:numPr>
        <w:spacing w:line="360" w:lineRule="auto"/>
        <w:ind w:firstLineChars="0"/>
        <w:jc w:val="center"/>
        <w:rPr>
          <w:rFonts w:ascii="Times New Roman" w:hAnsi="Times New Roman" w:cs="Times New Roman"/>
          <w:sz w:val="24"/>
          <w:szCs w:val="24"/>
        </w:rPr>
      </w:pPr>
      <w:r>
        <w:rPr>
          <w:rFonts w:ascii="Times New Roman" w:hAnsi="Times New Roman" w:cs="Times New Roman"/>
          <w:szCs w:val="21"/>
        </w:rPr>
        <w:lastRenderedPageBreak/>
        <w:t xml:space="preserve">Determination of different amounts of </w:t>
      </w:r>
      <w:r>
        <w:rPr>
          <w:rFonts w:ascii="Times New Roman" w:hAnsi="Times New Roman" w:cs="Times New Roman" w:hint="eastAsia"/>
          <w:szCs w:val="21"/>
        </w:rPr>
        <w:t>CIP</w:t>
      </w:r>
      <w:r>
        <w:rPr>
          <w:rFonts w:ascii="Times New Roman" w:hAnsi="Times New Roman" w:cs="Times New Roman"/>
          <w:szCs w:val="21"/>
        </w:rPr>
        <w:t xml:space="preserve"> in </w:t>
      </w:r>
      <w:r>
        <w:rPr>
          <w:rFonts w:ascii="Times New Roman" w:hAnsi="Times New Roman" w:cs="Times New Roman" w:hint="eastAsia"/>
          <w:szCs w:val="21"/>
        </w:rPr>
        <w:t>r</w:t>
      </w:r>
      <w:r>
        <w:rPr>
          <w:rFonts w:ascii="Times New Roman" w:hAnsi="Times New Roman" w:cs="Times New Roman"/>
          <w:szCs w:val="21"/>
        </w:rPr>
        <w:t xml:space="preserve">eal </w:t>
      </w:r>
      <w:r>
        <w:rPr>
          <w:rFonts w:ascii="Times New Roman" w:hAnsi="Times New Roman" w:cs="Times New Roman" w:hint="eastAsia"/>
          <w:szCs w:val="21"/>
        </w:rPr>
        <w:t>s</w:t>
      </w:r>
      <w:r>
        <w:rPr>
          <w:rFonts w:ascii="Times New Roman" w:hAnsi="Times New Roman" w:cs="Times New Roman"/>
          <w:szCs w:val="21"/>
        </w:rPr>
        <w:t>amples</w:t>
      </w:r>
    </w:p>
    <w:tbl>
      <w:tblPr>
        <w:tblStyle w:val="a9"/>
        <w:tblW w:w="4997" w:type="pct"/>
        <w:jc w:val="center"/>
        <w:tblLook w:val="04A0" w:firstRow="1" w:lastRow="0" w:firstColumn="1" w:lastColumn="0" w:noHBand="0" w:noVBand="1"/>
      </w:tblPr>
      <w:tblGrid>
        <w:gridCol w:w="1311"/>
        <w:gridCol w:w="2162"/>
        <w:gridCol w:w="2162"/>
        <w:gridCol w:w="2162"/>
        <w:gridCol w:w="1835"/>
      </w:tblGrid>
      <w:tr w:rsidR="00D843FA">
        <w:trPr>
          <w:trHeight w:val="533"/>
          <w:jc w:val="center"/>
        </w:trPr>
        <w:tc>
          <w:tcPr>
            <w:tcW w:w="680" w:type="pct"/>
            <w:tcBorders>
              <w:top w:val="single" w:sz="12" w:space="0" w:color="000000" w:themeColor="text1"/>
              <w:left w:val="nil"/>
              <w:bottom w:val="single" w:sz="4" w:space="0" w:color="000000" w:themeColor="text1"/>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sz w:val="24"/>
              </w:rPr>
              <w:t>Sample</w:t>
            </w:r>
          </w:p>
        </w:tc>
        <w:tc>
          <w:tcPr>
            <w:tcW w:w="1122" w:type="pct"/>
            <w:tcBorders>
              <w:top w:val="single" w:sz="12" w:space="0" w:color="000000" w:themeColor="text1"/>
              <w:left w:val="nil"/>
              <w:bottom w:val="single" w:sz="4" w:space="0" w:color="000000" w:themeColor="text1"/>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sz w:val="24"/>
                <w:lang w:eastAsia="de-DE"/>
              </w:rPr>
              <w:t>Added(</w:t>
            </w:r>
            <w:r>
              <w:rPr>
                <w:rFonts w:ascii="Times New Roman" w:hAnsi="Times New Roman" w:cs="Times New Roman"/>
                <w:sz w:val="24"/>
              </w:rPr>
              <w:t>μ</w:t>
            </w:r>
            <w:r>
              <w:rPr>
                <w:rFonts w:ascii="Times New Roman" w:hAnsi="Times New Roman" w:cs="Times New Roman"/>
                <w:sz w:val="24"/>
                <w:lang w:eastAsia="de-DE"/>
              </w:rPr>
              <w:t>g·L</w:t>
            </w:r>
            <w:r>
              <w:rPr>
                <w:rFonts w:ascii="Times New Roman" w:hAnsi="Times New Roman" w:cs="Times New Roman"/>
                <w:sz w:val="24"/>
                <w:vertAlign w:val="superscript"/>
                <w:lang w:eastAsia="de-DE"/>
              </w:rPr>
              <w:t>-1</w:t>
            </w:r>
            <w:r>
              <w:rPr>
                <w:rFonts w:ascii="Times New Roman" w:hAnsi="Times New Roman" w:cs="Times New Roman"/>
                <w:sz w:val="24"/>
                <w:lang w:eastAsia="de-DE"/>
              </w:rPr>
              <w:t>)</w:t>
            </w:r>
          </w:p>
        </w:tc>
        <w:tc>
          <w:tcPr>
            <w:tcW w:w="1122" w:type="pct"/>
            <w:tcBorders>
              <w:top w:val="single" w:sz="12" w:space="0" w:color="000000" w:themeColor="text1"/>
              <w:left w:val="nil"/>
              <w:bottom w:val="single" w:sz="4" w:space="0" w:color="000000" w:themeColor="text1"/>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sz w:val="24"/>
                <w:lang w:eastAsia="de-DE"/>
              </w:rPr>
              <w:t>Found(</w:t>
            </w:r>
            <w:r>
              <w:rPr>
                <w:rFonts w:ascii="Times New Roman" w:hAnsi="Times New Roman" w:cs="Times New Roman"/>
                <w:sz w:val="24"/>
              </w:rPr>
              <w:t>μ</w:t>
            </w:r>
            <w:r>
              <w:rPr>
                <w:rFonts w:ascii="Times New Roman" w:hAnsi="Times New Roman" w:cs="Times New Roman"/>
                <w:sz w:val="24"/>
                <w:lang w:eastAsia="de-DE"/>
              </w:rPr>
              <w:t>g·L</w:t>
            </w:r>
            <w:r>
              <w:rPr>
                <w:rFonts w:ascii="Times New Roman" w:hAnsi="Times New Roman" w:cs="Times New Roman"/>
                <w:sz w:val="24"/>
                <w:vertAlign w:val="superscript"/>
                <w:lang w:eastAsia="de-DE"/>
              </w:rPr>
              <w:t>-1</w:t>
            </w:r>
            <w:r>
              <w:rPr>
                <w:rFonts w:ascii="Times New Roman" w:hAnsi="Times New Roman" w:cs="Times New Roman"/>
                <w:sz w:val="24"/>
                <w:lang w:eastAsia="de-DE"/>
              </w:rPr>
              <w:t>)</w:t>
            </w:r>
          </w:p>
        </w:tc>
        <w:tc>
          <w:tcPr>
            <w:tcW w:w="1122" w:type="pct"/>
            <w:tcBorders>
              <w:top w:val="single" w:sz="12" w:space="0" w:color="000000" w:themeColor="text1"/>
              <w:left w:val="nil"/>
              <w:bottom w:val="single" w:sz="4" w:space="0" w:color="000000" w:themeColor="text1"/>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sz w:val="24"/>
                <w:lang w:eastAsia="de-DE"/>
              </w:rPr>
              <w:t>Recovery (%)</w:t>
            </w:r>
          </w:p>
        </w:tc>
        <w:tc>
          <w:tcPr>
            <w:tcW w:w="952" w:type="pct"/>
            <w:tcBorders>
              <w:top w:val="single" w:sz="12" w:space="0" w:color="000000" w:themeColor="text1"/>
              <w:left w:val="nil"/>
              <w:bottom w:val="single" w:sz="4" w:space="0" w:color="000000" w:themeColor="text1"/>
              <w:right w:val="nil"/>
            </w:tcBorders>
          </w:tcPr>
          <w:p w:rsidR="00D843FA" w:rsidRDefault="00000000">
            <w:pPr>
              <w:spacing w:line="360" w:lineRule="auto"/>
              <w:jc w:val="center"/>
              <w:rPr>
                <w:rFonts w:ascii="Times New Roman" w:hAnsi="Times New Roman" w:cs="Times New Roman"/>
                <w:sz w:val="24"/>
                <w:lang w:eastAsia="de-DE"/>
              </w:rPr>
            </w:pPr>
            <w:r>
              <w:rPr>
                <w:rFonts w:ascii="Times New Roman" w:hAnsi="Times New Roman" w:cs="Times New Roman"/>
                <w:sz w:val="24"/>
                <w:lang w:eastAsia="de-DE"/>
              </w:rPr>
              <w:t>RSD (%)</w:t>
            </w:r>
          </w:p>
        </w:tc>
      </w:tr>
      <w:tr w:rsidR="00D843FA">
        <w:trPr>
          <w:jc w:val="center"/>
        </w:trPr>
        <w:tc>
          <w:tcPr>
            <w:tcW w:w="680" w:type="pct"/>
            <w:tcBorders>
              <w:top w:val="single" w:sz="4" w:space="0" w:color="000000" w:themeColor="text1"/>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ilk 1</w:t>
            </w:r>
          </w:p>
        </w:tc>
        <w:tc>
          <w:tcPr>
            <w:tcW w:w="1122" w:type="pct"/>
            <w:tcBorders>
              <w:top w:val="single" w:sz="4" w:space="0" w:color="000000" w:themeColor="text1"/>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5</w:t>
            </w:r>
          </w:p>
        </w:tc>
        <w:tc>
          <w:tcPr>
            <w:tcW w:w="1122" w:type="pct"/>
            <w:tcBorders>
              <w:top w:val="single" w:sz="4" w:space="0" w:color="000000" w:themeColor="text1"/>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.96</w:t>
            </w:r>
          </w:p>
        </w:tc>
        <w:tc>
          <w:tcPr>
            <w:tcW w:w="1122" w:type="pct"/>
            <w:tcBorders>
              <w:top w:val="single" w:sz="4" w:space="0" w:color="000000" w:themeColor="text1"/>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9.20</w:t>
            </w:r>
          </w:p>
        </w:tc>
        <w:tc>
          <w:tcPr>
            <w:tcW w:w="952" w:type="pct"/>
            <w:vMerge w:val="restart"/>
            <w:tcBorders>
              <w:top w:val="single" w:sz="4" w:space="0" w:color="000000" w:themeColor="text1"/>
              <w:left w:val="nil"/>
              <w:bottom w:val="nil"/>
              <w:right w:val="nil"/>
            </w:tcBorders>
            <w:vAlign w:val="center"/>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.66</w:t>
            </w:r>
          </w:p>
        </w:tc>
      </w:tr>
      <w:tr w:rsidR="00D843FA">
        <w:trPr>
          <w:jc w:val="center"/>
        </w:trPr>
        <w:tc>
          <w:tcPr>
            <w:tcW w:w="680" w:type="pct"/>
            <w:tcBorders>
              <w:top w:val="nil"/>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1122" w:type="pct"/>
            <w:tcBorders>
              <w:top w:val="nil"/>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1122" w:type="pct"/>
            <w:tcBorders>
              <w:top w:val="nil"/>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10.88</w:t>
            </w:r>
          </w:p>
        </w:tc>
        <w:tc>
          <w:tcPr>
            <w:tcW w:w="1122" w:type="pct"/>
            <w:tcBorders>
              <w:top w:val="nil"/>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08.80</w:t>
            </w:r>
          </w:p>
        </w:tc>
        <w:tc>
          <w:tcPr>
            <w:tcW w:w="952" w:type="pct"/>
            <w:vMerge/>
            <w:tcBorders>
              <w:top w:val="nil"/>
              <w:left w:val="nil"/>
              <w:bottom w:val="nil"/>
              <w:right w:val="nil"/>
            </w:tcBorders>
          </w:tcPr>
          <w:p w:rsidR="00D843FA" w:rsidRDefault="00D843FA">
            <w:pPr>
              <w:spacing w:line="360" w:lineRule="auto"/>
              <w:jc w:val="center"/>
              <w:rPr>
                <w:rFonts w:ascii="Times New Roman" w:hAnsi="Times New Roman" w:cs="Times New Roman"/>
                <w:sz w:val="24"/>
                <w:szCs w:val="24"/>
              </w:rPr>
            </w:pPr>
          </w:p>
        </w:tc>
      </w:tr>
      <w:tr w:rsidR="00D843FA">
        <w:trPr>
          <w:jc w:val="center"/>
        </w:trPr>
        <w:tc>
          <w:tcPr>
            <w:tcW w:w="680" w:type="pct"/>
            <w:tcBorders>
              <w:top w:val="nil"/>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p>
        </w:tc>
        <w:tc>
          <w:tcPr>
            <w:tcW w:w="1122" w:type="pct"/>
            <w:tcBorders>
              <w:top w:val="nil"/>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w:t>
            </w:r>
          </w:p>
        </w:tc>
        <w:tc>
          <w:tcPr>
            <w:tcW w:w="1122" w:type="pct"/>
            <w:tcBorders>
              <w:top w:val="nil"/>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4.85</w:t>
            </w:r>
          </w:p>
        </w:tc>
        <w:tc>
          <w:tcPr>
            <w:tcW w:w="1122" w:type="pct"/>
            <w:tcBorders>
              <w:top w:val="nil"/>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9.01</w:t>
            </w:r>
          </w:p>
        </w:tc>
        <w:tc>
          <w:tcPr>
            <w:tcW w:w="952" w:type="pct"/>
            <w:vMerge/>
            <w:tcBorders>
              <w:top w:val="nil"/>
              <w:left w:val="nil"/>
              <w:bottom w:val="nil"/>
              <w:right w:val="nil"/>
            </w:tcBorders>
          </w:tcPr>
          <w:p w:rsidR="00D843FA" w:rsidRDefault="00D843FA">
            <w:pPr>
              <w:spacing w:line="360" w:lineRule="auto"/>
              <w:jc w:val="center"/>
              <w:rPr>
                <w:rFonts w:ascii="Times New Roman" w:hAnsi="Times New Roman" w:cs="Times New Roman"/>
                <w:sz w:val="24"/>
                <w:szCs w:val="24"/>
              </w:rPr>
            </w:pPr>
          </w:p>
        </w:tc>
      </w:tr>
      <w:tr w:rsidR="00D843FA">
        <w:trPr>
          <w:jc w:val="center"/>
        </w:trPr>
        <w:tc>
          <w:tcPr>
            <w:tcW w:w="680" w:type="pct"/>
            <w:tcBorders>
              <w:top w:val="nil"/>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4</w:t>
            </w:r>
          </w:p>
        </w:tc>
        <w:tc>
          <w:tcPr>
            <w:tcW w:w="1122" w:type="pct"/>
            <w:tcBorders>
              <w:top w:val="nil"/>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w:t>
            </w:r>
          </w:p>
        </w:tc>
        <w:tc>
          <w:tcPr>
            <w:tcW w:w="1122" w:type="pct"/>
            <w:tcBorders>
              <w:top w:val="nil"/>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4.93</w:t>
            </w:r>
          </w:p>
        </w:tc>
        <w:tc>
          <w:tcPr>
            <w:tcW w:w="1122" w:type="pct"/>
            <w:tcBorders>
              <w:top w:val="nil"/>
              <w:left w:val="nil"/>
              <w:bottom w:val="nil"/>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9.72</w:t>
            </w:r>
          </w:p>
        </w:tc>
        <w:tc>
          <w:tcPr>
            <w:tcW w:w="952" w:type="pct"/>
            <w:vMerge/>
            <w:tcBorders>
              <w:top w:val="nil"/>
              <w:left w:val="nil"/>
              <w:bottom w:val="nil"/>
              <w:right w:val="nil"/>
            </w:tcBorders>
          </w:tcPr>
          <w:p w:rsidR="00D843FA" w:rsidRDefault="00D843FA">
            <w:pPr>
              <w:spacing w:line="360" w:lineRule="auto"/>
              <w:jc w:val="center"/>
              <w:rPr>
                <w:rFonts w:ascii="Times New Roman" w:hAnsi="Times New Roman" w:cs="Times New Roman"/>
                <w:sz w:val="24"/>
                <w:szCs w:val="24"/>
              </w:rPr>
            </w:pPr>
          </w:p>
        </w:tc>
      </w:tr>
      <w:tr w:rsidR="00D843FA">
        <w:trPr>
          <w:jc w:val="center"/>
        </w:trPr>
        <w:tc>
          <w:tcPr>
            <w:tcW w:w="680" w:type="pct"/>
            <w:tcBorders>
              <w:top w:val="nil"/>
              <w:left w:val="nil"/>
              <w:bottom w:val="single" w:sz="12" w:space="0" w:color="000000" w:themeColor="text1"/>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5</w:t>
            </w:r>
          </w:p>
        </w:tc>
        <w:tc>
          <w:tcPr>
            <w:tcW w:w="1122" w:type="pct"/>
            <w:tcBorders>
              <w:top w:val="nil"/>
              <w:left w:val="nil"/>
              <w:bottom w:val="single" w:sz="12" w:space="0" w:color="000000" w:themeColor="text1"/>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5</w:t>
            </w:r>
          </w:p>
        </w:tc>
        <w:tc>
          <w:tcPr>
            <w:tcW w:w="1122" w:type="pct"/>
            <w:tcBorders>
              <w:top w:val="nil"/>
              <w:left w:val="nil"/>
              <w:bottom w:val="single" w:sz="12" w:space="0" w:color="000000" w:themeColor="text1"/>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5.23</w:t>
            </w:r>
          </w:p>
        </w:tc>
        <w:tc>
          <w:tcPr>
            <w:tcW w:w="1122" w:type="pct"/>
            <w:tcBorders>
              <w:top w:val="nil"/>
              <w:left w:val="nil"/>
              <w:bottom w:val="single" w:sz="12" w:space="0" w:color="000000" w:themeColor="text1"/>
              <w:right w:val="nil"/>
            </w:tcBorders>
          </w:tcPr>
          <w:p w:rsidR="00D843FA"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100.66</w:t>
            </w:r>
          </w:p>
        </w:tc>
        <w:tc>
          <w:tcPr>
            <w:tcW w:w="952" w:type="pct"/>
            <w:vMerge/>
            <w:tcBorders>
              <w:top w:val="nil"/>
              <w:left w:val="nil"/>
              <w:bottom w:val="single" w:sz="12" w:space="0" w:color="000000" w:themeColor="text1"/>
              <w:right w:val="nil"/>
            </w:tcBorders>
          </w:tcPr>
          <w:p w:rsidR="00D843FA" w:rsidRDefault="00D843FA">
            <w:pPr>
              <w:spacing w:line="360" w:lineRule="auto"/>
              <w:jc w:val="center"/>
              <w:rPr>
                <w:rFonts w:ascii="Times New Roman" w:hAnsi="Times New Roman" w:cs="Times New Roman"/>
                <w:sz w:val="24"/>
                <w:szCs w:val="24"/>
              </w:rPr>
            </w:pPr>
          </w:p>
        </w:tc>
      </w:tr>
    </w:tbl>
    <w:p w:rsidR="00D843FA" w:rsidRDefault="00000000">
      <w:pPr>
        <w:spacing w:line="360" w:lineRule="auto"/>
        <w:rPr>
          <w:rFonts w:ascii="Times New Roman" w:hAnsi="Times New Roman" w:cs="Times New Roman"/>
          <w:b/>
          <w:bCs/>
          <w:sz w:val="28"/>
          <w:szCs w:val="28"/>
        </w:rPr>
      </w:pPr>
      <w:r>
        <w:rPr>
          <w:rFonts w:ascii="Times New Roman" w:hAnsi="Times New Roman" w:cs="Times New Roman"/>
          <w:b/>
          <w:bCs/>
          <w:sz w:val="28"/>
          <w:szCs w:val="28"/>
        </w:rPr>
        <w:t>References</w:t>
      </w:r>
    </w:p>
    <w:p w:rsidR="00922A47" w:rsidRDefault="00922A47" w:rsidP="00922A47">
      <w:pPr>
        <w:pStyle w:val="EndNoteBibliography"/>
        <w:numPr>
          <w:ilvl w:val="0"/>
          <w:numId w:val="3"/>
        </w:numPr>
        <w:spacing w:line="480" w:lineRule="auto"/>
        <w:rPr>
          <w:rFonts w:ascii="Times New Roman" w:hAnsi="Times New Roman" w:cs="Times New Roman"/>
          <w:sz w:val="24"/>
          <w:szCs w:val="24"/>
        </w:rPr>
      </w:pPr>
      <w:bookmarkStart w:id="1" w:name="d8"/>
      <w:bookmarkStart w:id="2" w:name="d9"/>
      <w:r>
        <w:rPr>
          <w:rFonts w:ascii="Times New Roman" w:hAnsi="Times New Roman" w:cs="Times New Roman"/>
          <w:sz w:val="24"/>
          <w:szCs w:val="24"/>
        </w:rPr>
        <w:t xml:space="preserve">Yang, J., Huang, Y., Cui, H., Li, L., &amp; Ding, Y. (2022). A FRET fluorescent sensor for ratiometric and visual detection of Sulfide based on Carbon Dots and Silver Nanoclusters. </w:t>
      </w:r>
      <w:r w:rsidRPr="00D174BD">
        <w:rPr>
          <w:rFonts w:ascii="Times New Roman" w:hAnsi="Times New Roman" w:cs="Times New Roman"/>
          <w:iCs/>
          <w:sz w:val="24"/>
          <w:szCs w:val="24"/>
        </w:rPr>
        <w:t>J Fluoresc</w:t>
      </w:r>
      <w:r w:rsidR="00D174BD">
        <w:rPr>
          <w:rFonts w:ascii="Times New Roman" w:hAnsi="Times New Roman" w:cs="Times New Roman"/>
          <w:iCs/>
          <w:sz w:val="24"/>
          <w:szCs w:val="24"/>
        </w:rPr>
        <w:t xml:space="preserve"> </w:t>
      </w:r>
      <w:r w:rsidRPr="00D174BD">
        <w:rPr>
          <w:rFonts w:ascii="Times New Roman" w:hAnsi="Times New Roman" w:cs="Times New Roman"/>
          <w:iCs/>
          <w:sz w:val="24"/>
          <w:szCs w:val="24"/>
        </w:rPr>
        <w:t>32</w:t>
      </w:r>
      <w:r>
        <w:rPr>
          <w:rFonts w:ascii="Times New Roman" w:hAnsi="Times New Roman" w:cs="Times New Roman"/>
          <w:sz w:val="24"/>
          <w:szCs w:val="24"/>
        </w:rPr>
        <w:t>(5)</w:t>
      </w:r>
      <w:r w:rsidR="00897DEF">
        <w:rPr>
          <w:rFonts w:ascii="Times New Roman" w:hAnsi="Times New Roman" w:cs="Times New Roman"/>
          <w:sz w:val="24"/>
          <w:szCs w:val="24"/>
        </w:rPr>
        <w:t>:</w:t>
      </w:r>
      <w:r>
        <w:rPr>
          <w:rFonts w:ascii="Times New Roman" w:hAnsi="Times New Roman" w:cs="Times New Roman"/>
          <w:sz w:val="24"/>
          <w:szCs w:val="24"/>
        </w:rPr>
        <w:t xml:space="preserve"> 1815-1823. </w:t>
      </w:r>
      <w:hyperlink r:id="rId22" w:history="1">
        <w:r>
          <w:rPr>
            <w:rFonts w:ascii="Times New Roman" w:hAnsi="Times New Roman" w:cs="Times New Roman"/>
            <w:sz w:val="24"/>
            <w:szCs w:val="24"/>
          </w:rPr>
          <w:t>https://doi.org/10.1007/s10895-022-02981-8</w:t>
        </w:r>
      </w:hyperlink>
      <w:bookmarkEnd w:id="1"/>
      <w:bookmarkEnd w:id="2"/>
    </w:p>
    <w:p w:rsidR="00922A47" w:rsidRDefault="00922A47" w:rsidP="00922A47">
      <w:pPr>
        <w:pStyle w:val="EndNoteBibliography"/>
        <w:numPr>
          <w:ilvl w:val="0"/>
          <w:numId w:val="3"/>
        </w:numPr>
        <w:spacing w:line="480" w:lineRule="auto"/>
        <w:rPr>
          <w:rFonts w:ascii="Times New Roman" w:hAnsi="Times New Roman" w:cs="Times New Roman"/>
          <w:sz w:val="24"/>
          <w:szCs w:val="24"/>
        </w:rPr>
      </w:pPr>
      <w:bookmarkStart w:id="3" w:name="_Ref134526191"/>
      <w:bookmarkStart w:id="4" w:name="d10"/>
      <w:r>
        <w:rPr>
          <w:rFonts w:ascii="Times New Roman" w:hAnsi="Times New Roman" w:cs="Times New Roman"/>
          <w:sz w:val="24"/>
          <w:szCs w:val="24"/>
        </w:rPr>
        <w:t xml:space="preserve">Zhang, X., Tan, X., &amp; Hu, Y. (2021). Blue/yellow emissive carbon dots coupled with curcumin: a hybrid sensor toward fluorescence turn-on detection of fluoride ion. </w:t>
      </w:r>
      <w:r w:rsidR="00D174BD" w:rsidRPr="00D174BD">
        <w:rPr>
          <w:rFonts w:ascii="Times New Roman" w:hAnsi="Times New Roman" w:cs="Times New Roman"/>
          <w:iCs/>
          <w:sz w:val="24"/>
          <w:szCs w:val="24"/>
        </w:rPr>
        <w:t>J Hazard Mater</w:t>
      </w:r>
      <w:r w:rsidR="00897DEF">
        <w:rPr>
          <w:rFonts w:ascii="Times New Roman" w:hAnsi="Times New Roman" w:cs="Times New Roman"/>
          <w:sz w:val="24"/>
          <w:szCs w:val="24"/>
        </w:rPr>
        <w:t xml:space="preserve"> 411:</w:t>
      </w:r>
      <w:r>
        <w:rPr>
          <w:rFonts w:ascii="Times New Roman" w:hAnsi="Times New Roman" w:cs="Times New Roman"/>
          <w:sz w:val="24"/>
          <w:szCs w:val="24"/>
        </w:rPr>
        <w:t xml:space="preserve">125184. </w:t>
      </w:r>
      <w:hyperlink r:id="rId23" w:history="1">
        <w:r>
          <w:rPr>
            <w:rFonts w:ascii="Times New Roman" w:hAnsi="Times New Roman" w:cs="Times New Roman"/>
            <w:sz w:val="24"/>
            <w:szCs w:val="24"/>
          </w:rPr>
          <w:t>https://doi.org/10.1016/j.jhazmat.2021.125184</w:t>
        </w:r>
      </w:hyperlink>
      <w:bookmarkEnd w:id="3"/>
    </w:p>
    <w:p w:rsidR="00922A47" w:rsidRDefault="00922A47" w:rsidP="00922A47">
      <w:pPr>
        <w:pStyle w:val="EndNoteBibliography"/>
        <w:numPr>
          <w:ilvl w:val="0"/>
          <w:numId w:val="3"/>
        </w:numPr>
        <w:spacing w:line="480" w:lineRule="auto"/>
        <w:rPr>
          <w:rFonts w:ascii="Times New Roman" w:hAnsi="Times New Roman" w:cs="Times New Roman"/>
          <w:sz w:val="24"/>
          <w:szCs w:val="24"/>
        </w:rPr>
      </w:pPr>
      <w:bookmarkStart w:id="5" w:name="_Ref134526201"/>
      <w:bookmarkStart w:id="6" w:name="d2"/>
      <w:bookmarkEnd w:id="4"/>
      <w:r>
        <w:rPr>
          <w:rFonts w:ascii="Times New Roman" w:hAnsi="Times New Roman" w:cs="Times New Roman"/>
          <w:sz w:val="24"/>
          <w:szCs w:val="24"/>
        </w:rPr>
        <w:t xml:space="preserve">Cui, H., Yang, J., Lu, H., Li, L., Zhu, X., &amp; Ding, Y. (2022). Near-infrared carbon dots for cell imaging and detecting ciprofloxacin by label-free fluorescence sensor based on aptamer. </w:t>
      </w:r>
      <w:r w:rsidRPr="00D174BD">
        <w:rPr>
          <w:rFonts w:ascii="Times New Roman" w:hAnsi="Times New Roman" w:cs="Times New Roman"/>
          <w:iCs/>
          <w:sz w:val="24"/>
          <w:szCs w:val="24"/>
        </w:rPr>
        <w:t>Microchim</w:t>
      </w:r>
      <w:r w:rsidR="00D174BD">
        <w:rPr>
          <w:rFonts w:ascii="Times New Roman" w:hAnsi="Times New Roman" w:cs="Times New Roman"/>
          <w:iCs/>
          <w:sz w:val="24"/>
          <w:szCs w:val="24"/>
        </w:rPr>
        <w:t xml:space="preserve"> </w:t>
      </w:r>
      <w:r w:rsidRPr="00D174BD">
        <w:rPr>
          <w:rFonts w:ascii="Times New Roman" w:hAnsi="Times New Roman" w:cs="Times New Roman"/>
          <w:iCs/>
          <w:sz w:val="24"/>
          <w:szCs w:val="24"/>
        </w:rPr>
        <w:t>Acta</w:t>
      </w:r>
      <w:r w:rsidR="00897DEF">
        <w:rPr>
          <w:rFonts w:ascii="Times New Roman" w:hAnsi="Times New Roman" w:cs="Times New Roman"/>
          <w:iCs/>
          <w:sz w:val="24"/>
          <w:szCs w:val="24"/>
        </w:rPr>
        <w:t xml:space="preserve"> </w:t>
      </w:r>
      <w:r w:rsidRPr="00D174BD">
        <w:rPr>
          <w:rFonts w:ascii="Times New Roman" w:hAnsi="Times New Roman" w:cs="Times New Roman"/>
          <w:iCs/>
          <w:sz w:val="24"/>
          <w:szCs w:val="24"/>
        </w:rPr>
        <w:t>189</w:t>
      </w:r>
      <w:r>
        <w:rPr>
          <w:rFonts w:ascii="Times New Roman" w:hAnsi="Times New Roman" w:cs="Times New Roman"/>
          <w:sz w:val="24"/>
          <w:szCs w:val="24"/>
        </w:rPr>
        <w:t>(4)</w:t>
      </w:r>
      <w:r w:rsidR="00897DEF">
        <w:rPr>
          <w:rFonts w:ascii="Times New Roman" w:hAnsi="Times New Roman" w:cs="Times New Roman"/>
          <w:sz w:val="24"/>
          <w:szCs w:val="24"/>
        </w:rPr>
        <w:t>:</w:t>
      </w:r>
      <w:r>
        <w:rPr>
          <w:rFonts w:ascii="Times New Roman" w:hAnsi="Times New Roman" w:cs="Times New Roman"/>
          <w:sz w:val="24"/>
          <w:szCs w:val="24"/>
        </w:rPr>
        <w:t xml:space="preserve">170. </w:t>
      </w:r>
      <w:hyperlink r:id="rId24" w:history="1">
        <w:r>
          <w:rPr>
            <w:rFonts w:ascii="Times New Roman" w:hAnsi="Times New Roman" w:cs="Times New Roman"/>
            <w:sz w:val="24"/>
            <w:szCs w:val="24"/>
          </w:rPr>
          <w:t>https://doi.org/10.1007/s00604-022-05273-x</w:t>
        </w:r>
      </w:hyperlink>
      <w:bookmarkEnd w:id="5"/>
    </w:p>
    <w:p w:rsidR="00922A47" w:rsidRDefault="00922A47" w:rsidP="00922A47">
      <w:pPr>
        <w:pStyle w:val="EndNoteBibliography"/>
        <w:numPr>
          <w:ilvl w:val="0"/>
          <w:numId w:val="3"/>
        </w:numPr>
        <w:spacing w:line="480" w:lineRule="auto"/>
        <w:rPr>
          <w:rFonts w:ascii="Times New Roman" w:hAnsi="Times New Roman" w:cs="Times New Roman"/>
          <w:sz w:val="24"/>
          <w:szCs w:val="24"/>
        </w:rPr>
      </w:pPr>
      <w:bookmarkStart w:id="7" w:name="_Ref134526215"/>
      <w:bookmarkStart w:id="8" w:name="d7"/>
      <w:bookmarkEnd w:id="6"/>
      <w:r>
        <w:rPr>
          <w:rFonts w:ascii="Times New Roman" w:hAnsi="Times New Roman" w:cs="Times New Roman"/>
          <w:sz w:val="24"/>
          <w:szCs w:val="24"/>
        </w:rPr>
        <w:t xml:space="preserve">Orachorn, N., &amp; Bunkoed, O. (2022). A composite adsorbent of graphene quantum dots, mesoporous carbon, and molecularly imprinted polymer to extract nonsteroidal anti-inflammatory drugs in milk. </w:t>
      </w:r>
      <w:r w:rsidRPr="00D174BD">
        <w:rPr>
          <w:rFonts w:ascii="Times New Roman" w:hAnsi="Times New Roman" w:cs="Times New Roman"/>
          <w:iCs/>
          <w:sz w:val="24"/>
          <w:szCs w:val="24"/>
        </w:rPr>
        <w:t>Microchim Acta</w:t>
      </w:r>
      <w:r w:rsidR="00897DEF">
        <w:rPr>
          <w:rFonts w:ascii="Times New Roman" w:hAnsi="Times New Roman" w:cs="Times New Roman"/>
          <w:iCs/>
          <w:sz w:val="24"/>
          <w:szCs w:val="24"/>
        </w:rPr>
        <w:t xml:space="preserve"> </w:t>
      </w:r>
      <w:r w:rsidRPr="00D174BD">
        <w:rPr>
          <w:rFonts w:ascii="Times New Roman" w:hAnsi="Times New Roman" w:cs="Times New Roman"/>
          <w:iCs/>
          <w:sz w:val="24"/>
          <w:szCs w:val="24"/>
        </w:rPr>
        <w:t>189</w:t>
      </w:r>
      <w:r>
        <w:rPr>
          <w:rFonts w:ascii="Times New Roman" w:hAnsi="Times New Roman" w:cs="Times New Roman"/>
          <w:sz w:val="24"/>
          <w:szCs w:val="24"/>
        </w:rPr>
        <w:t>(12)</w:t>
      </w:r>
      <w:r w:rsidR="00897DEF">
        <w:rPr>
          <w:rFonts w:ascii="Times New Roman" w:hAnsi="Times New Roman" w:cs="Times New Roman"/>
          <w:sz w:val="24"/>
          <w:szCs w:val="24"/>
        </w:rPr>
        <w:t>:</w:t>
      </w:r>
      <w:r>
        <w:rPr>
          <w:rFonts w:ascii="Times New Roman" w:hAnsi="Times New Roman" w:cs="Times New Roman"/>
          <w:sz w:val="24"/>
          <w:szCs w:val="24"/>
        </w:rPr>
        <w:t xml:space="preserve">446. </w:t>
      </w:r>
      <w:hyperlink r:id="rId25" w:history="1">
        <w:r>
          <w:rPr>
            <w:rFonts w:ascii="Times New Roman" w:hAnsi="Times New Roman" w:cs="Times New Roman"/>
            <w:sz w:val="24"/>
            <w:szCs w:val="24"/>
          </w:rPr>
          <w:t>https://doi.org/10.1007/s00604-022-05550-9</w:t>
        </w:r>
      </w:hyperlink>
      <w:bookmarkEnd w:id="7"/>
    </w:p>
    <w:p w:rsidR="00922A47" w:rsidRDefault="00922A47" w:rsidP="00922A47">
      <w:pPr>
        <w:pStyle w:val="EndNoteBibliography"/>
        <w:numPr>
          <w:ilvl w:val="0"/>
          <w:numId w:val="3"/>
        </w:numPr>
        <w:spacing w:line="480" w:lineRule="auto"/>
        <w:rPr>
          <w:rFonts w:ascii="Times New Roman" w:hAnsi="Times New Roman" w:cs="Times New Roman"/>
          <w:sz w:val="24"/>
          <w:szCs w:val="24"/>
        </w:rPr>
      </w:pPr>
      <w:bookmarkStart w:id="9" w:name="d5"/>
      <w:bookmarkEnd w:id="8"/>
      <w:r>
        <w:rPr>
          <w:rFonts w:ascii="Times New Roman" w:hAnsi="Times New Roman" w:cs="Times New Roman"/>
          <w:sz w:val="24"/>
          <w:szCs w:val="24"/>
        </w:rPr>
        <w:t>Li, T., Deng, Z., Bu, J., Liu, H., Yang, Y., &amp; Zhong, S. (2022). Quantum dot based molecularly imprinted polymer test strips for fluorescence detection of ferritin.</w:t>
      </w:r>
      <w:r w:rsidR="00D174BD" w:rsidRPr="00D174BD">
        <w:rPr>
          <w:rFonts w:ascii="Times New Roman" w:hAnsi="Times New Roman" w:cs="Times New Roman"/>
          <w:iCs/>
          <w:sz w:val="24"/>
          <w:szCs w:val="24"/>
        </w:rPr>
        <w:t xml:space="preserve"> </w:t>
      </w:r>
      <w:r w:rsidR="00D174BD" w:rsidRPr="00D174BD">
        <w:rPr>
          <w:rFonts w:ascii="Times New Roman" w:hAnsi="Times New Roman" w:cs="Times New Roman"/>
          <w:iCs/>
          <w:sz w:val="24"/>
          <w:szCs w:val="24"/>
        </w:rPr>
        <w:t>Sen Actuators B Chem 358</w:t>
      </w:r>
      <w:r w:rsidR="00D174BD">
        <w:rPr>
          <w:rFonts w:ascii="Times New Roman" w:hAnsi="Times New Roman" w:cs="Times New Roman" w:hint="eastAsia"/>
          <w:sz w:val="24"/>
          <w:szCs w:val="24"/>
        </w:rPr>
        <w:t>：</w:t>
      </w:r>
      <w:r>
        <w:rPr>
          <w:rFonts w:ascii="Times New Roman" w:hAnsi="Times New Roman" w:cs="Times New Roman"/>
          <w:sz w:val="24"/>
          <w:szCs w:val="24"/>
        </w:rPr>
        <w:t xml:space="preserve">131548. </w:t>
      </w:r>
      <w:hyperlink r:id="rId26" w:history="1">
        <w:r>
          <w:rPr>
            <w:rFonts w:ascii="Times New Roman" w:hAnsi="Times New Roman" w:cs="Times New Roman"/>
            <w:sz w:val="24"/>
            <w:szCs w:val="24"/>
          </w:rPr>
          <w:t>https://doi.org/10.1016/j.snb.2022.131548</w:t>
        </w:r>
      </w:hyperlink>
      <w:bookmarkEnd w:id="9"/>
    </w:p>
    <w:p w:rsidR="00922A47" w:rsidRDefault="00922A47" w:rsidP="00922A47">
      <w:pPr>
        <w:pStyle w:val="EndNoteBibliography"/>
        <w:numPr>
          <w:ilvl w:val="0"/>
          <w:numId w:val="3"/>
        </w:numPr>
        <w:spacing w:line="480" w:lineRule="auto"/>
        <w:rPr>
          <w:rFonts w:ascii="Times New Roman" w:hAnsi="Times New Roman" w:cs="Times New Roman"/>
          <w:sz w:val="24"/>
          <w:szCs w:val="24"/>
        </w:rPr>
      </w:pPr>
      <w:bookmarkStart w:id="10" w:name="_Ref134526239"/>
      <w:bookmarkStart w:id="11" w:name="d4"/>
      <w:r>
        <w:rPr>
          <w:rFonts w:ascii="Times New Roman" w:hAnsi="Times New Roman" w:cs="Times New Roman"/>
          <w:sz w:val="24"/>
          <w:szCs w:val="24"/>
        </w:rPr>
        <w:lastRenderedPageBreak/>
        <w:t xml:space="preserve">Hue, N. T., Pham, T. N., Dinh, N. X., Van Tuan, H., Thuy, N. T. T., Nam, M. H., Lam, V. D., Le, A.-T., &amp; Huy, T. Q. (2022). AuNPs-modified screen-printed electrodes (SPCE and SPPtE) for enhanced direct detection of chloramphenicol. </w:t>
      </w:r>
      <w:r w:rsidR="00D174BD" w:rsidRPr="00D174BD">
        <w:rPr>
          <w:rFonts w:ascii="Times New Roman" w:hAnsi="Times New Roman" w:cs="Times New Roman"/>
          <w:iCs/>
          <w:sz w:val="24"/>
          <w:szCs w:val="24"/>
        </w:rPr>
        <w:t>J</w:t>
      </w:r>
      <w:r w:rsidR="00D174BD">
        <w:rPr>
          <w:rFonts w:ascii="Times New Roman" w:hAnsi="Times New Roman" w:cs="Times New Roman"/>
          <w:iCs/>
          <w:sz w:val="24"/>
          <w:szCs w:val="24"/>
        </w:rPr>
        <w:t xml:space="preserve"> </w:t>
      </w:r>
      <w:r w:rsidR="00D174BD" w:rsidRPr="00D174BD">
        <w:rPr>
          <w:rFonts w:ascii="Times New Roman" w:hAnsi="Times New Roman" w:cs="Times New Roman"/>
          <w:iCs/>
          <w:sz w:val="24"/>
          <w:szCs w:val="24"/>
        </w:rPr>
        <w:t>Electron</w:t>
      </w:r>
      <w:r w:rsidR="00D174BD">
        <w:rPr>
          <w:rFonts w:ascii="Times New Roman" w:hAnsi="Times New Roman" w:cs="Times New Roman"/>
          <w:iCs/>
          <w:sz w:val="24"/>
          <w:szCs w:val="24"/>
        </w:rPr>
        <w:t xml:space="preserve"> </w:t>
      </w:r>
      <w:r w:rsidR="00D174BD" w:rsidRPr="00D174BD">
        <w:rPr>
          <w:rFonts w:ascii="Times New Roman" w:hAnsi="Times New Roman" w:cs="Times New Roman"/>
          <w:iCs/>
          <w:sz w:val="24"/>
          <w:szCs w:val="24"/>
        </w:rPr>
        <w:t>Mater</w:t>
      </w:r>
      <w:r w:rsidR="00D174BD">
        <w:rPr>
          <w:rFonts w:ascii="Times New Roman" w:hAnsi="Times New Roman" w:cs="Times New Roman"/>
          <w:iCs/>
          <w:sz w:val="24"/>
          <w:szCs w:val="24"/>
        </w:rPr>
        <w:t xml:space="preserve"> </w:t>
      </w:r>
      <w:r w:rsidRPr="00D174BD">
        <w:rPr>
          <w:rFonts w:ascii="Times New Roman" w:hAnsi="Times New Roman" w:cs="Times New Roman"/>
          <w:iCs/>
          <w:sz w:val="24"/>
          <w:szCs w:val="24"/>
        </w:rPr>
        <w:t>51</w:t>
      </w:r>
      <w:r>
        <w:rPr>
          <w:rFonts w:ascii="Times New Roman" w:hAnsi="Times New Roman" w:cs="Times New Roman"/>
          <w:sz w:val="24"/>
          <w:szCs w:val="24"/>
        </w:rPr>
        <w:t>(4)</w:t>
      </w:r>
      <w:r w:rsidR="00D174BD">
        <w:rPr>
          <w:rFonts w:ascii="Times New Roman" w:hAnsi="Times New Roman" w:cs="Times New Roman" w:hint="eastAsia"/>
          <w:sz w:val="24"/>
          <w:szCs w:val="24"/>
        </w:rPr>
        <w:t>：</w:t>
      </w:r>
      <w:r>
        <w:rPr>
          <w:rFonts w:ascii="Times New Roman" w:hAnsi="Times New Roman" w:cs="Times New Roman"/>
          <w:sz w:val="24"/>
          <w:szCs w:val="24"/>
        </w:rPr>
        <w:t xml:space="preserve">1669-1680. </w:t>
      </w:r>
      <w:hyperlink r:id="rId27" w:history="1">
        <w:r>
          <w:rPr>
            <w:rFonts w:ascii="Times New Roman" w:hAnsi="Times New Roman" w:cs="Times New Roman"/>
            <w:sz w:val="24"/>
            <w:szCs w:val="24"/>
          </w:rPr>
          <w:t>https://doi.org/10.1007/s11664-022-09434-9</w:t>
        </w:r>
      </w:hyperlink>
      <w:bookmarkEnd w:id="10"/>
    </w:p>
    <w:p w:rsidR="00922A47" w:rsidRDefault="00922A47" w:rsidP="00922A47">
      <w:pPr>
        <w:pStyle w:val="EndNoteBibliography"/>
        <w:numPr>
          <w:ilvl w:val="0"/>
          <w:numId w:val="3"/>
        </w:numPr>
        <w:spacing w:line="480" w:lineRule="auto"/>
        <w:rPr>
          <w:rFonts w:ascii="Times New Roman" w:hAnsi="Times New Roman" w:cs="Times New Roman"/>
          <w:sz w:val="24"/>
          <w:szCs w:val="24"/>
        </w:rPr>
      </w:pPr>
      <w:bookmarkStart w:id="12" w:name="_Ref134526245"/>
      <w:bookmarkEnd w:id="11"/>
      <w:r>
        <w:rPr>
          <w:rFonts w:ascii="Times New Roman" w:hAnsi="Times New Roman" w:cs="Times New Roman"/>
          <w:sz w:val="24"/>
          <w:szCs w:val="24"/>
        </w:rPr>
        <w:t xml:space="preserve">Xie, Y., Zhao, M., Hu, Q., Cheng, Y., Guo, Y., Qian, H., &amp; Yao, W. (2017). Selective detection of chloramphenicol in milk based on a molecularly imprinted polymer–surface‐enhanced Raman spectroscopic nanosensor. </w:t>
      </w:r>
      <w:r w:rsidR="008E5322" w:rsidRPr="008E5322">
        <w:rPr>
          <w:rFonts w:ascii="Times New Roman" w:hAnsi="Times New Roman" w:cs="Times New Roman"/>
          <w:iCs/>
          <w:sz w:val="24"/>
          <w:szCs w:val="24"/>
        </w:rPr>
        <w:t>J Raman Spectrosc</w:t>
      </w:r>
      <w:r w:rsidR="008E5322" w:rsidRPr="008E5322">
        <w:rPr>
          <w:rFonts w:ascii="Times New Roman" w:hAnsi="Times New Roman" w:cs="Times New Roman"/>
          <w:iCs/>
          <w:sz w:val="24"/>
          <w:szCs w:val="24"/>
        </w:rPr>
        <w:t xml:space="preserve"> </w:t>
      </w:r>
      <w:r w:rsidRPr="008E5322">
        <w:rPr>
          <w:rFonts w:ascii="Times New Roman" w:hAnsi="Times New Roman" w:cs="Times New Roman"/>
          <w:iCs/>
          <w:sz w:val="24"/>
          <w:szCs w:val="24"/>
        </w:rPr>
        <w:t>48</w:t>
      </w:r>
      <w:r>
        <w:rPr>
          <w:rFonts w:ascii="Times New Roman" w:hAnsi="Times New Roman" w:cs="Times New Roman"/>
          <w:sz w:val="24"/>
          <w:szCs w:val="24"/>
        </w:rPr>
        <w:t>(2)</w:t>
      </w:r>
      <w:r w:rsidR="00897DEF">
        <w:rPr>
          <w:rFonts w:ascii="Times New Roman" w:hAnsi="Times New Roman" w:cs="Times New Roman"/>
          <w:sz w:val="24"/>
          <w:szCs w:val="24"/>
        </w:rPr>
        <w:t>:</w:t>
      </w:r>
      <w:r>
        <w:rPr>
          <w:rFonts w:ascii="Times New Roman" w:hAnsi="Times New Roman" w:cs="Times New Roman"/>
          <w:sz w:val="24"/>
          <w:szCs w:val="24"/>
        </w:rPr>
        <w:t xml:space="preserve">204-210. </w:t>
      </w:r>
      <w:hyperlink r:id="rId28" w:history="1">
        <w:r>
          <w:rPr>
            <w:rFonts w:ascii="Times New Roman" w:hAnsi="Times New Roman" w:cs="Times New Roman"/>
            <w:sz w:val="24"/>
            <w:szCs w:val="24"/>
          </w:rPr>
          <w:t>https://doi.org/10.1002/jrs.5034</w:t>
        </w:r>
      </w:hyperlink>
      <w:bookmarkEnd w:id="12"/>
    </w:p>
    <w:p w:rsidR="00922A47" w:rsidRDefault="00922A47" w:rsidP="00922A47">
      <w:pPr>
        <w:pStyle w:val="EndNoteBibliography"/>
        <w:numPr>
          <w:ilvl w:val="0"/>
          <w:numId w:val="3"/>
        </w:numPr>
        <w:spacing w:line="480" w:lineRule="auto"/>
        <w:rPr>
          <w:rFonts w:ascii="Times New Roman" w:hAnsi="Times New Roman" w:cs="Times New Roman"/>
          <w:sz w:val="24"/>
          <w:szCs w:val="24"/>
        </w:rPr>
      </w:pPr>
      <w:bookmarkStart w:id="13" w:name="_Ref134526251"/>
      <w:r>
        <w:rPr>
          <w:rFonts w:ascii="Times New Roman" w:hAnsi="Times New Roman" w:cs="Times New Roman"/>
          <w:sz w:val="24"/>
          <w:szCs w:val="24"/>
        </w:rPr>
        <w:t xml:space="preserve">Zuo, P., Chen, Z., Yu, F., Zhang, J., Zuo, W., Gao, Y., &amp; Liu, Q. (2020). An easy synthesis of nitrogen and phosphorus co-doped carbon dots as a probe for chloramphenicol. </w:t>
      </w:r>
      <w:r w:rsidRPr="00D174BD">
        <w:rPr>
          <w:rFonts w:ascii="Times New Roman" w:hAnsi="Times New Roman" w:cs="Times New Roman"/>
          <w:iCs/>
          <w:sz w:val="24"/>
          <w:szCs w:val="24"/>
        </w:rPr>
        <w:t xml:space="preserve">RSC </w:t>
      </w:r>
      <w:r w:rsidR="00D174BD">
        <w:rPr>
          <w:rFonts w:ascii="Times New Roman" w:hAnsi="Times New Roman" w:cs="Times New Roman"/>
          <w:iCs/>
          <w:sz w:val="24"/>
          <w:szCs w:val="24"/>
        </w:rPr>
        <w:t>A</w:t>
      </w:r>
      <w:r w:rsidRPr="00D174BD">
        <w:rPr>
          <w:rFonts w:ascii="Times New Roman" w:hAnsi="Times New Roman" w:cs="Times New Roman"/>
          <w:iCs/>
          <w:sz w:val="24"/>
          <w:szCs w:val="24"/>
        </w:rPr>
        <w:t>dv 10</w:t>
      </w:r>
      <w:r>
        <w:rPr>
          <w:rFonts w:ascii="Times New Roman" w:hAnsi="Times New Roman" w:cs="Times New Roman"/>
          <w:sz w:val="24"/>
          <w:szCs w:val="24"/>
        </w:rPr>
        <w:t>(54)</w:t>
      </w:r>
      <w:r w:rsidR="00897DEF">
        <w:rPr>
          <w:rFonts w:ascii="Times New Roman" w:hAnsi="Times New Roman" w:cs="Times New Roman"/>
          <w:sz w:val="24"/>
          <w:szCs w:val="24"/>
        </w:rPr>
        <w:t>:</w:t>
      </w:r>
      <w:r>
        <w:rPr>
          <w:rFonts w:ascii="Times New Roman" w:hAnsi="Times New Roman" w:cs="Times New Roman"/>
          <w:sz w:val="24"/>
          <w:szCs w:val="24"/>
        </w:rPr>
        <w:t xml:space="preserve"> 32919-32926. </w:t>
      </w:r>
      <w:hyperlink r:id="rId29" w:history="1">
        <w:r>
          <w:rPr>
            <w:rFonts w:ascii="Times New Roman" w:hAnsi="Times New Roman" w:cs="Times New Roman"/>
            <w:sz w:val="24"/>
            <w:szCs w:val="24"/>
          </w:rPr>
          <w:t>https://doi.org/10.1039/D0RA04228E</w:t>
        </w:r>
      </w:hyperlink>
      <w:bookmarkEnd w:id="13"/>
    </w:p>
    <w:p w:rsidR="00922A47" w:rsidRDefault="00922A47" w:rsidP="00922A47">
      <w:pPr>
        <w:pStyle w:val="EndNoteBibliography"/>
        <w:numPr>
          <w:ilvl w:val="0"/>
          <w:numId w:val="3"/>
        </w:numPr>
        <w:spacing w:line="480" w:lineRule="auto"/>
        <w:rPr>
          <w:rFonts w:ascii="Times New Roman" w:hAnsi="Times New Roman" w:cs="Times New Roman"/>
          <w:sz w:val="24"/>
          <w:szCs w:val="24"/>
        </w:rPr>
      </w:pPr>
      <w:bookmarkStart w:id="14" w:name="_Ref134526257"/>
      <w:bookmarkStart w:id="15" w:name="d6"/>
      <w:r>
        <w:rPr>
          <w:rFonts w:ascii="Times New Roman" w:hAnsi="Times New Roman" w:cs="Times New Roman"/>
          <w:sz w:val="24"/>
          <w:szCs w:val="24"/>
        </w:rPr>
        <w:t xml:space="preserve">Ma, P., Guo, H., Duan, N., Ma, X., Yue, L., Gu, Q., &amp; Wang, Z. (2021). Label free structure-switching fluorescence polarization detection of chloramphenicol with truncated aptamer. </w:t>
      </w:r>
      <w:r w:rsidRPr="00D174BD">
        <w:rPr>
          <w:rFonts w:ascii="Times New Roman" w:hAnsi="Times New Roman" w:cs="Times New Roman"/>
          <w:iCs/>
          <w:sz w:val="24"/>
          <w:szCs w:val="24"/>
        </w:rPr>
        <w:t>Talanta</w:t>
      </w:r>
      <w:r w:rsidR="00D174BD">
        <w:rPr>
          <w:rFonts w:ascii="Times New Roman" w:hAnsi="Times New Roman" w:cs="Times New Roman"/>
          <w:iCs/>
          <w:sz w:val="24"/>
          <w:szCs w:val="24"/>
        </w:rPr>
        <w:t xml:space="preserve"> </w:t>
      </w:r>
      <w:r w:rsidRPr="00D174BD">
        <w:rPr>
          <w:rFonts w:ascii="Times New Roman" w:hAnsi="Times New Roman" w:cs="Times New Roman"/>
          <w:iCs/>
          <w:sz w:val="24"/>
          <w:szCs w:val="24"/>
        </w:rPr>
        <w:t>230</w:t>
      </w:r>
      <w:r w:rsidR="00D174BD">
        <w:rPr>
          <w:rFonts w:ascii="Times New Roman" w:hAnsi="Times New Roman" w:cs="Times New Roman"/>
          <w:sz w:val="24"/>
          <w:szCs w:val="24"/>
        </w:rPr>
        <w:t>:</w:t>
      </w:r>
      <w:r>
        <w:rPr>
          <w:rFonts w:ascii="Times New Roman" w:hAnsi="Times New Roman" w:cs="Times New Roman"/>
          <w:sz w:val="24"/>
          <w:szCs w:val="24"/>
        </w:rPr>
        <w:t xml:space="preserve">122349. </w:t>
      </w:r>
      <w:hyperlink r:id="rId30" w:history="1">
        <w:r>
          <w:rPr>
            <w:rFonts w:ascii="Times New Roman" w:hAnsi="Times New Roman" w:cs="Times New Roman"/>
            <w:sz w:val="24"/>
            <w:szCs w:val="24"/>
          </w:rPr>
          <w:t>https://doi.org/10.1016/j.talanta.2021.122349</w:t>
        </w:r>
      </w:hyperlink>
      <w:bookmarkEnd w:id="14"/>
    </w:p>
    <w:p w:rsidR="00F27F37" w:rsidRDefault="00F27F37" w:rsidP="00F27F37">
      <w:pPr>
        <w:pStyle w:val="EndNoteBibliography"/>
        <w:numPr>
          <w:ilvl w:val="0"/>
          <w:numId w:val="3"/>
        </w:numPr>
        <w:spacing w:line="480" w:lineRule="auto"/>
        <w:rPr>
          <w:rFonts w:ascii="Times New Roman" w:hAnsi="Times New Roman" w:cs="Times New Roman"/>
          <w:sz w:val="24"/>
          <w:szCs w:val="24"/>
        </w:rPr>
      </w:pPr>
      <w:bookmarkStart w:id="16" w:name="_Ref134526263"/>
      <w:bookmarkStart w:id="17" w:name="d1"/>
      <w:bookmarkEnd w:id="15"/>
      <w:r>
        <w:rPr>
          <w:rFonts w:ascii="Times New Roman" w:hAnsi="Times New Roman" w:cs="Times New Roman"/>
          <w:sz w:val="24"/>
          <w:szCs w:val="24"/>
        </w:rPr>
        <w:t xml:space="preserve">Banerjee, R., Ghosh, D., Bhaduri, S. N., Biswas, R., &amp; Biswas, P. (2023). Electrochemical Detection of Chloramphenicol Using Metal Free Ordered Mesoporous Carbon. </w:t>
      </w:r>
      <w:r w:rsidRPr="00D174BD">
        <w:rPr>
          <w:rFonts w:ascii="Times New Roman" w:hAnsi="Times New Roman" w:cs="Times New Roman"/>
          <w:iCs/>
          <w:sz w:val="24"/>
          <w:szCs w:val="24"/>
        </w:rPr>
        <w:t>ChemistrySelect 8</w:t>
      </w:r>
      <w:r>
        <w:rPr>
          <w:rFonts w:ascii="Times New Roman" w:hAnsi="Times New Roman" w:cs="Times New Roman"/>
          <w:sz w:val="24"/>
          <w:szCs w:val="24"/>
        </w:rPr>
        <w:t>(1)</w:t>
      </w:r>
      <w:r w:rsidR="00D174BD">
        <w:rPr>
          <w:rFonts w:ascii="Times New Roman" w:hAnsi="Times New Roman" w:cs="Times New Roman"/>
          <w:sz w:val="24"/>
          <w:szCs w:val="24"/>
        </w:rPr>
        <w:t>:</w:t>
      </w:r>
      <w:r w:rsidR="008E5322">
        <w:rPr>
          <w:rFonts w:ascii="Times New Roman" w:hAnsi="Times New Roman" w:cs="Times New Roman"/>
          <w:sz w:val="24"/>
          <w:szCs w:val="24"/>
        </w:rPr>
        <w:t xml:space="preserve"> </w:t>
      </w:r>
      <w:r>
        <w:rPr>
          <w:rFonts w:ascii="Times New Roman" w:hAnsi="Times New Roman" w:cs="Times New Roman"/>
          <w:sz w:val="24"/>
          <w:szCs w:val="24"/>
        </w:rPr>
        <w:t xml:space="preserve">e202202433. </w:t>
      </w:r>
      <w:hyperlink r:id="rId31" w:history="1">
        <w:r>
          <w:rPr>
            <w:rFonts w:ascii="Times New Roman" w:hAnsi="Times New Roman" w:cs="Times New Roman"/>
            <w:sz w:val="24"/>
            <w:szCs w:val="24"/>
          </w:rPr>
          <w:t>https://doi.org/10.1002/slct.202202433</w:t>
        </w:r>
      </w:hyperlink>
      <w:bookmarkEnd w:id="16"/>
    </w:p>
    <w:bookmarkEnd w:id="17"/>
    <w:p w:rsidR="00D843FA" w:rsidRPr="00F27F37" w:rsidRDefault="00000000" w:rsidP="00F27F37">
      <w:pPr>
        <w:pStyle w:val="EndNoteBibliography"/>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sidRPr="00F27F37">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bookmarkStart w:id="18" w:name="_Ref134526269"/>
      <w:bookmarkStart w:id="19" w:name="d11"/>
      <w:bookmarkStart w:id="20" w:name="d3"/>
      <w:r w:rsidRPr="00F27F37">
        <w:rPr>
          <w:rFonts w:ascii="Times New Roman" w:hAnsi="Times New Roman" w:cs="Times New Roman"/>
          <w:sz w:val="24"/>
          <w:szCs w:val="24"/>
        </w:rPr>
        <w:t>Gao, Z., Du, X., Ding, Y., &amp; Li, H. (2021). Establishment of a dual-aptasensor for simultaneous detection of chloramphenicol and kanamycin.</w:t>
      </w:r>
      <w:r w:rsidR="00D174BD" w:rsidRPr="00D174BD">
        <w:rPr>
          <w:rFonts w:ascii="Times New Roman" w:hAnsi="Times New Roman" w:cs="Times New Roman"/>
          <w:iCs/>
        </w:rPr>
        <w:t xml:space="preserve"> </w:t>
      </w:r>
      <w:r w:rsidR="00D174BD" w:rsidRPr="00D174BD">
        <w:rPr>
          <w:rFonts w:ascii="Times New Roman" w:hAnsi="Times New Roman" w:cs="Times New Roman"/>
          <w:iCs/>
          <w:sz w:val="24"/>
          <w:szCs w:val="24"/>
        </w:rPr>
        <w:t>Food Addit Contam A</w:t>
      </w:r>
      <w:r w:rsidR="00D174BD" w:rsidRPr="00D174BD">
        <w:rPr>
          <w:rFonts w:ascii="Times New Roman" w:hAnsi="Times New Roman" w:cs="Times New Roman"/>
          <w:iCs/>
          <w:sz w:val="24"/>
          <w:szCs w:val="24"/>
        </w:rPr>
        <w:t xml:space="preserve"> </w:t>
      </w:r>
      <w:r w:rsidRPr="00D174BD">
        <w:rPr>
          <w:rFonts w:ascii="Times New Roman" w:hAnsi="Times New Roman" w:cs="Times New Roman"/>
          <w:iCs/>
          <w:sz w:val="24"/>
          <w:szCs w:val="24"/>
        </w:rPr>
        <w:t>38</w:t>
      </w:r>
      <w:r w:rsidRPr="00F27F37">
        <w:rPr>
          <w:rFonts w:ascii="Times New Roman" w:hAnsi="Times New Roman" w:cs="Times New Roman"/>
          <w:sz w:val="24"/>
          <w:szCs w:val="24"/>
        </w:rPr>
        <w:t>(7)</w:t>
      </w:r>
      <w:r w:rsidR="00D174BD">
        <w:rPr>
          <w:rFonts w:ascii="Times New Roman" w:hAnsi="Times New Roman" w:cs="Times New Roman"/>
          <w:sz w:val="24"/>
          <w:szCs w:val="24"/>
        </w:rPr>
        <w:t>:</w:t>
      </w:r>
      <w:r w:rsidRPr="00F27F37">
        <w:rPr>
          <w:rFonts w:ascii="Times New Roman" w:hAnsi="Times New Roman" w:cs="Times New Roman"/>
          <w:sz w:val="24"/>
          <w:szCs w:val="24"/>
        </w:rPr>
        <w:t>1148-1156. https://doi.org/10.1080/19440049.2021.1914871</w:t>
      </w:r>
      <w:bookmarkEnd w:id="18"/>
    </w:p>
    <w:bookmarkEnd w:id="19"/>
    <w:bookmarkEnd w:id="20"/>
    <w:p w:rsidR="00D843FA" w:rsidRDefault="00000000">
      <w:pPr>
        <w:pStyle w:val="ad"/>
        <w:spacing w:line="480" w:lineRule="auto"/>
        <w:ind w:left="480" w:hangingChars="200" w:hanging="480"/>
        <w:rPr>
          <w:rFonts w:ascii="Times New Roman" w:hAnsi="Times New Roman" w:cs="Times New Roman"/>
          <w:sz w:val="24"/>
          <w:szCs w:val="24"/>
        </w:rPr>
      </w:pPr>
      <w:r>
        <w:rPr>
          <w:rFonts w:ascii="Times New Roman" w:hAnsi="Times New Roman" w:cs="Times New Roman"/>
          <w:sz w:val="24"/>
          <w:szCs w:val="24"/>
        </w:rPr>
        <w:fldChar w:fldCharType="end"/>
      </w:r>
    </w:p>
    <w:sectPr w:rsidR="00D843FA" w:rsidSect="00A5011C">
      <w:footerReference w:type="default" r:id="rId32"/>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339C" w:rsidRDefault="0035339C" w:rsidP="00A5011C">
      <w:r>
        <w:separator/>
      </w:r>
    </w:p>
  </w:endnote>
  <w:endnote w:type="continuationSeparator" w:id="0">
    <w:p w:rsidR="0035339C" w:rsidRDefault="0035339C" w:rsidP="00A50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329807"/>
      <w:docPartObj>
        <w:docPartGallery w:val="Page Numbers (Bottom of Page)"/>
        <w:docPartUnique/>
      </w:docPartObj>
    </w:sdtPr>
    <w:sdtContent>
      <w:p w:rsidR="00A5011C" w:rsidRDefault="00A5011C">
        <w:pPr>
          <w:pStyle w:val="a5"/>
          <w:jc w:val="center"/>
        </w:pPr>
        <w:r>
          <w:fldChar w:fldCharType="begin"/>
        </w:r>
        <w:r>
          <w:instrText>PAGE   \* MERGEFORMAT</w:instrText>
        </w:r>
        <w:r>
          <w:fldChar w:fldCharType="separate"/>
        </w:r>
        <w:r>
          <w:rPr>
            <w:lang w:val="zh-CN"/>
          </w:rPr>
          <w:t>2</w:t>
        </w:r>
        <w:r>
          <w:fldChar w:fldCharType="end"/>
        </w:r>
      </w:p>
    </w:sdtContent>
  </w:sdt>
  <w:p w:rsidR="00A5011C" w:rsidRDefault="00A501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339C" w:rsidRDefault="0035339C" w:rsidP="00A5011C">
      <w:r>
        <w:separator/>
      </w:r>
    </w:p>
  </w:footnote>
  <w:footnote w:type="continuationSeparator" w:id="0">
    <w:p w:rsidR="0035339C" w:rsidRDefault="0035339C" w:rsidP="00A50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C2B85"/>
    <w:multiLevelType w:val="hybridMultilevel"/>
    <w:tmpl w:val="A2287E52"/>
    <w:lvl w:ilvl="0" w:tplc="C6D0A254">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E4823D8"/>
    <w:multiLevelType w:val="multilevel"/>
    <w:tmpl w:val="0E4823D8"/>
    <w:lvl w:ilvl="0">
      <w:start w:val="1"/>
      <w:numFmt w:val="decimal"/>
      <w:suff w:val="space"/>
      <w:lvlText w:val="Fig.S%1."/>
      <w:lvlJc w:val="left"/>
      <w:pPr>
        <w:ind w:left="440" w:hanging="440"/>
      </w:pPr>
      <w:rPr>
        <w:rFonts w:hint="eastAsia"/>
        <w:b/>
        <w:bC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73380923"/>
    <w:multiLevelType w:val="multilevel"/>
    <w:tmpl w:val="73380923"/>
    <w:lvl w:ilvl="0">
      <w:start w:val="1"/>
      <w:numFmt w:val="decimal"/>
      <w:suff w:val="space"/>
      <w:lvlText w:val="Table.S%1."/>
      <w:lvlJc w:val="left"/>
      <w:pPr>
        <w:ind w:left="0" w:firstLine="0"/>
      </w:pPr>
      <w:rPr>
        <w:rFonts w:hint="eastAsia"/>
        <w:b/>
        <w:bCs/>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183128302">
    <w:abstractNumId w:val="1"/>
  </w:num>
  <w:num w:numId="2" w16cid:durableId="1007637341">
    <w:abstractNumId w:val="2"/>
  </w:num>
  <w:num w:numId="3" w16cid:durableId="79106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JiMTNjODZmYzI2ODcxNmViNjRhZDMyOTI2MTZmNzcifQ=="/>
    <w:docVar w:name="EN.InstantFormat" w:val="&lt;ENInstantFormat&gt;&lt;Enabled&gt;1&lt;/Enabled&gt;&lt;ScanUnformatted&gt;1&lt;/ScanUnformatted&gt;&lt;ScanChanges&gt;1&lt;/ScanChanges&gt;&lt;Suspended&gt;0&lt;/Suspended&gt;&lt;/ENInstantFormat&gt;"/>
    <w:docVar w:name="EN.Layout" w:val="&lt;ENLayout&gt;&lt;Style&gt;Food Chemistr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ffdzra720rdme5p565s9sh5sf2rtwsrprp&quot;&gt;My EndNote Library&lt;record-ids&gt;&lt;item&gt;75&lt;/item&gt;&lt;item&gt;76&lt;/item&gt;&lt;item&gt;77&lt;/item&gt;&lt;item&gt;78&lt;/item&gt;&lt;item&gt;79&lt;/item&gt;&lt;item&gt;80&lt;/item&gt;&lt;item&gt;81&lt;/item&gt;&lt;/record-ids&gt;&lt;/item&gt;&lt;/Libraries&gt;"/>
  </w:docVars>
  <w:rsids>
    <w:rsidRoot w:val="00C44F4B"/>
    <w:rsid w:val="00006909"/>
    <w:rsid w:val="00045048"/>
    <w:rsid w:val="0005797B"/>
    <w:rsid w:val="000607FC"/>
    <w:rsid w:val="000620C0"/>
    <w:rsid w:val="00082FF2"/>
    <w:rsid w:val="000E5923"/>
    <w:rsid w:val="000F51F9"/>
    <w:rsid w:val="00101E52"/>
    <w:rsid w:val="00107A7F"/>
    <w:rsid w:val="00123E95"/>
    <w:rsid w:val="00124484"/>
    <w:rsid w:val="00170633"/>
    <w:rsid w:val="00175181"/>
    <w:rsid w:val="00182C39"/>
    <w:rsid w:val="001839A8"/>
    <w:rsid w:val="0019038E"/>
    <w:rsid w:val="001C1578"/>
    <w:rsid w:val="001F19AC"/>
    <w:rsid w:val="001F3692"/>
    <w:rsid w:val="0024645D"/>
    <w:rsid w:val="002651A0"/>
    <w:rsid w:val="002712CA"/>
    <w:rsid w:val="002A31C0"/>
    <w:rsid w:val="002B048A"/>
    <w:rsid w:val="002F1C95"/>
    <w:rsid w:val="002F3E0B"/>
    <w:rsid w:val="003003FD"/>
    <w:rsid w:val="00340915"/>
    <w:rsid w:val="0034285D"/>
    <w:rsid w:val="0035339C"/>
    <w:rsid w:val="003A3EDD"/>
    <w:rsid w:val="003A496D"/>
    <w:rsid w:val="00401A9F"/>
    <w:rsid w:val="00487841"/>
    <w:rsid w:val="004A66BA"/>
    <w:rsid w:val="004B40E2"/>
    <w:rsid w:val="004C1BA9"/>
    <w:rsid w:val="004D5F0F"/>
    <w:rsid w:val="005B4CD9"/>
    <w:rsid w:val="005D7CC1"/>
    <w:rsid w:val="00601524"/>
    <w:rsid w:val="00605205"/>
    <w:rsid w:val="00655E7F"/>
    <w:rsid w:val="006662CD"/>
    <w:rsid w:val="00667D08"/>
    <w:rsid w:val="007026FF"/>
    <w:rsid w:val="0072267D"/>
    <w:rsid w:val="00736020"/>
    <w:rsid w:val="00736677"/>
    <w:rsid w:val="00750E2F"/>
    <w:rsid w:val="00781F49"/>
    <w:rsid w:val="007D4710"/>
    <w:rsid w:val="007D595D"/>
    <w:rsid w:val="008113C8"/>
    <w:rsid w:val="00836642"/>
    <w:rsid w:val="00897DEF"/>
    <w:rsid w:val="008A4346"/>
    <w:rsid w:val="008B380A"/>
    <w:rsid w:val="008E5322"/>
    <w:rsid w:val="00904242"/>
    <w:rsid w:val="00907D7A"/>
    <w:rsid w:val="00922A47"/>
    <w:rsid w:val="00984F81"/>
    <w:rsid w:val="00A32149"/>
    <w:rsid w:val="00A5011C"/>
    <w:rsid w:val="00A7258F"/>
    <w:rsid w:val="00AA5CEE"/>
    <w:rsid w:val="00AA7D98"/>
    <w:rsid w:val="00AC3F51"/>
    <w:rsid w:val="00B23F9F"/>
    <w:rsid w:val="00BB2F6E"/>
    <w:rsid w:val="00BD1A0A"/>
    <w:rsid w:val="00BF3239"/>
    <w:rsid w:val="00C24178"/>
    <w:rsid w:val="00C44F4B"/>
    <w:rsid w:val="00CC32FA"/>
    <w:rsid w:val="00CE30F1"/>
    <w:rsid w:val="00CF71B0"/>
    <w:rsid w:val="00D06CFE"/>
    <w:rsid w:val="00D174BD"/>
    <w:rsid w:val="00D77DEC"/>
    <w:rsid w:val="00D843FA"/>
    <w:rsid w:val="00DA0521"/>
    <w:rsid w:val="00E2232E"/>
    <w:rsid w:val="00E441E4"/>
    <w:rsid w:val="00E533D4"/>
    <w:rsid w:val="00E57C94"/>
    <w:rsid w:val="00E6351A"/>
    <w:rsid w:val="00E646B5"/>
    <w:rsid w:val="00EE3277"/>
    <w:rsid w:val="00EF19B8"/>
    <w:rsid w:val="00EF5642"/>
    <w:rsid w:val="00F27F37"/>
    <w:rsid w:val="00F55472"/>
    <w:rsid w:val="00F97F40"/>
    <w:rsid w:val="00FA50D3"/>
    <w:rsid w:val="00FD1D50"/>
    <w:rsid w:val="15647339"/>
    <w:rsid w:val="1E454BFC"/>
    <w:rsid w:val="3C9E0CFA"/>
    <w:rsid w:val="40DC2A1F"/>
    <w:rsid w:val="4BE27FC8"/>
    <w:rsid w:val="4C2E0808"/>
    <w:rsid w:val="56ED52AB"/>
    <w:rsid w:val="6063338E"/>
    <w:rsid w:val="62CE1D8E"/>
    <w:rsid w:val="7DB52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DA023"/>
  <w15:docId w15:val="{6008875C-D094-422A-9709-F2B574B2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rPr>
      <w:rFonts w:ascii="等线" w:eastAsia="等线" w:hAnsi="等线" w:cs="Times New Roman" w:hint="eastAsia"/>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table" w:styleId="a9">
    <w:name w:val="Table Grid"/>
    <w:basedOn w:val="a1"/>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Pr>
      <w:color w:val="954F72" w:themeColor="followedHyperlink"/>
      <w:u w:val="single"/>
    </w:rPr>
  </w:style>
  <w:style w:type="character" w:styleId="ab">
    <w:name w:val="Hyperlink"/>
    <w:basedOn w:val="a0"/>
    <w:uiPriority w:val="99"/>
    <w:unhideWhenUsed/>
    <w:qFormat/>
    <w:rPr>
      <w:color w:val="0563C1" w:themeColor="hyperlink"/>
      <w:u w:val="single"/>
    </w:rPr>
  </w:style>
  <w:style w:type="character" w:styleId="ac">
    <w:name w:val="annotation reference"/>
    <w:basedOn w:val="a0"/>
    <w:uiPriority w:val="99"/>
    <w:semiHidden/>
    <w:unhideWhenUsed/>
    <w:qFormat/>
    <w:rPr>
      <w:sz w:val="21"/>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msolistparagraph0">
    <w:name w:val="msolistparagraph"/>
    <w:basedOn w:val="a"/>
    <w:qFormat/>
    <w:pPr>
      <w:ind w:firstLineChars="200" w:firstLine="420"/>
    </w:pPr>
    <w:rPr>
      <w:rFonts w:ascii="等线" w:eastAsia="等线" w:hAnsi="等线" w:cs="Times New Roman" w:hint="eastAsia"/>
    </w:rPr>
  </w:style>
  <w:style w:type="character" w:customStyle="1" w:styleId="a4">
    <w:name w:val="批注文字 字符"/>
    <w:basedOn w:val="a0"/>
    <w:link w:val="a3"/>
    <w:qFormat/>
    <w:rPr>
      <w:kern w:val="2"/>
      <w:sz w:val="21"/>
      <w:szCs w:val="22"/>
    </w:rPr>
  </w:style>
  <w:style w:type="paragraph" w:styleId="ad">
    <w:name w:val="List Paragraph"/>
    <w:basedOn w:val="a"/>
    <w:uiPriority w:val="34"/>
    <w:qFormat/>
    <w:pPr>
      <w:ind w:firstLineChars="200" w:firstLine="420"/>
    </w:pPr>
  </w:style>
  <w:style w:type="character" w:customStyle="1" w:styleId="1">
    <w:name w:val="未处理的提及1"/>
    <w:basedOn w:val="a0"/>
    <w:uiPriority w:val="99"/>
    <w:semiHidden/>
    <w:unhideWhenUsed/>
    <w:qFormat/>
    <w:rPr>
      <w:color w:val="605E5C"/>
      <w:shd w:val="clear" w:color="auto" w:fill="E1DFDD"/>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cstheme="minorBidi"/>
      <w:kern w:val="2"/>
      <w:szCs w:val="22"/>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cstheme="minorBidi"/>
      <w:kern w:val="2"/>
      <w:szCs w:val="22"/>
    </w:rPr>
  </w:style>
  <w:style w:type="paragraph" w:customStyle="1" w:styleId="10">
    <w:name w:val="普通(网站)1"/>
    <w:basedOn w:val="a"/>
    <w:next w:val="ae"/>
    <w:semiHidden/>
    <w:rsid w:val="00601524"/>
    <w:rPr>
      <w:rFonts w:ascii="Calibri" w:eastAsia="宋体" w:hAnsi="Calibri" w:cs="Times New Roman"/>
      <w:sz w:val="24"/>
      <w:szCs w:val="24"/>
    </w:rPr>
  </w:style>
  <w:style w:type="paragraph" w:styleId="ae">
    <w:name w:val="Normal (Web)"/>
    <w:basedOn w:val="a"/>
    <w:uiPriority w:val="99"/>
    <w:semiHidden/>
    <w:unhideWhenUsed/>
    <w:rsid w:val="006015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emf"/><Relationship Id="rId26" Type="http://schemas.openxmlformats.org/officeDocument/2006/relationships/hyperlink" Target="https://doi.org/10.1016/j.snb.2022.131548"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oleObject4.bin"/><Relationship Id="rId25" Type="http://schemas.openxmlformats.org/officeDocument/2006/relationships/hyperlink" Target="https://doi.org/10.1007/s00604-022-05550-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oleObject" Target="embeddings/oleObject5.bin"/><Relationship Id="rId29" Type="http://schemas.openxmlformats.org/officeDocument/2006/relationships/hyperlink" Target="https://doi.org/10.1039/D0RA04228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https://doi.org/10.1007/s00604-022-05273-x"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hyperlink" Target="https://doi.org/10.1016/j.jhazmat.2021.125184" TargetMode="External"/><Relationship Id="rId28" Type="http://schemas.openxmlformats.org/officeDocument/2006/relationships/hyperlink" Target="https://doi.org/10.1002/jrs.5034" TargetMode="External"/><Relationship Id="rId10" Type="http://schemas.openxmlformats.org/officeDocument/2006/relationships/image" Target="media/image1.emf"/><Relationship Id="rId19" Type="http://schemas.openxmlformats.org/officeDocument/2006/relationships/image" Target="media/image6.emf"/><Relationship Id="rId31" Type="http://schemas.openxmlformats.org/officeDocument/2006/relationships/hyperlink" Target="https://doi.org/10.1002/slct.202202433" TargetMode="External"/><Relationship Id="rId4" Type="http://schemas.openxmlformats.org/officeDocument/2006/relationships/settings" Target="settings.xml"/><Relationship Id="rId9" Type="http://schemas.openxmlformats.org/officeDocument/2006/relationships/hyperlink" Target="mailto:wdingyp@sina.com" TargetMode="External"/><Relationship Id="rId14" Type="http://schemas.openxmlformats.org/officeDocument/2006/relationships/image" Target="media/image3.emf"/><Relationship Id="rId22" Type="http://schemas.openxmlformats.org/officeDocument/2006/relationships/hyperlink" Target="https://doi.org/10.1007/s10895-022-02981-8" TargetMode="External"/><Relationship Id="rId27" Type="http://schemas.openxmlformats.org/officeDocument/2006/relationships/hyperlink" Target="https://doi.org/10.1007/s11664-022-09434-9" TargetMode="External"/><Relationship Id="rId30" Type="http://schemas.openxmlformats.org/officeDocument/2006/relationships/hyperlink" Target="https://doi.org/10.1016/j.talanta.2021.122349" TargetMode="External"/><Relationship Id="rId8" Type="http://schemas.openxmlformats.org/officeDocument/2006/relationships/hyperlink" Target="mailto:lilidu@sh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883D9-A2A7-443E-8C13-026DEE03B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7</Pages>
  <Words>1015</Words>
  <Characters>5791</Characters>
  <Application>Microsoft Office Word</Application>
  <DocSecurity>0</DocSecurity>
  <Lines>48</Lines>
  <Paragraphs>13</Paragraphs>
  <ScaleCrop>false</ScaleCrop>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 昊</dc:creator>
  <cp:lastModifiedBy>刘 昊</cp:lastModifiedBy>
  <cp:revision>59</cp:revision>
  <dcterms:created xsi:type="dcterms:W3CDTF">2023-01-16T04:16:00Z</dcterms:created>
  <dcterms:modified xsi:type="dcterms:W3CDTF">2023-05-15T08:04:00Z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5E30B0E738E3430B941907ADB180AE99</vt:lpwstr>
  </property>
</Properties>
</file>