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1965" w14:textId="77777777" w:rsidR="008513F3" w:rsidRPr="008513F3" w:rsidRDefault="008513F3" w:rsidP="008513F3">
      <w:pPr>
        <w:keepNext/>
        <w:keepLines/>
        <w:spacing w:after="240" w:line="480" w:lineRule="auto"/>
        <w:outlineLvl w:val="0"/>
        <w:rPr>
          <w:rFonts w:ascii="Times New Roman" w:eastAsiaTheme="majorEastAsia" w:hAnsi="Times New Roman" w:cs="Times New Roman"/>
          <w:b/>
          <w:caps/>
          <w:sz w:val="28"/>
          <w:szCs w:val="32"/>
          <w:lang w:val="en-US"/>
        </w:rPr>
      </w:pPr>
      <w:r w:rsidRPr="008513F3">
        <w:rPr>
          <w:rFonts w:ascii="Times New Roman" w:eastAsiaTheme="majorEastAsia" w:hAnsi="Times New Roman" w:cs="Times New Roman"/>
          <w:b/>
          <w:caps/>
          <w:sz w:val="28"/>
          <w:szCs w:val="32"/>
          <w:lang w:val="en-US"/>
        </w:rPr>
        <w:t>SUPPLEMENTARY INFORMATION</w:t>
      </w:r>
    </w:p>
    <w:p w14:paraId="2544F057" w14:textId="77777777" w:rsidR="008513F3" w:rsidRPr="008513F3" w:rsidRDefault="008513F3" w:rsidP="008513F3">
      <w:pPr>
        <w:keepNext/>
        <w:keepLines/>
        <w:spacing w:after="240" w:line="480" w:lineRule="auto"/>
        <w:outlineLvl w:val="1"/>
        <w:rPr>
          <w:rFonts w:ascii="Times New Roman" w:eastAsiaTheme="majorEastAsia" w:hAnsi="Times New Roman" w:cs="Times New Roman"/>
          <w:b/>
          <w:sz w:val="24"/>
          <w:szCs w:val="26"/>
          <w:lang w:val="en-US"/>
        </w:rPr>
      </w:pPr>
      <w:r w:rsidRPr="008513F3">
        <w:rPr>
          <w:rFonts w:ascii="Times New Roman" w:eastAsiaTheme="majorEastAsia" w:hAnsi="Times New Roman" w:cs="Times New Roman"/>
          <w:b/>
          <w:sz w:val="24"/>
          <w:szCs w:val="26"/>
          <w:lang w:val="en-US"/>
        </w:rPr>
        <w:t>SUPPLEMENTAL METHODS</w:t>
      </w:r>
    </w:p>
    <w:p w14:paraId="60C4F95E" w14:textId="77777777" w:rsidR="008513F3" w:rsidRPr="008513F3" w:rsidRDefault="008513F3" w:rsidP="008513F3">
      <w:pPr>
        <w:keepNext/>
        <w:keepLines/>
        <w:spacing w:after="240" w:line="480" w:lineRule="auto"/>
        <w:outlineLvl w:val="1"/>
        <w:rPr>
          <w:rFonts w:ascii="Times New Roman" w:eastAsiaTheme="majorEastAsia" w:hAnsi="Times New Roman" w:cs="Times New Roman"/>
          <w:b/>
          <w:sz w:val="24"/>
          <w:szCs w:val="26"/>
          <w:lang w:val="en-US"/>
        </w:rPr>
      </w:pPr>
      <w:r w:rsidRPr="008513F3">
        <w:rPr>
          <w:rFonts w:ascii="Times New Roman" w:eastAsiaTheme="majorEastAsia" w:hAnsi="Times New Roman" w:cs="Times New Roman"/>
          <w:b/>
          <w:sz w:val="24"/>
          <w:szCs w:val="26"/>
          <w:lang w:val="en-US"/>
        </w:rPr>
        <w:t>Flow cytometry analysis</w:t>
      </w:r>
    </w:p>
    <w:p w14:paraId="7F9F7B16" w14:textId="77777777" w:rsidR="008513F3" w:rsidRPr="008513F3" w:rsidRDefault="008513F3" w:rsidP="008513F3">
      <w:pPr>
        <w:spacing w:after="240" w:line="480" w:lineRule="auto"/>
        <w:rPr>
          <w:rFonts w:ascii="Times New Roman" w:hAnsi="Times New Roman" w:cs="Times New Roman"/>
          <w:sz w:val="24"/>
          <w:lang w:val="en-US"/>
        </w:rPr>
      </w:pPr>
      <w:r w:rsidRPr="008513F3">
        <w:rPr>
          <w:rFonts w:ascii="Times New Roman" w:hAnsi="Times New Roman" w:cs="Times New Roman"/>
          <w:sz w:val="24"/>
          <w:lang w:val="en-US"/>
        </w:rPr>
        <w:t>The transduction efficiency of engineered T cells and the in vitro expansion, activation/exhaustion, and proliferation were analyzed by flow cytometric analysis.</w:t>
      </w:r>
    </w:p>
    <w:p w14:paraId="2442096F" w14:textId="77777777" w:rsidR="008513F3" w:rsidRPr="008513F3" w:rsidRDefault="008513F3" w:rsidP="008513F3">
      <w:pPr>
        <w:spacing w:after="240" w:line="480" w:lineRule="auto"/>
        <w:rPr>
          <w:rFonts w:ascii="Times New Roman" w:hAnsi="Times New Roman" w:cs="Times New Roman"/>
          <w:sz w:val="24"/>
          <w:lang w:val="en-US"/>
        </w:rPr>
      </w:pPr>
      <w:r w:rsidRPr="008513F3">
        <w:rPr>
          <w:rFonts w:ascii="Times New Roman" w:hAnsi="Times New Roman" w:cs="Times New Roman"/>
          <w:sz w:val="24"/>
          <w:lang w:val="en-US"/>
        </w:rPr>
        <w:tab/>
        <w:t xml:space="preserve">For characterization of </w:t>
      </w:r>
      <w:proofErr w:type="spellStart"/>
      <w:r w:rsidRPr="008513F3">
        <w:rPr>
          <w:rFonts w:ascii="Times New Roman" w:hAnsi="Times New Roman" w:cs="Times New Roman"/>
          <w:sz w:val="24"/>
          <w:lang w:val="en-US"/>
        </w:rPr>
        <w:t>TRuC</w:t>
      </w:r>
      <w:proofErr w:type="spellEnd"/>
      <w:r w:rsidRPr="008513F3">
        <w:rPr>
          <w:rFonts w:ascii="Times New Roman" w:hAnsi="Times New Roman" w:cs="Times New Roman"/>
          <w:sz w:val="24"/>
          <w:lang w:val="en-US"/>
        </w:rPr>
        <w:t>-T cells, samples were washed and stained with Live/</w:t>
      </w:r>
      <w:proofErr w:type="spellStart"/>
      <w:r w:rsidRPr="008513F3">
        <w:rPr>
          <w:rFonts w:ascii="Times New Roman" w:hAnsi="Times New Roman" w:cs="Times New Roman"/>
          <w:sz w:val="24"/>
          <w:lang w:val="en-US"/>
        </w:rPr>
        <w:t>Dead</w:t>
      </w:r>
      <w:r w:rsidRPr="008513F3">
        <w:rPr>
          <w:rFonts w:ascii="Times New Roman" w:hAnsi="Times New Roman" w:cs="Times New Roman"/>
          <w:sz w:val="24"/>
          <w:vertAlign w:val="superscript"/>
          <w:lang w:val="en-US"/>
        </w:rPr>
        <w:t>TM</w:t>
      </w:r>
      <w:proofErr w:type="spellEnd"/>
      <w:r w:rsidRPr="008513F3">
        <w:rPr>
          <w:rFonts w:ascii="Times New Roman" w:hAnsi="Times New Roman" w:cs="Times New Roman"/>
          <w:sz w:val="24"/>
          <w:lang w:val="en-US"/>
        </w:rPr>
        <w:t xml:space="preserve"> Fixable Blue (Life Technologies Corporation, Carlsbad, CA) for 15 minutes at RT, and then treated with an anti-</w:t>
      </w:r>
      <w:proofErr w:type="spellStart"/>
      <w:r w:rsidRPr="008513F3">
        <w:rPr>
          <w:rFonts w:ascii="Times New Roman" w:hAnsi="Times New Roman" w:cs="Times New Roman"/>
          <w:sz w:val="24"/>
          <w:lang w:val="en-US"/>
        </w:rPr>
        <w:t>FcR</w:t>
      </w:r>
      <w:proofErr w:type="spellEnd"/>
      <w:r w:rsidRPr="008513F3">
        <w:rPr>
          <w:rFonts w:ascii="Times New Roman" w:hAnsi="Times New Roman" w:cs="Times New Roman"/>
          <w:sz w:val="24"/>
          <w:lang w:val="en-US"/>
        </w:rPr>
        <w:t xml:space="preserve"> reagent (</w:t>
      </w:r>
      <w:proofErr w:type="spellStart"/>
      <w:r w:rsidRPr="008513F3">
        <w:rPr>
          <w:rFonts w:ascii="Times New Roman" w:hAnsi="Times New Roman" w:cs="Times New Roman"/>
          <w:sz w:val="24"/>
          <w:lang w:val="en-US"/>
        </w:rPr>
        <w:t>Miltenyi</w:t>
      </w:r>
      <w:proofErr w:type="spellEnd"/>
      <w:r w:rsidRPr="008513F3">
        <w:rPr>
          <w:rFonts w:ascii="Times New Roman" w:hAnsi="Times New Roman" w:cs="Times New Roman"/>
          <w:sz w:val="24"/>
          <w:lang w:val="en-US"/>
        </w:rPr>
        <w:t xml:space="preserve"> Biotech, </w:t>
      </w:r>
      <w:proofErr w:type="spellStart"/>
      <w:r w:rsidRPr="008513F3">
        <w:rPr>
          <w:rFonts w:ascii="Times New Roman" w:hAnsi="Times New Roman" w:cs="Times New Roman"/>
          <w:sz w:val="24"/>
          <w:lang w:val="en-US"/>
        </w:rPr>
        <w:t>Miltenyi</w:t>
      </w:r>
      <w:proofErr w:type="spellEnd"/>
      <w:r w:rsidRPr="008513F3">
        <w:rPr>
          <w:rFonts w:ascii="Times New Roman" w:hAnsi="Times New Roman" w:cs="Times New Roman"/>
          <w:sz w:val="24"/>
          <w:lang w:val="en-US"/>
        </w:rPr>
        <w:t xml:space="preserve"> Biotech, Germany) before staining with a cocktail of antibodies (</w:t>
      </w:r>
      <w:proofErr w:type="spellStart"/>
      <w:r w:rsidRPr="008513F3">
        <w:rPr>
          <w:rFonts w:ascii="Times New Roman" w:hAnsi="Times New Roman" w:cs="Times New Roman"/>
          <w:sz w:val="24"/>
          <w:lang w:val="en-US"/>
        </w:rPr>
        <w:t>Biolegend</w:t>
      </w:r>
      <w:proofErr w:type="spellEnd"/>
      <w:r w:rsidRPr="008513F3">
        <w:rPr>
          <w:rFonts w:ascii="Times New Roman" w:hAnsi="Times New Roman" w:cs="Times New Roman"/>
          <w:sz w:val="24"/>
          <w:lang w:val="en-US"/>
        </w:rPr>
        <w:t xml:space="preserve">, San Diego, CA) targeting the following surface antigens: fluorescein isothiocyanate anti-human CD3 (UCHTI), APC/Cy7 anti-human CD4 (RPA-T4), PE anti-human CD5 (UCHT2), PerCP-Cy5.5 anti-human CD8 (SK1), PE/Cy7 anti-human PD-1 (EH12.2H7), BV421 anti-human CCR7 (G043H7), and BV785 anti-human CD45RA (HI100). Some </w:t>
      </w:r>
      <w:proofErr w:type="spellStart"/>
      <w:r w:rsidRPr="008513F3">
        <w:rPr>
          <w:rFonts w:ascii="Times New Roman" w:hAnsi="Times New Roman" w:cs="Times New Roman"/>
          <w:sz w:val="24"/>
          <w:lang w:val="en-US"/>
        </w:rPr>
        <w:t>TRuC</w:t>
      </w:r>
      <w:proofErr w:type="spellEnd"/>
      <w:r w:rsidRPr="008513F3">
        <w:rPr>
          <w:rFonts w:ascii="Times New Roman" w:hAnsi="Times New Roman" w:cs="Times New Roman"/>
          <w:sz w:val="24"/>
          <w:lang w:val="en-US"/>
        </w:rPr>
        <w:t>-T cells were stained with additional panels of antibodies to examine activation and exhaustion phenotypes using the following antibodies: PE anti-human CD70 (113-16) or PE anti-human TIGIT (A151A3G), PE/</w:t>
      </w:r>
      <w:proofErr w:type="spellStart"/>
      <w:r w:rsidRPr="008513F3">
        <w:rPr>
          <w:rFonts w:ascii="Times New Roman" w:hAnsi="Times New Roman" w:cs="Times New Roman"/>
          <w:sz w:val="24"/>
          <w:lang w:val="en-US"/>
        </w:rPr>
        <w:t>Dazzle</w:t>
      </w:r>
      <w:r w:rsidRPr="008513F3">
        <w:rPr>
          <w:rFonts w:ascii="Times New Roman" w:hAnsi="Times New Roman" w:cs="Times New Roman"/>
          <w:sz w:val="24"/>
          <w:vertAlign w:val="superscript"/>
          <w:lang w:val="en-US"/>
        </w:rPr>
        <w:t>TM</w:t>
      </w:r>
      <w:proofErr w:type="spellEnd"/>
      <w:r w:rsidRPr="008513F3">
        <w:rPr>
          <w:rFonts w:ascii="Times New Roman" w:hAnsi="Times New Roman" w:cs="Times New Roman"/>
          <w:sz w:val="24"/>
          <w:lang w:val="en-US"/>
        </w:rPr>
        <w:t xml:space="preserve"> 594 anti-human CD25 (M-A251), or PE/</w:t>
      </w:r>
      <w:proofErr w:type="spellStart"/>
      <w:r w:rsidRPr="008513F3">
        <w:rPr>
          <w:rFonts w:ascii="Times New Roman" w:hAnsi="Times New Roman" w:cs="Times New Roman"/>
          <w:sz w:val="24"/>
          <w:lang w:val="en-US"/>
        </w:rPr>
        <w:t>Dazzle</w:t>
      </w:r>
      <w:r w:rsidRPr="008513F3">
        <w:rPr>
          <w:rFonts w:ascii="Times New Roman" w:hAnsi="Times New Roman" w:cs="Times New Roman"/>
          <w:sz w:val="24"/>
          <w:vertAlign w:val="superscript"/>
          <w:lang w:val="en-US"/>
        </w:rPr>
        <w:t>TM</w:t>
      </w:r>
      <w:proofErr w:type="spellEnd"/>
      <w:r w:rsidRPr="008513F3">
        <w:rPr>
          <w:rFonts w:ascii="Times New Roman" w:hAnsi="Times New Roman" w:cs="Times New Roman"/>
          <w:sz w:val="24"/>
          <w:lang w:val="en-US"/>
        </w:rPr>
        <w:t xml:space="preserve"> 594 anti-human TIM3 (F38-2E2), PE/Cy7 anti-human CD69 (FN50), BV711 anti-human CD28 (CD28.2), and BV785 anti-human LAG-3 (11C3C65). A BUV395 anti-human CD45RO (UCHL1) antibody was obtained from BD Biosciences (San Diego, CA). To detect surface expression of the MH1 anti-mesothelin binder, an iFluor647-conjugated </w:t>
      </w:r>
      <w:proofErr w:type="spellStart"/>
      <w:r w:rsidRPr="008513F3">
        <w:rPr>
          <w:rFonts w:ascii="Times New Roman" w:hAnsi="Times New Roman" w:cs="Times New Roman"/>
          <w:sz w:val="24"/>
          <w:lang w:val="en-US"/>
        </w:rPr>
        <w:t>MonoRab</w:t>
      </w:r>
      <w:proofErr w:type="spellEnd"/>
      <w:r w:rsidRPr="008513F3">
        <w:rPr>
          <w:rFonts w:ascii="Times New Roman" w:hAnsi="Times New Roman" w:cs="Times New Roman"/>
          <w:sz w:val="24"/>
          <w:lang w:val="en-US"/>
        </w:rPr>
        <w:t>™ Rabbit anti-camelid VHH antibody (</w:t>
      </w:r>
      <w:proofErr w:type="spellStart"/>
      <w:r w:rsidRPr="008513F3">
        <w:rPr>
          <w:rFonts w:ascii="Times New Roman" w:hAnsi="Times New Roman" w:cs="Times New Roman"/>
          <w:sz w:val="24"/>
          <w:lang w:val="en-US"/>
        </w:rPr>
        <w:t>Genscript</w:t>
      </w:r>
      <w:proofErr w:type="spellEnd"/>
      <w:r w:rsidRPr="008513F3">
        <w:rPr>
          <w:rFonts w:ascii="Times New Roman" w:hAnsi="Times New Roman" w:cs="Times New Roman"/>
          <w:sz w:val="24"/>
          <w:lang w:val="en-US"/>
        </w:rPr>
        <w:t xml:space="preserve">, Piscataway, NJ) was used. Samples were incubated with the antibody cocktail for 25 minutes, washed, and then fixed in 4% formaldehyde for 20 minutes prior to </w:t>
      </w:r>
      <w:r w:rsidRPr="008513F3">
        <w:rPr>
          <w:rFonts w:ascii="Times New Roman" w:hAnsi="Times New Roman" w:cs="Times New Roman"/>
          <w:sz w:val="24"/>
          <w:lang w:val="en-US"/>
        </w:rPr>
        <w:lastRenderedPageBreak/>
        <w:t xml:space="preserve">washing and acquisition on the BD LSR </w:t>
      </w:r>
      <w:proofErr w:type="spellStart"/>
      <w:r w:rsidRPr="008513F3">
        <w:rPr>
          <w:rFonts w:ascii="Times New Roman" w:hAnsi="Times New Roman" w:cs="Times New Roman"/>
          <w:sz w:val="24"/>
          <w:lang w:val="en-US"/>
        </w:rPr>
        <w:t>Fortessa</w:t>
      </w:r>
      <w:proofErr w:type="spellEnd"/>
      <w:r w:rsidRPr="008513F3">
        <w:rPr>
          <w:rFonts w:ascii="Times New Roman" w:hAnsi="Times New Roman" w:cs="Times New Roman"/>
          <w:sz w:val="24"/>
          <w:lang w:val="en-US"/>
        </w:rPr>
        <w:t xml:space="preserve">™ X-20 cell analyzer. Data analysis was performed with the </w:t>
      </w:r>
      <w:proofErr w:type="spellStart"/>
      <w:r w:rsidRPr="008513F3">
        <w:rPr>
          <w:rFonts w:ascii="Times New Roman" w:hAnsi="Times New Roman" w:cs="Times New Roman"/>
          <w:sz w:val="24"/>
          <w:lang w:val="en-US"/>
        </w:rPr>
        <w:t>FlowJo</w:t>
      </w:r>
      <w:proofErr w:type="spellEnd"/>
      <w:r w:rsidRPr="008513F3">
        <w:rPr>
          <w:rFonts w:ascii="Times New Roman" w:hAnsi="Times New Roman" w:cs="Times New Roman"/>
          <w:sz w:val="24"/>
          <w:lang w:val="en-US"/>
        </w:rPr>
        <w:t xml:space="preserve"> software (</w:t>
      </w:r>
      <w:proofErr w:type="spellStart"/>
      <w:r w:rsidRPr="008513F3">
        <w:rPr>
          <w:rFonts w:ascii="Times New Roman" w:hAnsi="Times New Roman" w:cs="Times New Roman"/>
          <w:sz w:val="24"/>
          <w:lang w:val="en-US"/>
        </w:rPr>
        <w:t>TreeStar</w:t>
      </w:r>
      <w:proofErr w:type="spellEnd"/>
      <w:r w:rsidRPr="008513F3">
        <w:rPr>
          <w:rFonts w:ascii="Times New Roman" w:hAnsi="Times New Roman" w:cs="Times New Roman"/>
          <w:sz w:val="24"/>
          <w:lang w:val="en-US"/>
        </w:rPr>
        <w:t xml:space="preserve"> Inc, Ashland, OR).</w:t>
      </w:r>
    </w:p>
    <w:p w14:paraId="1470A658" w14:textId="77777777" w:rsidR="008513F3" w:rsidRPr="008513F3" w:rsidRDefault="008513F3" w:rsidP="008513F3">
      <w:pPr>
        <w:spacing w:after="240" w:line="480" w:lineRule="auto"/>
        <w:rPr>
          <w:rFonts w:ascii="Times New Roman" w:hAnsi="Times New Roman" w:cs="Times New Roman"/>
          <w:sz w:val="24"/>
          <w:lang w:val="en-US"/>
        </w:rPr>
      </w:pPr>
      <w:r w:rsidRPr="008513F3">
        <w:rPr>
          <w:rFonts w:ascii="Times New Roman" w:hAnsi="Times New Roman" w:cs="Times New Roman"/>
          <w:sz w:val="24"/>
          <w:lang w:val="en-US"/>
        </w:rPr>
        <w:tab/>
        <w:t xml:space="preserve">For proliferation studies, T cells were labeled with </w:t>
      </w:r>
      <w:proofErr w:type="spellStart"/>
      <w:r w:rsidRPr="008513F3">
        <w:rPr>
          <w:rFonts w:ascii="Times New Roman" w:hAnsi="Times New Roman" w:cs="Times New Roman"/>
          <w:sz w:val="24"/>
          <w:lang w:val="en-US"/>
        </w:rPr>
        <w:t>CellTraceViolet</w:t>
      </w:r>
      <w:proofErr w:type="spellEnd"/>
      <w:r w:rsidRPr="008513F3">
        <w:rPr>
          <w:rFonts w:ascii="Times New Roman" w:hAnsi="Times New Roman" w:cs="Times New Roman"/>
          <w:sz w:val="24"/>
          <w:lang w:val="en-US"/>
        </w:rPr>
        <w:t xml:space="preserve"> (Life Technologies Corporation, Carlsbad, CA) for 10 minutes at 37°C in PBS according to the manufacturer’s instructions. The labeling reaction was then quenched with RPMI-1640 media containing 10% fetal bovine serum prior to plating in the conditions described in the Results section.</w:t>
      </w:r>
    </w:p>
    <w:p w14:paraId="40AA283B" w14:textId="77777777" w:rsidR="008513F3" w:rsidRPr="008513F3" w:rsidRDefault="008513F3" w:rsidP="008513F3">
      <w:pPr>
        <w:keepNext/>
        <w:keepLines/>
        <w:spacing w:after="240" w:line="480" w:lineRule="auto"/>
        <w:outlineLvl w:val="1"/>
        <w:rPr>
          <w:rFonts w:ascii="Times New Roman" w:eastAsiaTheme="majorEastAsia" w:hAnsi="Times New Roman" w:cs="Times New Roman"/>
          <w:b/>
          <w:sz w:val="24"/>
          <w:szCs w:val="26"/>
          <w:lang w:val="en-US"/>
        </w:rPr>
      </w:pPr>
      <w:r w:rsidRPr="008513F3">
        <w:rPr>
          <w:rFonts w:ascii="Times New Roman" w:eastAsiaTheme="majorEastAsia" w:hAnsi="Times New Roman" w:cs="Times New Roman"/>
          <w:b/>
          <w:sz w:val="24"/>
          <w:szCs w:val="26"/>
          <w:lang w:val="en-US"/>
        </w:rPr>
        <w:t>Coculture assays</w:t>
      </w:r>
    </w:p>
    <w:p w14:paraId="5AD623FE" w14:textId="77777777" w:rsidR="008513F3" w:rsidRPr="008513F3" w:rsidRDefault="008513F3" w:rsidP="008513F3">
      <w:pPr>
        <w:spacing w:after="240" w:line="480" w:lineRule="auto"/>
        <w:rPr>
          <w:rFonts w:ascii="Times New Roman" w:hAnsi="Times New Roman" w:cs="Times New Roman"/>
          <w:sz w:val="24"/>
          <w:lang w:val="en-US"/>
        </w:rPr>
      </w:pPr>
      <w:r w:rsidRPr="008513F3">
        <w:rPr>
          <w:rFonts w:ascii="Times New Roman" w:hAnsi="Times New Roman" w:cs="Times New Roman"/>
          <w:sz w:val="24"/>
          <w:lang w:val="en-US"/>
        </w:rPr>
        <w:t xml:space="preserve">For </w:t>
      </w:r>
      <w:proofErr w:type="spellStart"/>
      <w:r w:rsidRPr="008513F3">
        <w:rPr>
          <w:rFonts w:ascii="Times New Roman" w:hAnsi="Times New Roman" w:cs="Times New Roman"/>
          <w:sz w:val="24"/>
          <w:lang w:val="en-US"/>
        </w:rPr>
        <w:t>TRuC</w:t>
      </w:r>
      <w:proofErr w:type="spellEnd"/>
      <w:r w:rsidRPr="008513F3">
        <w:rPr>
          <w:rFonts w:ascii="Times New Roman" w:hAnsi="Times New Roman" w:cs="Times New Roman"/>
          <w:sz w:val="24"/>
          <w:lang w:val="en-US"/>
        </w:rPr>
        <w:t xml:space="preserve">-T cell coculture assays with target cell lines, </w:t>
      </w:r>
      <w:proofErr w:type="spellStart"/>
      <w:r w:rsidRPr="008513F3">
        <w:rPr>
          <w:rFonts w:ascii="Times New Roman" w:hAnsi="Times New Roman" w:cs="Times New Roman"/>
          <w:sz w:val="24"/>
          <w:lang w:val="en-US"/>
        </w:rPr>
        <w:t>TRuC</w:t>
      </w:r>
      <w:proofErr w:type="spellEnd"/>
      <w:r w:rsidRPr="008513F3">
        <w:rPr>
          <w:rFonts w:ascii="Times New Roman" w:hAnsi="Times New Roman" w:cs="Times New Roman"/>
          <w:sz w:val="24"/>
          <w:lang w:val="en-US"/>
        </w:rPr>
        <w:t xml:space="preserve">-T cells were first thawed and rested in IL-2 (300 U/mL) for 72 hours. At the end of the rest period, </w:t>
      </w:r>
      <w:proofErr w:type="spellStart"/>
      <w:r w:rsidRPr="008513F3">
        <w:rPr>
          <w:rFonts w:ascii="Times New Roman" w:hAnsi="Times New Roman" w:cs="Times New Roman"/>
          <w:sz w:val="24"/>
          <w:lang w:val="en-US"/>
        </w:rPr>
        <w:t>TRuC</w:t>
      </w:r>
      <w:proofErr w:type="spellEnd"/>
      <w:r w:rsidRPr="008513F3">
        <w:rPr>
          <w:rFonts w:ascii="Times New Roman" w:hAnsi="Times New Roman" w:cs="Times New Roman"/>
          <w:sz w:val="24"/>
          <w:lang w:val="en-US"/>
        </w:rPr>
        <w:t>-T cells were then normalized for transduction efficiency and subsequently plated in a 96-well U-bottom plate at a 1:1 ratio with 1.0×10</w:t>
      </w:r>
      <w:r w:rsidRPr="008513F3">
        <w:rPr>
          <w:rFonts w:ascii="Times New Roman" w:hAnsi="Times New Roman" w:cs="Times New Roman"/>
          <w:sz w:val="24"/>
          <w:vertAlign w:val="superscript"/>
          <w:lang w:val="en-US"/>
        </w:rPr>
        <w:t>5</w:t>
      </w:r>
      <w:r w:rsidRPr="008513F3">
        <w:rPr>
          <w:rFonts w:ascii="Times New Roman" w:hAnsi="Times New Roman" w:cs="Times New Roman"/>
          <w:sz w:val="24"/>
          <w:lang w:val="en-US"/>
        </w:rPr>
        <w:t xml:space="preserve"> </w:t>
      </w:r>
      <w:proofErr w:type="spellStart"/>
      <w:r w:rsidRPr="008513F3">
        <w:rPr>
          <w:rFonts w:ascii="Times New Roman" w:hAnsi="Times New Roman" w:cs="Times New Roman"/>
          <w:sz w:val="24"/>
          <w:lang w:val="en-US"/>
        </w:rPr>
        <w:t>Streck</w:t>
      </w:r>
      <w:proofErr w:type="spellEnd"/>
      <w:r w:rsidRPr="008513F3">
        <w:rPr>
          <w:rFonts w:ascii="Times New Roman" w:hAnsi="Times New Roman" w:cs="Times New Roman"/>
          <w:sz w:val="24"/>
          <w:lang w:val="en-US"/>
        </w:rPr>
        <w:t>-treated tumor cells (</w:t>
      </w:r>
      <w:proofErr w:type="spellStart"/>
      <w:r w:rsidRPr="008513F3">
        <w:rPr>
          <w:rFonts w:ascii="Times New Roman" w:hAnsi="Times New Roman" w:cs="Times New Roman"/>
          <w:sz w:val="24"/>
          <w:lang w:val="en-US"/>
        </w:rPr>
        <w:t>Streck</w:t>
      </w:r>
      <w:proofErr w:type="spellEnd"/>
      <w:r w:rsidRPr="008513F3">
        <w:rPr>
          <w:rFonts w:ascii="Times New Roman" w:hAnsi="Times New Roman" w:cs="Times New Roman"/>
          <w:sz w:val="24"/>
          <w:lang w:val="en-US"/>
        </w:rPr>
        <w:t>, La Vista, NE) for up to 96 hours. Culture supernatants were harvested from replicate plates at 24 or 72 hours and stored at –80°C until sample analysis.</w:t>
      </w:r>
    </w:p>
    <w:p w14:paraId="642FA8D4" w14:textId="77777777" w:rsidR="008513F3" w:rsidRPr="008513F3" w:rsidRDefault="008513F3" w:rsidP="008513F3">
      <w:pPr>
        <w:spacing w:after="240" w:line="480" w:lineRule="auto"/>
        <w:rPr>
          <w:rFonts w:ascii="Times New Roman" w:hAnsi="Times New Roman" w:cs="Times New Roman"/>
          <w:sz w:val="24"/>
          <w:lang w:val="en-US"/>
        </w:rPr>
      </w:pPr>
      <w:r w:rsidRPr="008513F3">
        <w:rPr>
          <w:rFonts w:ascii="Times New Roman" w:hAnsi="Times New Roman" w:cs="Times New Roman"/>
          <w:sz w:val="24"/>
          <w:lang w:val="en-US"/>
        </w:rPr>
        <w:tab/>
        <w:t xml:space="preserve">For the antigen-rechallenge assays, </w:t>
      </w:r>
      <w:proofErr w:type="spellStart"/>
      <w:r w:rsidRPr="008513F3">
        <w:rPr>
          <w:rFonts w:ascii="Times New Roman" w:hAnsi="Times New Roman" w:cs="Times New Roman"/>
          <w:sz w:val="24"/>
          <w:lang w:val="en-US"/>
        </w:rPr>
        <w:t>TRuC</w:t>
      </w:r>
      <w:proofErr w:type="spellEnd"/>
      <w:r w:rsidRPr="008513F3">
        <w:rPr>
          <w:rFonts w:ascii="Times New Roman" w:hAnsi="Times New Roman" w:cs="Times New Roman"/>
          <w:sz w:val="24"/>
          <w:lang w:val="en-US"/>
        </w:rPr>
        <w:t>-T cells were thawed and rested for 72 hours as described above, and then 5.0×10</w:t>
      </w:r>
      <w:r w:rsidRPr="008513F3">
        <w:rPr>
          <w:rFonts w:ascii="Times New Roman" w:hAnsi="Times New Roman" w:cs="Times New Roman"/>
          <w:sz w:val="24"/>
          <w:vertAlign w:val="superscript"/>
          <w:lang w:val="en-US"/>
        </w:rPr>
        <w:t>3</w:t>
      </w:r>
      <w:r w:rsidRPr="008513F3">
        <w:rPr>
          <w:rFonts w:ascii="Times New Roman" w:hAnsi="Times New Roman" w:cs="Times New Roman"/>
          <w:sz w:val="24"/>
          <w:lang w:val="en-US"/>
        </w:rPr>
        <w:t xml:space="preserve"> </w:t>
      </w:r>
      <w:proofErr w:type="spellStart"/>
      <w:r w:rsidRPr="008513F3">
        <w:rPr>
          <w:rFonts w:ascii="Times New Roman" w:hAnsi="Times New Roman" w:cs="Times New Roman"/>
          <w:sz w:val="24"/>
          <w:lang w:val="en-US"/>
        </w:rPr>
        <w:t>TRuC</w:t>
      </w:r>
      <w:proofErr w:type="spellEnd"/>
      <w:r w:rsidRPr="008513F3">
        <w:rPr>
          <w:rFonts w:ascii="Times New Roman" w:hAnsi="Times New Roman" w:cs="Times New Roman"/>
          <w:sz w:val="24"/>
          <w:vertAlign w:val="superscript"/>
          <w:lang w:val="en-US"/>
        </w:rPr>
        <w:t>+</w:t>
      </w:r>
      <w:r w:rsidRPr="008513F3">
        <w:rPr>
          <w:rFonts w:ascii="Times New Roman" w:hAnsi="Times New Roman" w:cs="Times New Roman"/>
          <w:sz w:val="24"/>
          <w:lang w:val="en-US"/>
        </w:rPr>
        <w:t xml:space="preserve"> T cells were cocultured with 1.0×10</w:t>
      </w:r>
      <w:r w:rsidRPr="008513F3">
        <w:rPr>
          <w:rFonts w:ascii="Times New Roman" w:hAnsi="Times New Roman" w:cs="Times New Roman"/>
          <w:sz w:val="24"/>
          <w:vertAlign w:val="superscript"/>
          <w:lang w:val="en-US"/>
        </w:rPr>
        <w:t>5</w:t>
      </w:r>
      <w:r w:rsidRPr="008513F3">
        <w:rPr>
          <w:rFonts w:ascii="Times New Roman" w:hAnsi="Times New Roman" w:cs="Times New Roman"/>
          <w:sz w:val="24"/>
          <w:lang w:val="en-US"/>
        </w:rPr>
        <w:t xml:space="preserve"> </w:t>
      </w:r>
      <w:proofErr w:type="spellStart"/>
      <w:r w:rsidRPr="008513F3">
        <w:rPr>
          <w:rFonts w:ascii="Times New Roman" w:hAnsi="Times New Roman" w:cs="Times New Roman"/>
          <w:sz w:val="24"/>
          <w:lang w:val="en-US"/>
        </w:rPr>
        <w:t>Streck</w:t>
      </w:r>
      <w:proofErr w:type="spellEnd"/>
      <w:r w:rsidRPr="008513F3">
        <w:rPr>
          <w:rFonts w:ascii="Times New Roman" w:hAnsi="Times New Roman" w:cs="Times New Roman"/>
          <w:sz w:val="24"/>
          <w:lang w:val="en-US"/>
        </w:rPr>
        <w:t>-treated tumor cells at a 1:20 effector-to-target ratio for 96 hours. At the end of every 96 hours, cultures were harvested, counted, and stained for analysis by flow cytometry. Replicate conditions were rechallenged with antigen every 96 hours by replacing the media and adding an additional 1.0×10</w:t>
      </w:r>
      <w:r w:rsidRPr="008513F3">
        <w:rPr>
          <w:rFonts w:ascii="Times New Roman" w:hAnsi="Times New Roman" w:cs="Times New Roman"/>
          <w:sz w:val="24"/>
          <w:vertAlign w:val="superscript"/>
          <w:lang w:val="en-US"/>
        </w:rPr>
        <w:t>5</w:t>
      </w:r>
      <w:r w:rsidRPr="008513F3">
        <w:rPr>
          <w:rFonts w:ascii="Times New Roman" w:hAnsi="Times New Roman" w:cs="Times New Roman"/>
          <w:sz w:val="24"/>
          <w:lang w:val="en-US"/>
        </w:rPr>
        <w:t xml:space="preserve"> </w:t>
      </w:r>
      <w:proofErr w:type="spellStart"/>
      <w:r w:rsidRPr="008513F3">
        <w:rPr>
          <w:rFonts w:ascii="Times New Roman" w:hAnsi="Times New Roman" w:cs="Times New Roman"/>
          <w:sz w:val="24"/>
          <w:lang w:val="en-US"/>
        </w:rPr>
        <w:t>Streck</w:t>
      </w:r>
      <w:proofErr w:type="spellEnd"/>
      <w:r w:rsidRPr="008513F3">
        <w:rPr>
          <w:rFonts w:ascii="Times New Roman" w:hAnsi="Times New Roman" w:cs="Times New Roman"/>
          <w:sz w:val="24"/>
          <w:lang w:val="en-US"/>
        </w:rPr>
        <w:t xml:space="preserve">-treated tumor cells. Culture supernatants were collected at 72 hours after each challenge to examine the level of cytokine produced </w:t>
      </w:r>
      <w:proofErr w:type="gramStart"/>
      <w:r w:rsidRPr="008513F3">
        <w:rPr>
          <w:rFonts w:ascii="Times New Roman" w:hAnsi="Times New Roman" w:cs="Times New Roman"/>
          <w:sz w:val="24"/>
          <w:lang w:val="en-US"/>
        </w:rPr>
        <w:t>during the course of</w:t>
      </w:r>
      <w:proofErr w:type="gramEnd"/>
      <w:r w:rsidRPr="008513F3">
        <w:rPr>
          <w:rFonts w:ascii="Times New Roman" w:hAnsi="Times New Roman" w:cs="Times New Roman"/>
          <w:sz w:val="24"/>
          <w:lang w:val="en-US"/>
        </w:rPr>
        <w:t xml:space="preserve"> the assay.</w:t>
      </w:r>
    </w:p>
    <w:p w14:paraId="136CB9E4" w14:textId="77777777" w:rsidR="008513F3" w:rsidRPr="008513F3" w:rsidRDefault="008513F3" w:rsidP="008513F3">
      <w:pPr>
        <w:spacing w:after="240" w:line="480" w:lineRule="auto"/>
        <w:rPr>
          <w:rFonts w:ascii="Times New Roman" w:hAnsi="Times New Roman" w:cs="Times New Roman"/>
          <w:sz w:val="24"/>
          <w:lang w:val="en-US"/>
        </w:rPr>
      </w:pPr>
      <w:r w:rsidRPr="008513F3">
        <w:rPr>
          <w:rFonts w:ascii="Times New Roman" w:hAnsi="Times New Roman" w:cs="Times New Roman"/>
          <w:sz w:val="24"/>
          <w:lang w:val="en-US"/>
        </w:rPr>
        <w:lastRenderedPageBreak/>
        <w:tab/>
        <w:t xml:space="preserve">The level of human cytokines in coculture supernatants was analyzed using the </w:t>
      </w:r>
      <w:bookmarkStart w:id="0" w:name="_Hlk129862610"/>
      <w:r w:rsidRPr="008513F3">
        <w:rPr>
          <w:rFonts w:ascii="Times New Roman" w:hAnsi="Times New Roman" w:cs="Times New Roman"/>
          <w:sz w:val="24"/>
          <w:lang w:val="en-US"/>
        </w:rPr>
        <w:t>U-Plex Meso-Scale Discovery gold kit</w:t>
      </w:r>
      <w:bookmarkEnd w:id="0"/>
      <w:r w:rsidRPr="008513F3">
        <w:rPr>
          <w:rFonts w:ascii="Times New Roman" w:hAnsi="Times New Roman" w:cs="Times New Roman"/>
          <w:sz w:val="24"/>
          <w:lang w:val="en-US"/>
        </w:rPr>
        <w:t xml:space="preserve"> (Mesoscale Diagnostics, Rockville, MD) according to the manufacturer’s instructions. The four analytes that were examined for each assay were IFN-γ, IL-2, GM-CSF, and TNF-α. IL-4, IL-5, IL-10, IL-13, and IL-23 were also tested in some experiments, as described in the Results section.</w:t>
      </w:r>
    </w:p>
    <w:p w14:paraId="4D241062" w14:textId="77777777" w:rsidR="008513F3" w:rsidRPr="008513F3" w:rsidRDefault="008513F3" w:rsidP="008513F3">
      <w:pPr>
        <w:rPr>
          <w:rFonts w:ascii="Times New Roman" w:hAnsi="Times New Roman" w:cs="Times New Roman"/>
          <w:sz w:val="24"/>
          <w:lang w:val="en-US"/>
        </w:rPr>
      </w:pPr>
      <w:r w:rsidRPr="008513F3">
        <w:rPr>
          <w:rFonts w:ascii="Times New Roman" w:hAnsi="Times New Roman" w:cs="Times New Roman"/>
          <w:sz w:val="24"/>
          <w:lang w:val="en-US"/>
        </w:rPr>
        <w:br w:type="page"/>
      </w:r>
    </w:p>
    <w:p w14:paraId="7B954E0C" w14:textId="77777777" w:rsidR="008513F3" w:rsidRPr="008513F3" w:rsidRDefault="008513F3" w:rsidP="008513F3">
      <w:pPr>
        <w:keepNext/>
        <w:keepLines/>
        <w:spacing w:after="240" w:line="480" w:lineRule="auto"/>
        <w:outlineLvl w:val="1"/>
        <w:rPr>
          <w:rFonts w:ascii="Times New Roman" w:eastAsiaTheme="majorEastAsia" w:hAnsi="Times New Roman" w:cs="Times New Roman"/>
          <w:b/>
          <w:sz w:val="24"/>
          <w:szCs w:val="26"/>
          <w:lang w:val="en-US"/>
        </w:rPr>
      </w:pPr>
      <w:r w:rsidRPr="008513F3">
        <w:rPr>
          <w:rFonts w:ascii="Times New Roman" w:eastAsiaTheme="majorEastAsia" w:hAnsi="Times New Roman" w:cs="Times New Roman"/>
          <w:b/>
          <w:sz w:val="24"/>
          <w:szCs w:val="26"/>
          <w:lang w:val="en-US"/>
        </w:rPr>
        <w:lastRenderedPageBreak/>
        <w:t>SUPPLEMENTAL FIGURES</w:t>
      </w:r>
    </w:p>
    <w:p w14:paraId="29E02962" w14:textId="77777777" w:rsidR="008513F3" w:rsidRPr="008513F3" w:rsidRDefault="008513F3" w:rsidP="008513F3">
      <w:pPr>
        <w:spacing w:after="240" w:line="480" w:lineRule="auto"/>
        <w:rPr>
          <w:rFonts w:ascii="Times New Roman" w:hAnsi="Times New Roman" w:cs="Times New Roman"/>
          <w:sz w:val="24"/>
          <w:szCs w:val="24"/>
          <w:lang w:val="en-US"/>
        </w:rPr>
      </w:pPr>
      <w:r w:rsidRPr="008513F3">
        <w:rPr>
          <w:rFonts w:ascii="Times New Roman" w:hAnsi="Times New Roman" w:cs="Times New Roman"/>
          <w:b/>
          <w:bCs/>
          <w:sz w:val="24"/>
          <w:szCs w:val="24"/>
          <w:lang w:val="en-US"/>
        </w:rPr>
        <w:t>Supplemental Fig. S1</w:t>
      </w:r>
      <w:r w:rsidRPr="008513F3">
        <w:rPr>
          <w:rFonts w:ascii="Times New Roman" w:hAnsi="Times New Roman" w:cs="Times New Roman"/>
          <w:bCs/>
          <w:sz w:val="24"/>
          <w:szCs w:val="24"/>
          <w:lang w:val="en-US"/>
        </w:rPr>
        <w:t xml:space="preserve"> </w:t>
      </w:r>
      <w:r w:rsidRPr="008513F3">
        <w:rPr>
          <w:rFonts w:ascii="Times New Roman" w:hAnsi="Times New Roman" w:cs="Times New Roman"/>
          <w:sz w:val="24"/>
          <w:szCs w:val="24"/>
          <w:lang w:val="en-US"/>
        </w:rPr>
        <w:t xml:space="preserve">Phenotype of MSLN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-T cells at Day 10.</w:t>
      </w:r>
      <w:r w:rsidRPr="008513F3">
        <w:rPr>
          <w:rFonts w:ascii="Times New Roman" w:hAnsi="Times New Roman" w:cs="Times New Roman"/>
          <w:b/>
          <w:sz w:val="24"/>
          <w:szCs w:val="24"/>
          <w:lang w:val="en-US"/>
        </w:rPr>
        <w:t xml:space="preserve"> </w:t>
      </w:r>
      <w:r w:rsidRPr="008513F3">
        <w:rPr>
          <w:rFonts w:ascii="Times New Roman" w:hAnsi="Times New Roman" w:cs="Times New Roman"/>
          <w:b/>
          <w:bCs/>
          <w:sz w:val="24"/>
          <w:szCs w:val="24"/>
          <w:lang w:val="en-US"/>
        </w:rPr>
        <w:t>a</w:t>
      </w:r>
      <w:r w:rsidRPr="008513F3">
        <w:rPr>
          <w:rFonts w:ascii="Times New Roman" w:hAnsi="Times New Roman" w:cs="Times New Roman"/>
          <w:sz w:val="24"/>
          <w:szCs w:val="24"/>
          <w:lang w:val="en-US"/>
        </w:rPr>
        <w:t xml:space="preserve"> Memory-effector populations of CD8</w:t>
      </w:r>
      <w:r w:rsidRPr="008513F3">
        <w:rPr>
          <w:rFonts w:ascii="Times New Roman" w:hAnsi="Times New Roman" w:cs="Times New Roman"/>
          <w:sz w:val="24"/>
          <w:szCs w:val="24"/>
          <w:vertAlign w:val="superscript"/>
          <w:lang w:val="en-US"/>
        </w:rPr>
        <w:t>+</w:t>
      </w:r>
      <w:r w:rsidRPr="008513F3">
        <w:rPr>
          <w:rFonts w:ascii="Times New Roman" w:hAnsi="Times New Roman" w:cs="Times New Roman"/>
          <w:sz w:val="24"/>
          <w:szCs w:val="24"/>
          <w:lang w:val="en-US"/>
        </w:rPr>
        <w:t xml:space="preserve">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-T cells. </w:t>
      </w:r>
      <w:r w:rsidRPr="008513F3">
        <w:rPr>
          <w:rFonts w:ascii="Times New Roman" w:hAnsi="Times New Roman" w:cs="Times New Roman"/>
          <w:b/>
          <w:bCs/>
          <w:sz w:val="24"/>
          <w:szCs w:val="24"/>
          <w:lang w:val="en-US"/>
        </w:rPr>
        <w:t>b</w:t>
      </w:r>
      <w:r w:rsidRPr="008513F3">
        <w:rPr>
          <w:rFonts w:ascii="Times New Roman" w:hAnsi="Times New Roman" w:cs="Times New Roman"/>
          <w:sz w:val="24"/>
          <w:szCs w:val="24"/>
          <w:lang w:val="en-US"/>
        </w:rPr>
        <w:t xml:space="preserve">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-T cells from five of the nine donors stained for additional phenotypic markers of T cell activation and exhaustion and subjected to flow cytometric analysis. </w:t>
      </w:r>
      <w:r w:rsidRPr="008513F3">
        <w:rPr>
          <w:rFonts w:ascii="Times New Roman" w:hAnsi="Times New Roman" w:cs="Times New Roman"/>
          <w:b/>
          <w:bCs/>
          <w:sz w:val="24"/>
          <w:szCs w:val="24"/>
          <w:lang w:val="en-US"/>
        </w:rPr>
        <w:t>c</w:t>
      </w:r>
      <w:r w:rsidRPr="008513F3">
        <w:rPr>
          <w:rFonts w:ascii="Times New Roman" w:hAnsi="Times New Roman" w:cs="Times New Roman"/>
          <w:sz w:val="24"/>
          <w:szCs w:val="24"/>
          <w:lang w:val="en-US"/>
        </w:rPr>
        <w:t xml:space="preserve"> Expression of surface expression markers CCR7, CD25, CD28, CD45RA, CD69, CD70, LAG-3, and TIM-3 represented as the percent of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vertAlign w:val="superscript"/>
          <w:lang w:val="en-US"/>
        </w:rPr>
        <w:t>+</w:t>
      </w:r>
      <w:r w:rsidRPr="008513F3">
        <w:rPr>
          <w:rFonts w:ascii="Times New Roman" w:hAnsi="Times New Roman" w:cs="Times New Roman"/>
          <w:sz w:val="24"/>
          <w:szCs w:val="24"/>
          <w:lang w:val="en-US"/>
        </w:rPr>
        <w:t xml:space="preserve"> cells and MFI of </w:t>
      </w:r>
      <w:bookmarkStart w:id="1" w:name="_Hlk132964251"/>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vertAlign w:val="superscript"/>
          <w:lang w:val="en-US"/>
        </w:rPr>
        <w:t>+</w:t>
      </w:r>
      <w:r w:rsidRPr="008513F3">
        <w:rPr>
          <w:rFonts w:ascii="Times New Roman" w:hAnsi="Times New Roman" w:cs="Times New Roman"/>
          <w:sz w:val="24"/>
          <w:szCs w:val="24"/>
          <w:lang w:val="en-US"/>
        </w:rPr>
        <w:t xml:space="preserve"> cells</w:t>
      </w:r>
      <w:bookmarkEnd w:id="1"/>
      <w:r w:rsidRPr="008513F3">
        <w:rPr>
          <w:rFonts w:ascii="Times New Roman" w:hAnsi="Times New Roman" w:cs="Times New Roman"/>
          <w:sz w:val="24"/>
          <w:szCs w:val="24"/>
          <w:lang w:val="en-US"/>
        </w:rPr>
        <w:t xml:space="preserve">. Statistical analysis was carried out using a two-way ANOVA. Data are representative of the five donors used in Fig. 1. CCR7, CC-chemokine receptor type 7; </w:t>
      </w:r>
      <w:bookmarkStart w:id="2" w:name="_Hlk132895071"/>
      <w:r w:rsidRPr="008513F3">
        <w:rPr>
          <w:rFonts w:ascii="Times New Roman" w:hAnsi="Times New Roman" w:cs="Times New Roman"/>
          <w:sz w:val="24"/>
          <w:szCs w:val="24"/>
          <w:lang w:val="en-US"/>
        </w:rPr>
        <w:t xml:space="preserve">CD, cluster of differentiation; </w:t>
      </w:r>
      <w:bookmarkEnd w:id="2"/>
      <w:r w:rsidRPr="008513F3">
        <w:rPr>
          <w:rFonts w:ascii="Times New Roman" w:hAnsi="Times New Roman" w:cs="Times New Roman"/>
          <w:sz w:val="24"/>
          <w:szCs w:val="24"/>
          <w:lang w:val="en-US"/>
        </w:rPr>
        <w:t xml:space="preserve">LAG-3, lymphocyte activation gene 3; MFI, median florescence intensity; NT, </w:t>
      </w:r>
      <w:proofErr w:type="spellStart"/>
      <w:r w:rsidRPr="008513F3">
        <w:rPr>
          <w:rFonts w:ascii="Times New Roman" w:hAnsi="Times New Roman" w:cs="Times New Roman"/>
          <w:sz w:val="24"/>
          <w:szCs w:val="24"/>
          <w:lang w:val="en-US"/>
        </w:rPr>
        <w:t>nontransduced</w:t>
      </w:r>
      <w:proofErr w:type="spellEnd"/>
      <w:r w:rsidRPr="008513F3">
        <w:rPr>
          <w:rFonts w:ascii="Times New Roman" w:hAnsi="Times New Roman" w:cs="Times New Roman"/>
          <w:sz w:val="24"/>
          <w:szCs w:val="24"/>
          <w:lang w:val="en-US"/>
        </w:rPr>
        <w:t xml:space="preserve">; TCM, central memory T cells; TEM, effector memory T cells; TEMRA, effector memory T cells re-expresses CD45RA; TIM-3, T cell immunoglobulin and mucin domain 3;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T cell receptor fusion construct; TSCM, stem memory T cells</w:t>
      </w:r>
    </w:p>
    <w:p w14:paraId="17A0545E" w14:textId="77777777" w:rsidR="008513F3" w:rsidRPr="008513F3" w:rsidRDefault="008513F3" w:rsidP="008513F3">
      <w:pPr>
        <w:spacing w:after="240" w:line="480" w:lineRule="auto"/>
        <w:rPr>
          <w:rFonts w:ascii="Times New Roman" w:hAnsi="Times New Roman" w:cs="Times New Roman"/>
          <w:sz w:val="24"/>
          <w:lang w:val="en-US"/>
        </w:rPr>
        <w:sectPr w:rsidR="008513F3" w:rsidRPr="008513F3" w:rsidSect="00F31328">
          <w:pgSz w:w="11906" w:h="16838" w:code="9"/>
          <w:pgMar w:top="1440" w:right="1440" w:bottom="1440" w:left="1440" w:header="709" w:footer="709" w:gutter="0"/>
          <w:cols w:space="708"/>
          <w:docGrid w:linePitch="360"/>
        </w:sectPr>
      </w:pPr>
      <w:r w:rsidRPr="008513F3">
        <w:rPr>
          <w:rFonts w:ascii="Times New Roman" w:hAnsi="Times New Roman" w:cs="Times New Roman"/>
          <w:sz w:val="24"/>
          <w:lang w:val="en-US"/>
        </w:rPr>
        <w:lastRenderedPageBreak/>
        <w:t xml:space="preserve"> </w:t>
      </w:r>
      <w:r w:rsidRPr="008513F3">
        <w:rPr>
          <w:rFonts w:ascii="Times New Roman" w:hAnsi="Times New Roman" w:cs="Times New Roman"/>
          <w:noProof/>
          <w:sz w:val="24"/>
          <w:lang w:val="en-US"/>
        </w:rPr>
        <w:drawing>
          <wp:inline distT="0" distB="0" distL="0" distR="0" wp14:anchorId="1AFFE1CF" wp14:editId="658672D3">
            <wp:extent cx="6032241" cy="5883874"/>
            <wp:effectExtent l="0" t="0" r="698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8580" cy="5890057"/>
                    </a:xfrm>
                    <a:prstGeom prst="rect">
                      <a:avLst/>
                    </a:prstGeom>
                    <a:noFill/>
                    <a:ln>
                      <a:noFill/>
                    </a:ln>
                  </pic:spPr>
                </pic:pic>
              </a:graphicData>
            </a:graphic>
          </wp:inline>
        </w:drawing>
      </w:r>
    </w:p>
    <w:p w14:paraId="7CD163BA" w14:textId="77777777" w:rsidR="008513F3" w:rsidRPr="008513F3" w:rsidRDefault="008513F3" w:rsidP="008513F3">
      <w:pPr>
        <w:spacing w:after="240" w:line="480" w:lineRule="auto"/>
        <w:rPr>
          <w:rFonts w:ascii="Times New Roman" w:hAnsi="Times New Roman" w:cs="Times New Roman"/>
          <w:sz w:val="24"/>
          <w:szCs w:val="24"/>
          <w:lang w:val="en-US"/>
        </w:rPr>
      </w:pPr>
      <w:r w:rsidRPr="008513F3">
        <w:rPr>
          <w:rFonts w:ascii="Times New Roman" w:hAnsi="Times New Roman" w:cs="Times New Roman"/>
          <w:b/>
          <w:bCs/>
          <w:sz w:val="24"/>
          <w:szCs w:val="24"/>
          <w:lang w:val="en-US"/>
        </w:rPr>
        <w:lastRenderedPageBreak/>
        <w:t xml:space="preserve">Supplemental Fig. S2 </w:t>
      </w:r>
      <w:r w:rsidRPr="008513F3">
        <w:rPr>
          <w:rFonts w:ascii="Times New Roman" w:hAnsi="Times New Roman" w:cs="Times New Roman"/>
          <w:sz w:val="24"/>
          <w:szCs w:val="24"/>
          <w:lang w:val="en-US"/>
        </w:rPr>
        <w:t xml:space="preserve">Endogenous expression of PD-L1 by the parental C30, Suit2, and MSTO tumor lines in coculture with </w:t>
      </w:r>
      <w:r w:rsidRPr="008513F3">
        <w:rPr>
          <w:rFonts w:ascii="Times New Roman" w:hAnsi="Times New Roman" w:cs="Times New Roman"/>
          <w:sz w:val="24"/>
          <w:szCs w:val="24"/>
          <w:lang w:val="en-US"/>
        </w:rPr>
        <w:sym w:font="Symbol" w:char="F061"/>
      </w:r>
      <w:r w:rsidRPr="008513F3">
        <w:rPr>
          <w:rFonts w:ascii="Times New Roman" w:hAnsi="Times New Roman" w:cs="Times New Roman"/>
          <w:sz w:val="24"/>
          <w:szCs w:val="24"/>
          <w:lang w:val="en-US"/>
        </w:rPr>
        <w:t xml:space="preserve">MSLN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-T cells. Data are representative of a single donor. </w:t>
      </w:r>
      <w:bookmarkStart w:id="3" w:name="_Hlk112227392"/>
      <w:r w:rsidRPr="008513F3">
        <w:rPr>
          <w:rFonts w:ascii="Times New Roman" w:hAnsi="Times New Roman" w:cs="Times New Roman"/>
          <w:sz w:val="24"/>
          <w:szCs w:val="24"/>
          <w:lang w:val="en-US"/>
        </w:rPr>
        <w:t>FMO, fluorescence minus one; MSLN, mesothelin; MSTO, mesothelioma; PD</w:t>
      </w:r>
      <w:r w:rsidRPr="008513F3">
        <w:rPr>
          <w:rFonts w:ascii="Times New Roman" w:hAnsi="Times New Roman" w:cs="Times New Roman"/>
          <w:sz w:val="24"/>
          <w:szCs w:val="24"/>
          <w:lang w:val="en-US"/>
        </w:rPr>
        <w:noBreakHyphen/>
        <w:t xml:space="preserve">L1, programmed cell death ligand 1;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 T cell receptor fusion </w:t>
      </w:r>
      <w:proofErr w:type="gramStart"/>
      <w:r w:rsidRPr="008513F3">
        <w:rPr>
          <w:rFonts w:ascii="Times New Roman" w:hAnsi="Times New Roman" w:cs="Times New Roman"/>
          <w:sz w:val="24"/>
          <w:szCs w:val="24"/>
          <w:lang w:val="en-US"/>
        </w:rPr>
        <w:t>construct</w:t>
      </w:r>
      <w:bookmarkEnd w:id="3"/>
      <w:proofErr w:type="gramEnd"/>
    </w:p>
    <w:p w14:paraId="07EBBEA6" w14:textId="77777777" w:rsidR="008513F3" w:rsidRPr="008513F3" w:rsidRDefault="008513F3" w:rsidP="008513F3">
      <w:pPr>
        <w:spacing w:after="0" w:line="480" w:lineRule="auto"/>
        <w:rPr>
          <w:rFonts w:ascii="Times New Roman" w:hAnsi="Times New Roman" w:cs="Times New Roman"/>
          <w:noProof/>
          <w:sz w:val="24"/>
          <w:lang w:val="en-US"/>
        </w:rPr>
        <w:sectPr w:rsidR="008513F3" w:rsidRPr="008513F3" w:rsidSect="00F31328">
          <w:pgSz w:w="11906" w:h="16838" w:code="9"/>
          <w:pgMar w:top="1440" w:right="1440" w:bottom="1440" w:left="1440" w:header="709" w:footer="709" w:gutter="0"/>
          <w:cols w:space="708"/>
          <w:docGrid w:linePitch="360"/>
        </w:sectPr>
      </w:pPr>
      <w:r w:rsidRPr="008513F3">
        <w:rPr>
          <w:rFonts w:ascii="Times New Roman" w:hAnsi="Times New Roman" w:cs="Times New Roman"/>
          <w:noProof/>
          <w:sz w:val="24"/>
          <w:lang w:val="en-US"/>
        </w:rPr>
        <w:drawing>
          <wp:inline distT="0" distB="0" distL="0" distR="0" wp14:anchorId="71F0046E" wp14:editId="1FE6F2DD">
            <wp:extent cx="2961249" cy="1886374"/>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7" cstate="screen">
                      <a:extLst>
                        <a:ext uri="{28A0092B-C50C-407E-A947-70E740481C1C}">
                          <a14:useLocalDpi xmlns:a14="http://schemas.microsoft.com/office/drawing/2010/main"/>
                        </a:ext>
                      </a:extLst>
                    </a:blip>
                    <a:srcRect r="-3848" b="-5702"/>
                    <a:stretch/>
                  </pic:blipFill>
                  <pic:spPr bwMode="auto">
                    <a:xfrm>
                      <a:off x="0" y="0"/>
                      <a:ext cx="2974263" cy="1894664"/>
                    </a:xfrm>
                    <a:prstGeom prst="rect">
                      <a:avLst/>
                    </a:prstGeom>
                    <a:ln>
                      <a:noFill/>
                    </a:ln>
                    <a:extLst>
                      <a:ext uri="{53640926-AAD7-44D8-BBD7-CCE9431645EC}">
                        <a14:shadowObscured xmlns:a14="http://schemas.microsoft.com/office/drawing/2010/main"/>
                      </a:ext>
                    </a:extLst>
                  </pic:spPr>
                </pic:pic>
              </a:graphicData>
            </a:graphic>
          </wp:inline>
        </w:drawing>
      </w:r>
    </w:p>
    <w:p w14:paraId="79FDA551" w14:textId="77777777" w:rsidR="008513F3" w:rsidRPr="008513F3" w:rsidRDefault="008513F3" w:rsidP="008513F3">
      <w:pPr>
        <w:spacing w:after="240" w:line="480" w:lineRule="auto"/>
        <w:rPr>
          <w:rFonts w:ascii="Times New Roman" w:hAnsi="Times New Roman"/>
          <w:noProof/>
          <w:sz w:val="20"/>
          <w:lang w:val="en-US"/>
        </w:rPr>
      </w:pPr>
      <w:r w:rsidRPr="008513F3">
        <w:rPr>
          <w:rFonts w:ascii="Times New Roman" w:hAnsi="Times New Roman" w:cs="Times New Roman"/>
          <w:b/>
          <w:bCs/>
          <w:sz w:val="24"/>
          <w:szCs w:val="24"/>
          <w:lang w:val="en-US"/>
        </w:rPr>
        <w:lastRenderedPageBreak/>
        <w:t xml:space="preserve">Supplemental Fig. S3 </w:t>
      </w:r>
      <w:r w:rsidRPr="008513F3">
        <w:rPr>
          <w:rFonts w:ascii="Times New Roman" w:hAnsi="Times New Roman" w:cs="Times New Roman"/>
          <w:sz w:val="24"/>
          <w:szCs w:val="24"/>
          <w:lang w:val="en-US"/>
        </w:rPr>
        <w:t xml:space="preserve">Plate-bound MSLN cytokine release assay. </w:t>
      </w:r>
      <w:proofErr w:type="gramStart"/>
      <w:r w:rsidRPr="008513F3">
        <w:rPr>
          <w:rFonts w:ascii="Times New Roman" w:hAnsi="Times New Roman" w:cs="Times New Roman"/>
          <w:b/>
          <w:bCs/>
          <w:sz w:val="24"/>
          <w:szCs w:val="24"/>
          <w:lang w:val="en-US"/>
        </w:rPr>
        <w:t>a</w:t>
      </w:r>
      <w:proofErr w:type="gramEnd"/>
      <w:r w:rsidRPr="008513F3">
        <w:rPr>
          <w:rFonts w:ascii="Times New Roman" w:hAnsi="Times New Roman" w:cs="Times New Roman"/>
          <w:sz w:val="24"/>
          <w:szCs w:val="24"/>
          <w:lang w:val="en-US"/>
        </w:rPr>
        <w:t xml:space="preserve"> IFN-γ produced in response to increasing amounts of MSLN-Fc in TC-210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-T cells. </w:t>
      </w:r>
      <w:r w:rsidRPr="008513F3">
        <w:rPr>
          <w:rFonts w:ascii="Times New Roman" w:hAnsi="Times New Roman" w:cs="Times New Roman"/>
          <w:b/>
          <w:bCs/>
          <w:sz w:val="24"/>
          <w:szCs w:val="24"/>
          <w:lang w:val="en-US"/>
        </w:rPr>
        <w:t>b</w:t>
      </w:r>
      <w:r w:rsidRPr="008513F3">
        <w:rPr>
          <w:rFonts w:ascii="Times New Roman" w:hAnsi="Times New Roman" w:cs="Times New Roman"/>
          <w:sz w:val="24"/>
          <w:szCs w:val="24"/>
          <w:lang w:val="en-US"/>
        </w:rPr>
        <w:t xml:space="preserve"> Fold expansion of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-T cells cultured under 1.0 </w:t>
      </w:r>
      <w:proofErr w:type="spellStart"/>
      <w:r w:rsidRPr="008513F3">
        <w:rPr>
          <w:rFonts w:ascii="Times New Roman" w:hAnsi="Times New Roman" w:cs="Times New Roman"/>
          <w:sz w:val="24"/>
          <w:szCs w:val="24"/>
          <w:lang w:val="en-US"/>
        </w:rPr>
        <w:t>μg</w:t>
      </w:r>
      <w:proofErr w:type="spellEnd"/>
      <w:r w:rsidRPr="008513F3">
        <w:rPr>
          <w:rFonts w:ascii="Times New Roman" w:hAnsi="Times New Roman" w:cs="Times New Roman"/>
          <w:sz w:val="24"/>
          <w:szCs w:val="24"/>
          <w:lang w:val="en-US"/>
        </w:rPr>
        <w:t>/mL of MSLN-Fc with increasing concentrations of PD</w:t>
      </w:r>
      <w:r w:rsidRPr="008513F3">
        <w:rPr>
          <w:rFonts w:ascii="Times New Roman" w:hAnsi="Times New Roman" w:cs="Times New Roman"/>
          <w:sz w:val="24"/>
          <w:szCs w:val="24"/>
          <w:lang w:val="en-US"/>
        </w:rPr>
        <w:noBreakHyphen/>
        <w:t xml:space="preserve">L1-Fc at 96 hours. </w:t>
      </w:r>
      <w:r w:rsidRPr="008513F3">
        <w:rPr>
          <w:rFonts w:ascii="Times New Roman" w:hAnsi="Times New Roman" w:cs="Times New Roman"/>
          <w:b/>
          <w:bCs/>
          <w:sz w:val="24"/>
          <w:szCs w:val="24"/>
          <w:lang w:val="en-US"/>
        </w:rPr>
        <w:t>c</w:t>
      </w:r>
      <w:r w:rsidRPr="008513F3">
        <w:rPr>
          <w:rFonts w:ascii="Times New Roman" w:hAnsi="Times New Roman" w:cs="Times New Roman"/>
          <w:sz w:val="24"/>
          <w:szCs w:val="24"/>
          <w:lang w:val="en-US"/>
        </w:rPr>
        <w:t xml:space="preserve"> Viability of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-T cells expressed as a percentage of CD3</w:t>
      </w:r>
      <w:r w:rsidRPr="008513F3">
        <w:rPr>
          <w:rFonts w:ascii="Times New Roman" w:hAnsi="Times New Roman" w:cs="Times New Roman"/>
          <w:sz w:val="24"/>
          <w:szCs w:val="24"/>
          <w:vertAlign w:val="superscript"/>
          <w:lang w:val="en-US"/>
        </w:rPr>
        <w:t>+</w:t>
      </w:r>
      <w:r w:rsidRPr="008513F3">
        <w:rPr>
          <w:rFonts w:ascii="Times New Roman" w:hAnsi="Times New Roman" w:cs="Times New Roman"/>
          <w:sz w:val="24"/>
          <w:szCs w:val="24"/>
          <w:lang w:val="en-US"/>
        </w:rPr>
        <w:t xml:space="preserve"> cells. Statistical analysis was carried out with a two-way ANOVA. *</w:t>
      </w:r>
      <w:r w:rsidRPr="008513F3">
        <w:rPr>
          <w:rFonts w:ascii="Times New Roman" w:hAnsi="Times New Roman" w:cs="Times New Roman"/>
          <w:i/>
          <w:iCs/>
          <w:sz w:val="24"/>
          <w:szCs w:val="24"/>
          <w:lang w:val="en-US"/>
        </w:rPr>
        <w:t>p</w:t>
      </w:r>
      <w:r w:rsidRPr="008513F3">
        <w:rPr>
          <w:rFonts w:ascii="Times New Roman" w:hAnsi="Times New Roman" w:cs="Times New Roman"/>
          <w:sz w:val="24"/>
          <w:szCs w:val="24"/>
          <w:lang w:val="en-US"/>
        </w:rPr>
        <w:t>&lt;0.05 vs PD1TM; **</w:t>
      </w:r>
      <w:r w:rsidRPr="008513F3">
        <w:rPr>
          <w:rFonts w:ascii="Times New Roman" w:hAnsi="Times New Roman" w:cs="Times New Roman"/>
          <w:i/>
          <w:iCs/>
          <w:sz w:val="24"/>
          <w:szCs w:val="24"/>
          <w:lang w:val="en-US"/>
        </w:rPr>
        <w:t>p</w:t>
      </w:r>
      <w:r w:rsidRPr="008513F3">
        <w:rPr>
          <w:rFonts w:ascii="Times New Roman" w:hAnsi="Times New Roman" w:cs="Times New Roman"/>
          <w:sz w:val="24"/>
          <w:szCs w:val="24"/>
          <w:lang w:val="en-US"/>
        </w:rPr>
        <w:t xml:space="preserve">&lt;0.01 vs PD1TM. CD, cluster of differentiation; IFN-γ, interferon gamma; </w:t>
      </w:r>
      <w:bookmarkStart w:id="4" w:name="_Hlk129785462"/>
      <w:r w:rsidRPr="008513F3">
        <w:rPr>
          <w:rFonts w:ascii="Times New Roman" w:hAnsi="Times New Roman" w:cs="Times New Roman"/>
          <w:sz w:val="24"/>
          <w:szCs w:val="24"/>
          <w:lang w:val="en-US"/>
        </w:rPr>
        <w:t xml:space="preserve">MSLN, mesothelin; </w:t>
      </w:r>
      <w:bookmarkStart w:id="5" w:name="_Hlk129959994"/>
      <w:bookmarkEnd w:id="4"/>
      <w:r w:rsidRPr="008513F3">
        <w:rPr>
          <w:rFonts w:ascii="Times New Roman" w:hAnsi="Times New Roman" w:cs="Times New Roman"/>
          <w:sz w:val="24"/>
          <w:szCs w:val="24"/>
          <w:lang w:val="en-US"/>
        </w:rPr>
        <w:br/>
        <w:t xml:space="preserve">NS, non-stimulated; </w:t>
      </w:r>
      <w:bookmarkEnd w:id="5"/>
      <w:r w:rsidRPr="008513F3">
        <w:rPr>
          <w:rFonts w:ascii="Times New Roman" w:hAnsi="Times New Roman" w:cs="Times New Roman"/>
          <w:sz w:val="24"/>
          <w:szCs w:val="24"/>
          <w:lang w:val="en-US"/>
        </w:rPr>
        <w:t xml:space="preserve">NT, </w:t>
      </w:r>
      <w:proofErr w:type="spellStart"/>
      <w:r w:rsidRPr="008513F3">
        <w:rPr>
          <w:rFonts w:ascii="Times New Roman" w:hAnsi="Times New Roman" w:cs="Times New Roman"/>
          <w:sz w:val="24"/>
          <w:szCs w:val="24"/>
          <w:lang w:val="en-US"/>
        </w:rPr>
        <w:t>nontransduced</w:t>
      </w:r>
      <w:proofErr w:type="spellEnd"/>
      <w:r w:rsidRPr="008513F3">
        <w:rPr>
          <w:rFonts w:ascii="Times New Roman" w:hAnsi="Times New Roman" w:cs="Times New Roman"/>
          <w:sz w:val="24"/>
          <w:szCs w:val="24"/>
          <w:lang w:val="en-US"/>
        </w:rPr>
        <w:t xml:space="preserve">; PD-1, programmed cell death protein 1; </w:t>
      </w:r>
      <w:r w:rsidRPr="008513F3">
        <w:rPr>
          <w:rFonts w:ascii="Times New Roman" w:hAnsi="Times New Roman" w:cs="Times New Roman"/>
          <w:sz w:val="24"/>
          <w:szCs w:val="24"/>
          <w:lang w:val="en-US"/>
        </w:rPr>
        <w:br/>
        <w:t xml:space="preserve">PD-L1, programmed cell death ligand 1;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 T cell receptor fusion </w:t>
      </w:r>
      <w:proofErr w:type="gramStart"/>
      <w:r w:rsidRPr="008513F3">
        <w:rPr>
          <w:rFonts w:ascii="Times New Roman" w:hAnsi="Times New Roman" w:cs="Times New Roman"/>
          <w:sz w:val="24"/>
          <w:szCs w:val="24"/>
          <w:lang w:val="en-US"/>
        </w:rPr>
        <w:t>construct</w:t>
      </w:r>
      <w:proofErr w:type="gramEnd"/>
      <w:r w:rsidRPr="008513F3">
        <w:rPr>
          <w:rFonts w:ascii="Times New Roman" w:hAnsi="Times New Roman"/>
          <w:noProof/>
          <w:sz w:val="20"/>
          <w:lang w:val="en-US"/>
        </w:rPr>
        <w:t xml:space="preserve"> </w:t>
      </w:r>
    </w:p>
    <w:p w14:paraId="12BC0B6A" w14:textId="77777777" w:rsidR="008513F3" w:rsidRPr="008513F3" w:rsidRDefault="008513F3" w:rsidP="008513F3">
      <w:pPr>
        <w:spacing w:after="240" w:line="480" w:lineRule="auto"/>
        <w:rPr>
          <w:rFonts w:ascii="Times New Roman" w:hAnsi="Times New Roman"/>
          <w:sz w:val="20"/>
          <w:lang w:val="en-US"/>
        </w:rPr>
      </w:pPr>
      <w:r w:rsidRPr="008513F3">
        <w:rPr>
          <w:rFonts w:ascii="Times New Roman" w:hAnsi="Times New Roman"/>
          <w:noProof/>
          <w:sz w:val="20"/>
          <w:lang w:val="en-US"/>
        </w:rPr>
        <w:drawing>
          <wp:inline distT="0" distB="0" distL="0" distR="0" wp14:anchorId="79FFC858" wp14:editId="64B5E3C8">
            <wp:extent cx="6029489" cy="4094922"/>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3866" cy="4097894"/>
                    </a:xfrm>
                    <a:prstGeom prst="rect">
                      <a:avLst/>
                    </a:prstGeom>
                    <a:noFill/>
                    <a:ln>
                      <a:noFill/>
                    </a:ln>
                  </pic:spPr>
                </pic:pic>
              </a:graphicData>
            </a:graphic>
          </wp:inline>
        </w:drawing>
      </w:r>
      <w:r w:rsidRPr="008513F3">
        <w:rPr>
          <w:rFonts w:ascii="Times New Roman" w:hAnsi="Times New Roman"/>
          <w:sz w:val="20"/>
          <w:lang w:val="en-US"/>
        </w:rPr>
        <w:t xml:space="preserve"> </w:t>
      </w:r>
      <w:r w:rsidRPr="008513F3">
        <w:rPr>
          <w:rFonts w:ascii="Times New Roman" w:hAnsi="Times New Roman"/>
          <w:sz w:val="20"/>
          <w:lang w:val="en-US"/>
        </w:rPr>
        <w:br w:type="page"/>
      </w:r>
    </w:p>
    <w:p w14:paraId="530EA611" w14:textId="77777777" w:rsidR="008513F3" w:rsidRPr="008513F3" w:rsidRDefault="008513F3" w:rsidP="008513F3">
      <w:pPr>
        <w:spacing w:after="240" w:line="480" w:lineRule="auto"/>
        <w:rPr>
          <w:rFonts w:ascii="Times New Roman" w:hAnsi="Times New Roman"/>
          <w:noProof/>
          <w:sz w:val="24"/>
        </w:rPr>
      </w:pPr>
      <w:r w:rsidRPr="008513F3">
        <w:rPr>
          <w:rFonts w:ascii="Times New Roman" w:hAnsi="Times New Roman" w:cs="Times New Roman"/>
          <w:b/>
          <w:bCs/>
          <w:sz w:val="24"/>
          <w:szCs w:val="24"/>
          <w:lang w:val="en-US"/>
        </w:rPr>
        <w:lastRenderedPageBreak/>
        <w:t>Supplemental Fig. S4</w:t>
      </w:r>
      <w:r w:rsidRPr="008513F3">
        <w:rPr>
          <w:rFonts w:ascii="Times New Roman" w:hAnsi="Times New Roman" w:cs="Times New Roman"/>
          <w:sz w:val="24"/>
          <w:szCs w:val="24"/>
          <w:lang w:val="en-US"/>
        </w:rPr>
        <w:t xml:space="preserve"> Chimeric PD-1 receptor is dependent on receptor–ligand interaction and a functional costimulatory domain. </w:t>
      </w:r>
      <w:r w:rsidRPr="008513F3">
        <w:rPr>
          <w:rFonts w:ascii="Times New Roman" w:hAnsi="Times New Roman" w:cs="Times New Roman"/>
          <w:b/>
          <w:bCs/>
          <w:sz w:val="24"/>
          <w:szCs w:val="24"/>
          <w:lang w:val="en-US"/>
        </w:rPr>
        <w:t>a</w:t>
      </w:r>
      <w:r w:rsidRPr="008513F3">
        <w:rPr>
          <w:rFonts w:ascii="Times New Roman" w:hAnsi="Times New Roman" w:cs="Times New Roman"/>
          <w:sz w:val="24"/>
          <w:szCs w:val="24"/>
          <w:lang w:val="en-US"/>
        </w:rPr>
        <w:t xml:space="preserve"> </w:t>
      </w:r>
      <w:proofErr w:type="gramStart"/>
      <w:r w:rsidRPr="008513F3">
        <w:rPr>
          <w:rFonts w:ascii="Times New Roman" w:hAnsi="Times New Roman" w:cs="Times New Roman"/>
          <w:sz w:val="24"/>
          <w:szCs w:val="24"/>
          <w:lang w:val="en-US"/>
        </w:rPr>
        <w:t>Lentiviral constructs</w:t>
      </w:r>
      <w:proofErr w:type="gramEnd"/>
      <w:r w:rsidRPr="008513F3">
        <w:rPr>
          <w:rFonts w:ascii="Times New Roman" w:hAnsi="Times New Roman" w:cs="Times New Roman"/>
          <w:sz w:val="24"/>
          <w:szCs w:val="24"/>
          <w:lang w:val="en-US"/>
        </w:rPr>
        <w:t xml:space="preserve"> for TC-210, or bi-</w:t>
      </w:r>
      <w:proofErr w:type="spellStart"/>
      <w:r w:rsidRPr="008513F3">
        <w:rPr>
          <w:rFonts w:ascii="Times New Roman" w:hAnsi="Times New Roman" w:cs="Times New Roman"/>
          <w:sz w:val="24"/>
          <w:szCs w:val="24"/>
          <w:lang w:val="en-US"/>
        </w:rPr>
        <w:t>cistronic</w:t>
      </w:r>
      <w:proofErr w:type="spellEnd"/>
      <w:r w:rsidRPr="008513F3">
        <w:rPr>
          <w:rFonts w:ascii="Times New Roman" w:hAnsi="Times New Roman" w:cs="Times New Roman"/>
          <w:sz w:val="24"/>
          <w:szCs w:val="24"/>
          <w:lang w:val="en-US"/>
        </w:rPr>
        <w:t xml:space="preserve"> vectors containing the anti-mesothelin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 followed by a sequence encoding PD1TM or the PD1TM CSR variants that mutate or delete the CD28 signaling domain. </w:t>
      </w:r>
      <w:r w:rsidRPr="008513F3">
        <w:rPr>
          <w:rFonts w:ascii="Times New Roman" w:hAnsi="Times New Roman" w:cs="Times New Roman"/>
          <w:b/>
          <w:bCs/>
          <w:sz w:val="24"/>
          <w:szCs w:val="24"/>
          <w:lang w:val="en-US"/>
        </w:rPr>
        <w:t>b</w:t>
      </w:r>
      <w:r w:rsidRPr="008513F3">
        <w:rPr>
          <w:rFonts w:ascii="Times New Roman" w:hAnsi="Times New Roman" w:cs="Times New Roman"/>
          <w:sz w:val="24"/>
          <w:szCs w:val="24"/>
          <w:lang w:val="en-US"/>
        </w:rPr>
        <w:t xml:space="preserve"> Flow cytometry plots depicting PD-1 and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 receptor expression on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-T cells following normalization for transduction efficiency. CSR, chimeric switch receptor; </w:t>
      </w:r>
      <w:r w:rsidRPr="008513F3">
        <w:rPr>
          <w:rFonts w:ascii="Times New Roman" w:hAnsi="Times New Roman"/>
          <w:noProof/>
          <w:sz w:val="24"/>
          <w:lang w:val="en-US"/>
        </w:rPr>
        <w:t xml:space="preserve">ECD, extracellular domain; ICD, intracellular domain; LTR, long terminal repeat; MSLN, mesothelin; </w:t>
      </w:r>
      <w:r w:rsidRPr="008513F3">
        <w:rPr>
          <w:rFonts w:ascii="Times New Roman" w:hAnsi="Times New Roman"/>
          <w:noProof/>
          <w:sz w:val="24"/>
          <w:lang w:val="en-US"/>
        </w:rPr>
        <w:br/>
        <w:t xml:space="preserve">NT, nontransduced; </w:t>
      </w:r>
      <w:r w:rsidRPr="008513F3">
        <w:rPr>
          <w:rFonts w:ascii="Times New Roman" w:hAnsi="Times New Roman" w:cs="Times New Roman"/>
          <w:sz w:val="24"/>
          <w:szCs w:val="24"/>
          <w:lang w:val="en-US"/>
        </w:rPr>
        <w:t xml:space="preserve">PD-1, programmed cell death protein 1; </w:t>
      </w:r>
      <w:proofErr w:type="spellStart"/>
      <w:r w:rsidRPr="008513F3">
        <w:rPr>
          <w:rFonts w:ascii="Times New Roman" w:hAnsi="Times New Roman" w:cs="Times New Roman"/>
          <w:sz w:val="24"/>
          <w:szCs w:val="24"/>
          <w:lang w:val="en-US"/>
        </w:rPr>
        <w:t>TRuC</w:t>
      </w:r>
      <w:proofErr w:type="spellEnd"/>
      <w:r w:rsidRPr="008513F3">
        <w:rPr>
          <w:rFonts w:ascii="Times New Roman" w:hAnsi="Times New Roman" w:cs="Times New Roman"/>
          <w:sz w:val="24"/>
          <w:szCs w:val="24"/>
          <w:lang w:val="en-US"/>
        </w:rPr>
        <w:t xml:space="preserve">, T cell receptor fusion </w:t>
      </w:r>
      <w:proofErr w:type="gramStart"/>
      <w:r w:rsidRPr="008513F3">
        <w:rPr>
          <w:rFonts w:ascii="Times New Roman" w:hAnsi="Times New Roman" w:cs="Times New Roman"/>
          <w:sz w:val="24"/>
          <w:szCs w:val="24"/>
          <w:lang w:val="en-US"/>
        </w:rPr>
        <w:t>construct</w:t>
      </w:r>
      <w:proofErr w:type="gramEnd"/>
    </w:p>
    <w:p w14:paraId="7405BBBB" w14:textId="77777777" w:rsidR="008513F3" w:rsidRPr="008513F3" w:rsidRDefault="008513F3" w:rsidP="008513F3">
      <w:pPr>
        <w:spacing w:after="240" w:line="480" w:lineRule="auto"/>
        <w:rPr>
          <w:rFonts w:ascii="Times New Roman" w:hAnsi="Times New Roman" w:cs="Times New Roman"/>
          <w:b/>
          <w:bCs/>
          <w:i/>
          <w:iCs/>
          <w:sz w:val="24"/>
          <w:szCs w:val="24"/>
          <w:lang w:val="en-US"/>
        </w:rPr>
      </w:pPr>
      <w:r w:rsidRPr="008513F3">
        <w:rPr>
          <w:rFonts w:ascii="Times New Roman" w:hAnsi="Times New Roman"/>
          <w:noProof/>
          <w:sz w:val="24"/>
          <w:lang w:val="en-US"/>
        </w:rPr>
        <w:drawing>
          <wp:inline distT="0" distB="0" distL="0" distR="0" wp14:anchorId="30F06DC3" wp14:editId="12AFA038">
            <wp:extent cx="5638511" cy="3828197"/>
            <wp:effectExtent l="0" t="0" r="635" b="127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rotWithShape="1">
                    <a:blip r:embed="rId9" cstate="screen">
                      <a:extLst>
                        <a:ext uri="{28A0092B-C50C-407E-A947-70E740481C1C}">
                          <a14:useLocalDpi xmlns:a14="http://schemas.microsoft.com/office/drawing/2010/main"/>
                        </a:ext>
                      </a:extLst>
                    </a:blip>
                    <a:srcRect b="47962"/>
                    <a:stretch/>
                  </pic:blipFill>
                  <pic:spPr bwMode="auto">
                    <a:xfrm>
                      <a:off x="0" y="0"/>
                      <a:ext cx="5642293" cy="3830765"/>
                    </a:xfrm>
                    <a:prstGeom prst="rect">
                      <a:avLst/>
                    </a:prstGeom>
                    <a:ln>
                      <a:noFill/>
                    </a:ln>
                    <a:extLst>
                      <a:ext uri="{53640926-AAD7-44D8-BBD7-CCE9431645EC}">
                        <a14:shadowObscured xmlns:a14="http://schemas.microsoft.com/office/drawing/2010/main"/>
                      </a:ext>
                    </a:extLst>
                  </pic:spPr>
                </pic:pic>
              </a:graphicData>
            </a:graphic>
          </wp:inline>
        </w:drawing>
      </w:r>
    </w:p>
    <w:p w14:paraId="7AC570A1" w14:textId="77777777" w:rsidR="00C2111F" w:rsidRDefault="00C2111F"/>
    <w:sectPr w:rsidR="00C2111F" w:rsidSect="00F31328">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3F3"/>
    <w:rsid w:val="008513F3"/>
    <w:rsid w:val="00C2111F"/>
    <w:rsid w:val="00F54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7940"/>
  <w15:chartTrackingRefBased/>
  <w15:docId w15:val="{5EE2F093-E71C-4002-93B6-293D9C49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Davies\AppData\Local\Temp\Templafy\WordVsto\hx3ljjz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95F2F197-A2A9-48E9-A8BF-801E6969C630}">
  <ds:schemaRefs/>
</ds:datastoreItem>
</file>

<file path=customXml/itemProps2.xml><?xml version="1.0" encoding="utf-8"?>
<ds:datastoreItem xmlns:ds="http://schemas.openxmlformats.org/officeDocument/2006/customXml" ds:itemID="{7678A3EE-6682-465D-8AA9-7A17495EF644}">
  <ds:schemaRefs/>
</ds:datastoreItem>
</file>

<file path=docProps/app.xml><?xml version="1.0" encoding="utf-8"?>
<Properties xmlns="http://schemas.openxmlformats.org/officeDocument/2006/extended-properties" xmlns:vt="http://schemas.openxmlformats.org/officeDocument/2006/docPropsVTypes">
  <Template>hx3ljjze.dotx</Template>
  <TotalTime>0</TotalTime>
  <Pages>8</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Adam (MAN-CMC)</dc:creator>
  <cp:keywords/>
  <dc:description/>
  <cp:lastModifiedBy>Kinsler, Helene (MAN-CMC)</cp:lastModifiedBy>
  <cp:revision>2</cp:revision>
  <dcterms:created xsi:type="dcterms:W3CDTF">2023-05-03T13:54:00Z</dcterms:created>
  <dcterms:modified xsi:type="dcterms:W3CDTF">2023-05-03T13:54:00Z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mhc</vt:lpwstr>
  </property>
  <property fmtid="{D5CDD505-2E9C-101B-9397-08002B2CF9AE}" pid="3" name="TemplafyTemplateId">
    <vt:lpwstr>637472891374847281</vt:lpwstr>
  </property>
  <property fmtid="{D5CDD505-2E9C-101B-9397-08002B2CF9AE}" pid="4" name="TemplafyUserProfileId">
    <vt:lpwstr>638036676159618397</vt:lpwstr>
  </property>
  <property fmtid="{D5CDD505-2E9C-101B-9397-08002B2CF9AE}" pid="5" name="TemplafyFromBlank">
    <vt:bool>true</vt:bool>
  </property>
</Properties>
</file>