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5F9041" w14:textId="77777777" w:rsidR="00D90963" w:rsidRDefault="00D90963" w:rsidP="00D90963">
      <w:pPr>
        <w:spacing w:line="600" w:lineRule="auto"/>
        <w:jc w:val="both"/>
        <w:rPr>
          <w:rFonts w:ascii="Times New Roman" w:hAnsi="Times New Roman" w:cs="Times New Roman"/>
          <w:b/>
          <w:sz w:val="24"/>
          <w:szCs w:val="24"/>
          <w:lang w:val="en-GB"/>
        </w:rPr>
      </w:pPr>
      <w:bookmarkStart w:id="0" w:name="_GoBack"/>
      <w:bookmarkEnd w:id="0"/>
      <w:r>
        <w:rPr>
          <w:rFonts w:ascii="Times New Roman" w:hAnsi="Times New Roman" w:cs="Times New Roman"/>
          <w:b/>
          <w:sz w:val="24"/>
          <w:szCs w:val="24"/>
          <w:lang w:val="en-GB"/>
        </w:rPr>
        <w:t xml:space="preserve">Supplementary file: </w:t>
      </w:r>
    </w:p>
    <w:p w14:paraId="7C2DF982" w14:textId="77777777" w:rsidR="00D90963" w:rsidRDefault="00D90963" w:rsidP="00D90963">
      <w:pPr>
        <w:spacing w:line="600" w:lineRule="auto"/>
        <w:jc w:val="both"/>
        <w:rPr>
          <w:rFonts w:ascii="Times New Roman" w:hAnsi="Times New Roman" w:cs="Times New Roman"/>
          <w:b/>
          <w:sz w:val="24"/>
          <w:szCs w:val="24"/>
          <w:lang w:val="en-GB"/>
        </w:rPr>
      </w:pPr>
      <w:r>
        <w:rPr>
          <w:rFonts w:ascii="Times New Roman" w:hAnsi="Times New Roman" w:cs="Times New Roman"/>
          <w:sz w:val="24"/>
          <w:szCs w:val="24"/>
          <w:lang w:val="en-GB"/>
        </w:rPr>
        <w:t>D</w:t>
      </w:r>
      <w:r>
        <w:rPr>
          <w:rFonts w:ascii="Times New Roman" w:hAnsi="Times New Roman" w:cs="Times New Roman"/>
          <w:sz w:val="24"/>
          <w:szCs w:val="24"/>
          <w:lang w:val="en-US"/>
        </w:rPr>
        <w:t>etailed analysis including full description of domain to domain analysis is included in supplementary file 1. The file includes relative references for this specific section.</w:t>
      </w:r>
    </w:p>
    <w:p w14:paraId="3B237C2D" w14:textId="77777777" w:rsidR="00D90963" w:rsidRPr="00673C07" w:rsidRDefault="00D90963" w:rsidP="00673C07">
      <w:pPr>
        <w:spacing w:line="600" w:lineRule="auto"/>
        <w:jc w:val="both"/>
        <w:rPr>
          <w:rFonts w:ascii="Times New Roman" w:hAnsi="Times New Roman" w:cs="Times New Roman"/>
          <w:b/>
          <w:sz w:val="24"/>
          <w:szCs w:val="24"/>
          <w:u w:val="single"/>
          <w:lang w:val="en-US"/>
        </w:rPr>
      </w:pPr>
    </w:p>
    <w:p w14:paraId="419278C9" w14:textId="77777777" w:rsidR="00FC2CB2" w:rsidRPr="00673C07" w:rsidRDefault="00FC2CB2" w:rsidP="00673C07">
      <w:pPr>
        <w:spacing w:line="600" w:lineRule="auto"/>
        <w:jc w:val="both"/>
        <w:rPr>
          <w:rFonts w:ascii="Times New Roman" w:hAnsi="Times New Roman" w:cs="Times New Roman"/>
          <w:b/>
          <w:sz w:val="24"/>
          <w:szCs w:val="24"/>
          <w:u w:val="single"/>
          <w:lang w:val="en-US"/>
        </w:rPr>
      </w:pPr>
      <w:r w:rsidRPr="00673C07">
        <w:rPr>
          <w:rFonts w:ascii="Times New Roman" w:hAnsi="Times New Roman" w:cs="Times New Roman"/>
          <w:b/>
          <w:sz w:val="24"/>
          <w:szCs w:val="24"/>
          <w:u w:val="single"/>
          <w:lang w:val="en-US"/>
        </w:rPr>
        <w:t>Domain-to-domain analysis</w:t>
      </w:r>
    </w:p>
    <w:p w14:paraId="2B309821" w14:textId="77777777" w:rsidR="00FC2CB2" w:rsidRPr="00673C07" w:rsidRDefault="00FC2CB2" w:rsidP="00673C07">
      <w:pPr>
        <w:pStyle w:val="Paragrafoelenco"/>
        <w:numPr>
          <w:ilvl w:val="0"/>
          <w:numId w:val="1"/>
        </w:numPr>
        <w:spacing w:line="600" w:lineRule="auto"/>
        <w:jc w:val="both"/>
        <w:rPr>
          <w:rFonts w:ascii="Times New Roman" w:hAnsi="Times New Roman" w:cs="Times New Roman"/>
          <w:b/>
          <w:i/>
          <w:sz w:val="24"/>
          <w:szCs w:val="24"/>
          <w:lang w:val="en-US"/>
        </w:rPr>
      </w:pPr>
      <w:r w:rsidRPr="00673C07">
        <w:rPr>
          <w:rFonts w:ascii="Times New Roman" w:eastAsia="Times New Roman" w:hAnsi="Times New Roman" w:cs="Times New Roman"/>
          <w:b/>
          <w:i/>
          <w:color w:val="000000"/>
          <w:sz w:val="24"/>
          <w:szCs w:val="24"/>
          <w:lang w:eastAsia="it-IT"/>
        </w:rPr>
        <w:t>N-terminal, cytoplasmic</w:t>
      </w:r>
    </w:p>
    <w:p w14:paraId="0248ED0E" w14:textId="77777777" w:rsidR="00FC2CB2" w:rsidRPr="00673C07" w:rsidRDefault="00FC2CB2" w:rsidP="00673C07">
      <w:pPr>
        <w:spacing w:line="600" w:lineRule="auto"/>
        <w:jc w:val="both"/>
        <w:rPr>
          <w:rFonts w:ascii="Times New Roman" w:eastAsia="Times New Roman" w:hAnsi="Times New Roman" w:cs="Times New Roman"/>
          <w:sz w:val="24"/>
          <w:szCs w:val="24"/>
          <w:lang w:val="en-GB" w:eastAsia="it-IT"/>
        </w:rPr>
      </w:pPr>
      <w:r w:rsidRPr="00673C07">
        <w:rPr>
          <w:rFonts w:ascii="Times New Roman" w:hAnsi="Times New Roman" w:cs="Times New Roman"/>
          <w:sz w:val="24"/>
          <w:szCs w:val="24"/>
          <w:lang w:val="en-US"/>
        </w:rPr>
        <w:t>This group included six patients with the following variants: c.76G&gt;A (p.Ala26Thr), c.82G&gt;A (p.Ala28Thr)</w:t>
      </w:r>
      <w:r w:rsidR="00D47B98" w:rsidRPr="00673C07">
        <w:rPr>
          <w:rFonts w:ascii="Times New Roman" w:hAnsi="Times New Roman" w:cs="Times New Roman"/>
          <w:sz w:val="24"/>
          <w:szCs w:val="24"/>
          <w:lang w:val="en-US"/>
        </w:rPr>
        <w:t xml:space="preserve"> [</w:t>
      </w:r>
      <w:r w:rsidR="00D47B98" w:rsidRPr="00673C07">
        <w:rPr>
          <w:rFonts w:ascii="Times New Roman" w:eastAsia="Times New Roman" w:hAnsi="Times New Roman" w:cs="Times New Roman"/>
          <w:sz w:val="24"/>
          <w:szCs w:val="24"/>
          <w:lang w:val="en-GB" w:eastAsia="it-IT"/>
        </w:rPr>
        <w:t>1]</w:t>
      </w:r>
      <w:r w:rsidRPr="00673C07">
        <w:rPr>
          <w:rFonts w:ascii="Times New Roman" w:hAnsi="Times New Roman" w:cs="Times New Roman"/>
          <w:sz w:val="24"/>
          <w:szCs w:val="24"/>
          <w:lang w:val="en-US"/>
        </w:rPr>
        <w:t xml:space="preserve">, </w:t>
      </w:r>
      <w:r w:rsidRPr="00673C07">
        <w:rPr>
          <w:rFonts w:ascii="Times New Roman" w:hAnsi="Times New Roman" w:cs="Times New Roman"/>
          <w:sz w:val="24"/>
          <w:szCs w:val="24"/>
          <w:lang w:val="en-GB"/>
        </w:rPr>
        <w:t>c.116C&gt;T (p.Ala39Val)</w:t>
      </w:r>
      <w:r w:rsidR="00D47B98" w:rsidRPr="00673C07">
        <w:rPr>
          <w:rFonts w:ascii="Times New Roman" w:hAnsi="Times New Roman" w:cs="Times New Roman"/>
          <w:sz w:val="24"/>
          <w:szCs w:val="24"/>
          <w:lang w:val="en-US"/>
        </w:rPr>
        <w:t xml:space="preserve"> [</w:t>
      </w:r>
      <w:r w:rsidR="00D47B98" w:rsidRPr="00673C07">
        <w:rPr>
          <w:rFonts w:ascii="Times New Roman" w:eastAsia="Times New Roman" w:hAnsi="Times New Roman" w:cs="Times New Roman"/>
          <w:sz w:val="24"/>
          <w:szCs w:val="24"/>
          <w:lang w:val="en-GB" w:eastAsia="it-IT"/>
        </w:rPr>
        <w:t>2]</w:t>
      </w:r>
      <w:r w:rsidRPr="00673C07">
        <w:rPr>
          <w:rFonts w:ascii="Times New Roman" w:hAnsi="Times New Roman" w:cs="Times New Roman"/>
          <w:sz w:val="24"/>
          <w:szCs w:val="24"/>
          <w:lang w:val="en-GB"/>
        </w:rPr>
        <w:t xml:space="preserve">, c.116C&gt;T (p.Ala39Val) </w:t>
      </w:r>
      <w:r w:rsidR="00D47B98" w:rsidRPr="00673C07">
        <w:rPr>
          <w:rFonts w:ascii="Times New Roman" w:hAnsi="Times New Roman" w:cs="Times New Roman"/>
          <w:sz w:val="24"/>
          <w:szCs w:val="24"/>
          <w:lang w:val="en-US"/>
        </w:rPr>
        <w:t>[</w:t>
      </w:r>
      <w:r w:rsidR="00D47B98" w:rsidRPr="00673C07">
        <w:rPr>
          <w:rFonts w:ascii="Times New Roman" w:eastAsia="Times New Roman" w:hAnsi="Times New Roman" w:cs="Times New Roman"/>
          <w:sz w:val="24"/>
          <w:szCs w:val="24"/>
          <w:lang w:val="en-GB" w:eastAsia="it-IT"/>
        </w:rPr>
        <w:t>3],</w:t>
      </w:r>
      <w:r w:rsidRPr="00673C07">
        <w:rPr>
          <w:rFonts w:ascii="Times New Roman" w:eastAsia="Times New Roman" w:hAnsi="Times New Roman" w:cs="Times New Roman"/>
          <w:sz w:val="24"/>
          <w:szCs w:val="24"/>
          <w:lang w:val="en-GB" w:eastAsia="it-IT"/>
        </w:rPr>
        <w:t xml:space="preserve"> </w:t>
      </w:r>
      <w:r w:rsidRPr="00673C07">
        <w:rPr>
          <w:rFonts w:ascii="Times New Roman" w:hAnsi="Times New Roman" w:cs="Times New Roman"/>
          <w:sz w:val="24"/>
          <w:szCs w:val="24"/>
          <w:lang w:val="en-US"/>
        </w:rPr>
        <w:t>c.477+115699G&gt;A (p.?) rs1006737 (SNP)</w:t>
      </w:r>
      <w:r w:rsidR="005B6EF8" w:rsidRPr="00673C07">
        <w:rPr>
          <w:rFonts w:ascii="Times New Roman" w:hAnsi="Times New Roman" w:cs="Times New Roman"/>
          <w:sz w:val="24"/>
          <w:szCs w:val="24"/>
          <w:lang w:val="en-US"/>
        </w:rPr>
        <w:t xml:space="preserve"> [</w:t>
      </w:r>
      <w:r w:rsidR="005B6EF8" w:rsidRPr="00673C07">
        <w:rPr>
          <w:rFonts w:ascii="Times New Roman" w:eastAsia="Times New Roman" w:hAnsi="Times New Roman" w:cs="Times New Roman"/>
          <w:sz w:val="24"/>
          <w:szCs w:val="24"/>
          <w:lang w:val="en-GB" w:eastAsia="it-IT"/>
        </w:rPr>
        <w:t>4].</w:t>
      </w:r>
      <w:r w:rsidRPr="00673C07">
        <w:rPr>
          <w:rFonts w:ascii="Times New Roman" w:eastAsia="Times New Roman" w:hAnsi="Times New Roman" w:cs="Times New Roman"/>
          <w:sz w:val="24"/>
          <w:szCs w:val="24"/>
          <w:lang w:val="en-GB" w:eastAsia="it-IT"/>
        </w:rPr>
        <w:t xml:space="preserve"> The latter was not included in statistical analysis because it corresponds to an ACMG score of 2 (</w:t>
      </w:r>
      <w:r w:rsidRPr="00673C07">
        <w:rPr>
          <w:rFonts w:ascii="Times New Roman" w:hAnsi="Times New Roman" w:cs="Times New Roman"/>
          <w:sz w:val="24"/>
          <w:szCs w:val="24"/>
          <w:lang w:val="en-GB"/>
        </w:rPr>
        <w:t xml:space="preserve">likely </w:t>
      </w:r>
      <w:r w:rsidRPr="00673C07">
        <w:rPr>
          <w:rFonts w:ascii="Times New Roman" w:eastAsia="Times New Roman" w:hAnsi="Times New Roman" w:cs="Times New Roman"/>
          <w:sz w:val="24"/>
          <w:szCs w:val="24"/>
          <w:lang w:val="en-GB" w:eastAsia="it-IT"/>
        </w:rPr>
        <w:t>benign).</w:t>
      </w:r>
    </w:p>
    <w:p w14:paraId="42BAD501"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hAnsi="Times New Roman" w:cs="Times New Roman"/>
          <w:sz w:val="24"/>
          <w:szCs w:val="24"/>
          <w:lang w:val="en-GB"/>
        </w:rPr>
        <w:t xml:space="preserve">The first variant </w:t>
      </w:r>
      <w:r w:rsidRPr="00673C07">
        <w:rPr>
          <w:rFonts w:ascii="Times New Roman" w:hAnsi="Times New Roman" w:cs="Times New Roman"/>
          <w:sz w:val="24"/>
          <w:szCs w:val="24"/>
          <w:lang w:val="en-US"/>
        </w:rPr>
        <w:t xml:space="preserve">c.76G&gt;A (p.Ala26Thr) was reported in one of our patients who showed complex arrhythmic pattern compatible with BrS and normal QTc. c.82G&gt;A (p.Ala28Thr) </w:t>
      </w:r>
      <w:r w:rsidRPr="00673C07">
        <w:rPr>
          <w:rFonts w:ascii="Times New Roman" w:hAnsi="Times New Roman" w:cs="Times New Roman"/>
          <w:sz w:val="24"/>
          <w:szCs w:val="24"/>
          <w:lang w:val="en-GB"/>
        </w:rPr>
        <w:t>was identified in two patients (40%), both affected by LQTS: 1 from our OPBG cohort a</w:t>
      </w:r>
      <w:r w:rsidR="005B6EF8" w:rsidRPr="00673C07">
        <w:rPr>
          <w:rFonts w:ascii="Times New Roman" w:hAnsi="Times New Roman" w:cs="Times New Roman"/>
          <w:sz w:val="24"/>
          <w:szCs w:val="24"/>
          <w:lang w:val="en-GB"/>
        </w:rPr>
        <w:t>nd 1 from the literature review</w:t>
      </w:r>
      <w:r w:rsidRPr="00673C07">
        <w:rPr>
          <w:rFonts w:ascii="Times New Roman" w:eastAsia="Times New Roman" w:hAnsi="Times New Roman" w:cs="Times New Roman"/>
          <w:color w:val="000000"/>
          <w:sz w:val="24"/>
          <w:szCs w:val="24"/>
          <w:lang w:val="en-GB" w:eastAsia="it-IT"/>
        </w:rPr>
        <w:t>. The last variant in this group (i.e., c.116C&gt;T (p.Ala39Val)), compatible with BrS, was reported in 2 cases retrieved from literature reports.</w:t>
      </w:r>
    </w:p>
    <w:p w14:paraId="148A5392" w14:textId="77777777" w:rsidR="00FC2CB2" w:rsidRPr="00673C07" w:rsidRDefault="00FC2CB2" w:rsidP="00673C07">
      <w:pPr>
        <w:spacing w:line="600" w:lineRule="auto"/>
        <w:jc w:val="both"/>
        <w:rPr>
          <w:rFonts w:ascii="Times New Roman" w:eastAsia="Times New Roman" w:hAnsi="Times New Roman" w:cs="Times New Roman"/>
          <w:sz w:val="24"/>
          <w:szCs w:val="24"/>
          <w:lang w:val="en-GB" w:eastAsia="it-IT"/>
        </w:rPr>
      </w:pPr>
      <w:r w:rsidRPr="00673C07">
        <w:rPr>
          <w:rFonts w:ascii="Times New Roman" w:eastAsia="Times New Roman" w:hAnsi="Times New Roman" w:cs="Times New Roman"/>
          <w:sz w:val="24"/>
          <w:szCs w:val="24"/>
          <w:lang w:val="en-GB" w:eastAsia="it-IT"/>
        </w:rPr>
        <w:t xml:space="preserve">Gender distribution was equal (2 males and 2 females, 1 unknown). Median age at diagnosis was 30-years-old. Positive family history was noticed in one patient (20%). Three patients (60%) had BrS and one patient was described as short QT interval (QTc=350±15 ms) </w:t>
      </w:r>
      <w:r w:rsidR="005B6EF8" w:rsidRPr="00673C07">
        <w:rPr>
          <w:rFonts w:ascii="Times New Roman" w:hAnsi="Times New Roman" w:cs="Times New Roman"/>
          <w:sz w:val="24"/>
          <w:szCs w:val="24"/>
          <w:lang w:val="en-US"/>
        </w:rPr>
        <w:t>[</w:t>
      </w:r>
      <w:r w:rsidR="005B6EF8" w:rsidRPr="00673C07">
        <w:rPr>
          <w:rFonts w:ascii="Times New Roman" w:eastAsia="Times New Roman" w:hAnsi="Times New Roman" w:cs="Times New Roman"/>
          <w:sz w:val="24"/>
          <w:szCs w:val="24"/>
          <w:lang w:val="en-GB" w:eastAsia="it-IT"/>
        </w:rPr>
        <w:t>3]</w:t>
      </w:r>
      <w:r w:rsidRPr="00673C07">
        <w:rPr>
          <w:rFonts w:ascii="Times New Roman" w:eastAsia="Times New Roman" w:hAnsi="Times New Roman" w:cs="Times New Roman"/>
          <w:sz w:val="24"/>
          <w:szCs w:val="24"/>
          <w:lang w:val="en-GB" w:eastAsia="it-IT"/>
        </w:rPr>
        <w:t xml:space="preserve">; the remaining two patients (40%) were diagnosed with LQTS. No CHD (was this abbreviation used </w:t>
      </w:r>
      <w:r w:rsidRPr="00673C07">
        <w:rPr>
          <w:rFonts w:ascii="Times New Roman" w:eastAsia="Times New Roman" w:hAnsi="Times New Roman" w:cs="Times New Roman"/>
          <w:sz w:val="24"/>
          <w:szCs w:val="24"/>
          <w:lang w:val="en-GB" w:eastAsia="it-IT"/>
        </w:rPr>
        <w:lastRenderedPageBreak/>
        <w:t>earlier in the text?) was diagnosed in this group. Survival was reported in four patients (80%), one patient had unknown endpoint. (you may wish to put this paragraph before the previous parapagraph).</w:t>
      </w:r>
    </w:p>
    <w:p w14:paraId="19B4C81B" w14:textId="77777777" w:rsidR="00FC2CB2" w:rsidRPr="00673C07" w:rsidRDefault="00FC2CB2" w:rsidP="00673C07">
      <w:pPr>
        <w:pStyle w:val="Paragrafoelenco"/>
        <w:numPr>
          <w:ilvl w:val="0"/>
          <w:numId w:val="1"/>
        </w:numPr>
        <w:spacing w:line="600" w:lineRule="auto"/>
        <w:jc w:val="both"/>
        <w:rPr>
          <w:rFonts w:ascii="Times New Roman" w:hAnsi="Times New Roman" w:cs="Times New Roman"/>
          <w:b/>
          <w:i/>
          <w:sz w:val="24"/>
          <w:szCs w:val="24"/>
          <w:lang w:val="en-GB"/>
        </w:rPr>
      </w:pPr>
      <w:r w:rsidRPr="00673C07">
        <w:rPr>
          <w:rFonts w:ascii="Times New Roman" w:eastAsia="Times New Roman" w:hAnsi="Times New Roman" w:cs="Times New Roman"/>
          <w:b/>
          <w:i/>
          <w:color w:val="000000"/>
          <w:sz w:val="24"/>
          <w:szCs w:val="24"/>
          <w:lang w:val="en-GB" w:eastAsia="it-IT"/>
        </w:rPr>
        <w:t xml:space="preserve">Transmembrane </w:t>
      </w:r>
      <w:r w:rsidRPr="00673C07">
        <w:rPr>
          <w:rFonts w:ascii="Times New Roman" w:eastAsia="Times New Roman" w:hAnsi="Times New Roman" w:cs="Times New Roman"/>
          <w:i/>
          <w:color w:val="000000"/>
          <w:sz w:val="24"/>
          <w:szCs w:val="24"/>
          <w:lang w:val="en-GB" w:eastAsia="it-IT"/>
        </w:rPr>
        <w:t>(</w:t>
      </w:r>
      <w:r w:rsidRPr="00673C07">
        <w:rPr>
          <w:rFonts w:ascii="Times New Roman" w:eastAsia="Times New Roman" w:hAnsi="Times New Roman" w:cs="Times New Roman"/>
          <w:color w:val="000000"/>
          <w:sz w:val="24"/>
          <w:szCs w:val="24"/>
          <w:lang w:val="en-GB" w:eastAsia="it-IT"/>
        </w:rPr>
        <w:t>Helical S2 of repeat I, Helical S6 of repeat I, Helical S4 of repeat II, Helical S6 of repeat III, Helical S3 of repeat IV);</w:t>
      </w:r>
    </w:p>
    <w:p w14:paraId="476D72E6" w14:textId="77777777" w:rsidR="00FC2CB2" w:rsidRPr="00673C07" w:rsidRDefault="00FC2CB2" w:rsidP="00673C07">
      <w:pPr>
        <w:spacing w:line="600" w:lineRule="auto"/>
        <w:jc w:val="both"/>
        <w:rPr>
          <w:rFonts w:ascii="Times New Roman" w:eastAsia="Times New Roman" w:hAnsi="Times New Roman" w:cs="Times New Roman"/>
          <w:b/>
          <w:bCs/>
          <w:sz w:val="24"/>
          <w:szCs w:val="24"/>
          <w:lang w:val="en-GB" w:eastAsia="it-IT"/>
        </w:rPr>
      </w:pPr>
      <w:r w:rsidRPr="00673C07">
        <w:rPr>
          <w:rFonts w:ascii="Times New Roman" w:hAnsi="Times New Roman" w:cs="Times New Roman"/>
          <w:sz w:val="24"/>
          <w:szCs w:val="24"/>
          <w:lang w:val="en-GB"/>
        </w:rPr>
        <w:t>Nine variants in this specific domain were id</w:t>
      </w:r>
      <w:r w:rsidR="008E525A" w:rsidRPr="00673C07">
        <w:rPr>
          <w:rFonts w:ascii="Times New Roman" w:hAnsi="Times New Roman" w:cs="Times New Roman"/>
          <w:sz w:val="24"/>
          <w:szCs w:val="24"/>
          <w:lang w:val="en-GB"/>
        </w:rPr>
        <w:t xml:space="preserve">entified: 1 in the OPBG cohort </w:t>
      </w:r>
      <w:r w:rsidRPr="00673C07">
        <w:rPr>
          <w:rFonts w:ascii="Times New Roman" w:hAnsi="Times New Roman" w:cs="Times New Roman"/>
          <w:sz w:val="24"/>
          <w:szCs w:val="24"/>
          <w:lang w:val="en-GB"/>
        </w:rPr>
        <w:t xml:space="preserve">c.3949G&gt;A (p.Ala1317Thr) and 8 in patients from literature review c.512C&gt;G (p.Thr171Met) </w:t>
      </w:r>
      <w:r w:rsidR="001A7E6D" w:rsidRPr="00673C07">
        <w:rPr>
          <w:rFonts w:ascii="Times New Roman" w:hAnsi="Times New Roman" w:cs="Times New Roman"/>
          <w:sz w:val="24"/>
          <w:szCs w:val="24"/>
          <w:lang w:val="en-GB"/>
        </w:rPr>
        <w:t>[5]</w:t>
      </w:r>
      <w:r w:rsidRPr="00673C07">
        <w:rPr>
          <w:rFonts w:ascii="Times New Roman" w:hAnsi="Times New Roman" w:cs="Times New Roman"/>
          <w:sz w:val="24"/>
          <w:szCs w:val="24"/>
          <w:lang w:val="en-GB"/>
        </w:rPr>
        <w:t>, c.1141C&gt;T (p.Pro381Ser)</w:t>
      </w:r>
      <w:r w:rsidR="001A7E6D" w:rsidRPr="00673C07">
        <w:rPr>
          <w:rFonts w:ascii="Times New Roman" w:hAnsi="Times New Roman" w:cs="Times New Roman"/>
          <w:sz w:val="24"/>
          <w:szCs w:val="24"/>
          <w:lang w:val="en-GB"/>
        </w:rPr>
        <w:t xml:space="preserve"> [6]</w:t>
      </w:r>
      <w:r w:rsidRPr="00673C07">
        <w:rPr>
          <w:rFonts w:ascii="Times New Roman" w:eastAsia="Times New Roman" w:hAnsi="Times New Roman" w:cs="Times New Roman"/>
          <w:b/>
          <w:bCs/>
          <w:sz w:val="24"/>
          <w:szCs w:val="24"/>
          <w:lang w:val="en-GB" w:eastAsia="it-IT"/>
        </w:rPr>
        <w:t xml:space="preserve">, </w:t>
      </w:r>
      <w:r w:rsidRPr="00673C07">
        <w:rPr>
          <w:rFonts w:ascii="Times New Roman" w:hAnsi="Times New Roman" w:cs="Times New Roman"/>
          <w:sz w:val="24"/>
          <w:szCs w:val="24"/>
          <w:lang w:val="en-GB"/>
        </w:rPr>
        <w:t xml:space="preserve">c.1896G&gt;A (p.Arg632Arg) </w:t>
      </w:r>
      <w:r w:rsidR="001A7E6D" w:rsidRPr="00673C07">
        <w:rPr>
          <w:rFonts w:ascii="Times New Roman" w:hAnsi="Times New Roman" w:cs="Times New Roman"/>
          <w:sz w:val="24"/>
          <w:szCs w:val="24"/>
          <w:lang w:val="en-GB"/>
        </w:rPr>
        <w:t>[6, 7]</w:t>
      </w:r>
      <w:r w:rsidRPr="00673C07">
        <w:rPr>
          <w:rFonts w:ascii="Times New Roman" w:hAnsi="Times New Roman" w:cs="Times New Roman"/>
          <w:sz w:val="24"/>
          <w:szCs w:val="24"/>
          <w:lang w:val="en-GB"/>
        </w:rPr>
        <w:t xml:space="preserve">, c.3496A&gt;G (p.Ile1166Val) </w:t>
      </w:r>
      <w:r w:rsidR="001A7E6D" w:rsidRPr="00673C07">
        <w:rPr>
          <w:rFonts w:ascii="Times New Roman" w:hAnsi="Times New Roman" w:cs="Times New Roman"/>
          <w:sz w:val="24"/>
          <w:szCs w:val="24"/>
          <w:lang w:val="en-GB"/>
        </w:rPr>
        <w:t>[1],</w:t>
      </w:r>
      <w:r w:rsidRPr="00673C07">
        <w:rPr>
          <w:rFonts w:ascii="Times New Roman" w:eastAsia="Times New Roman" w:hAnsi="Times New Roman" w:cs="Times New Roman"/>
          <w:b/>
          <w:bCs/>
          <w:color w:val="000000"/>
          <w:sz w:val="24"/>
          <w:szCs w:val="24"/>
          <w:lang w:val="en-GB" w:eastAsia="it-IT"/>
        </w:rPr>
        <w:t xml:space="preserve"> </w:t>
      </w:r>
      <w:r w:rsidRPr="00673C07">
        <w:rPr>
          <w:rFonts w:ascii="Times New Roman" w:hAnsi="Times New Roman" w:cs="Times New Roman"/>
          <w:sz w:val="24"/>
          <w:szCs w:val="24"/>
          <w:lang w:val="en-GB"/>
        </w:rPr>
        <w:t>c.3497T&gt;C (p.Ile1166Thr)</w:t>
      </w:r>
      <w:r w:rsidR="001A7E6D" w:rsidRPr="00673C07">
        <w:rPr>
          <w:rFonts w:ascii="Times New Roman" w:hAnsi="Times New Roman" w:cs="Times New Roman"/>
          <w:sz w:val="24"/>
          <w:szCs w:val="24"/>
          <w:lang w:val="en-GB"/>
        </w:rPr>
        <w:t xml:space="preserve"> [8].</w:t>
      </w:r>
    </w:p>
    <w:p w14:paraId="4CDDB925"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No significant gender difference was noticed (5 males and 4 females). Median age at diagnosis was between 8 and 10 years old. A positive family history for </w:t>
      </w:r>
      <w:r w:rsidRPr="00673C07">
        <w:rPr>
          <w:rFonts w:ascii="Times New Roman" w:eastAsia="Times New Roman" w:hAnsi="Times New Roman" w:cs="Times New Roman"/>
          <w:sz w:val="24"/>
          <w:szCs w:val="24"/>
          <w:lang w:val="en-GB" w:eastAsia="it-IT"/>
        </w:rPr>
        <w:t>cardiac event</w:t>
      </w:r>
      <w:r w:rsidRPr="00673C07">
        <w:rPr>
          <w:rFonts w:ascii="Times New Roman" w:eastAsia="Times New Roman" w:hAnsi="Times New Roman" w:cs="Times New Roman"/>
          <w:color w:val="000000"/>
          <w:sz w:val="24"/>
          <w:szCs w:val="24"/>
          <w:lang w:val="en-GB" w:eastAsia="it-IT"/>
        </w:rPr>
        <w:t xml:space="preserve"> was seen in 1 patient (11%), and was unknown in 66% (6/9). </w:t>
      </w:r>
    </w:p>
    <w:p w14:paraId="7114A73E"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QTc was not reported in 1 patient, 380-460ms in 4 patients (44%), and &gt;500ms in the remaining 4 patients (44%). Regarding tachyarrhythmias, </w:t>
      </w:r>
      <w:r w:rsidR="008E525A" w:rsidRPr="00673C07">
        <w:rPr>
          <w:rFonts w:ascii="Times New Roman" w:eastAsia="Times New Roman" w:hAnsi="Times New Roman" w:cs="Times New Roman"/>
          <w:color w:val="000000"/>
          <w:sz w:val="24"/>
          <w:szCs w:val="24"/>
          <w:lang w:val="en-GB" w:eastAsia="it-IT"/>
        </w:rPr>
        <w:t xml:space="preserve">5/9 </w:t>
      </w:r>
      <w:r w:rsidRPr="00673C07">
        <w:rPr>
          <w:rFonts w:ascii="Times New Roman" w:eastAsia="Times New Roman" w:hAnsi="Times New Roman" w:cs="Times New Roman"/>
          <w:color w:val="000000"/>
          <w:sz w:val="24"/>
          <w:szCs w:val="24"/>
          <w:lang w:val="en-GB" w:eastAsia="it-IT"/>
        </w:rPr>
        <w:t>(</w:t>
      </w:r>
      <w:r w:rsidR="008E525A" w:rsidRPr="00673C07">
        <w:rPr>
          <w:rFonts w:ascii="Times New Roman" w:eastAsia="Times New Roman" w:hAnsi="Times New Roman" w:cs="Times New Roman"/>
          <w:color w:val="000000"/>
          <w:sz w:val="24"/>
          <w:szCs w:val="24"/>
          <w:lang w:val="en-GB" w:eastAsia="it-IT"/>
        </w:rPr>
        <w:t>55%</w:t>
      </w:r>
      <w:r w:rsidRPr="00673C07">
        <w:rPr>
          <w:rFonts w:ascii="Times New Roman" w:eastAsia="Times New Roman" w:hAnsi="Times New Roman" w:cs="Times New Roman"/>
          <w:color w:val="000000"/>
          <w:sz w:val="24"/>
          <w:szCs w:val="24"/>
          <w:lang w:val="en-GB" w:eastAsia="it-IT"/>
        </w:rPr>
        <w:t>) developed a specific event. Brugada pattern was diagnosed in 2 patients (22%). Concerning structural abnormalities, 4 patients (44%) had documented HCM; Patent Ductus Arteriosus (PDA) was present in 3 patients (33%), and it was associated with Patent Foramen Ovale</w:t>
      </w:r>
      <w:r w:rsidRPr="00673C07" w:rsidDel="00AD3C00">
        <w:rPr>
          <w:rFonts w:ascii="Times New Roman" w:eastAsia="Times New Roman" w:hAnsi="Times New Roman" w:cs="Times New Roman"/>
          <w:color w:val="000000"/>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 xml:space="preserve">(PFO) in one of them. Syndactyly was reported in </w:t>
      </w:r>
      <w:r w:rsidR="008E525A" w:rsidRPr="00673C07">
        <w:rPr>
          <w:rFonts w:ascii="Times New Roman" w:eastAsia="Times New Roman" w:hAnsi="Times New Roman" w:cs="Times New Roman"/>
          <w:color w:val="000000"/>
          <w:sz w:val="24"/>
          <w:szCs w:val="24"/>
          <w:lang w:val="en-GB" w:eastAsia="it-IT"/>
        </w:rPr>
        <w:t>2/9</w:t>
      </w:r>
      <w:r w:rsidRPr="00673C07">
        <w:rPr>
          <w:rFonts w:ascii="Times New Roman" w:eastAsia="Times New Roman" w:hAnsi="Times New Roman" w:cs="Times New Roman"/>
          <w:color w:val="000000"/>
          <w:sz w:val="24"/>
          <w:szCs w:val="24"/>
          <w:lang w:val="en-GB" w:eastAsia="it-IT"/>
        </w:rPr>
        <w:t xml:space="preserve"> (</w:t>
      </w:r>
      <w:r w:rsidR="008E525A" w:rsidRPr="00673C07">
        <w:rPr>
          <w:rFonts w:ascii="Times New Roman" w:eastAsia="Times New Roman" w:hAnsi="Times New Roman" w:cs="Times New Roman"/>
          <w:color w:val="000000"/>
          <w:sz w:val="24"/>
          <w:szCs w:val="24"/>
          <w:lang w:val="en-GB" w:eastAsia="it-IT"/>
        </w:rPr>
        <w:t>22%</w:t>
      </w:r>
      <w:r w:rsidRPr="00673C07">
        <w:rPr>
          <w:rFonts w:ascii="Times New Roman" w:eastAsia="Times New Roman" w:hAnsi="Times New Roman" w:cs="Times New Roman"/>
          <w:color w:val="000000"/>
          <w:sz w:val="24"/>
          <w:szCs w:val="24"/>
          <w:lang w:val="en-GB" w:eastAsia="it-IT"/>
        </w:rPr>
        <w:t xml:space="preserve">). </w:t>
      </w:r>
    </w:p>
    <w:p w14:paraId="4060D774"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lastRenderedPageBreak/>
        <w:t>Regarding device implantation, no data were reported for 3 patients; 2 (22%) were implanted with an Intracardiac Defibrillator (ICD) in childhood. As for the survival, 3 patients experienced SCD; outcome for 1 patient was not reported.</w:t>
      </w:r>
    </w:p>
    <w:p w14:paraId="5E366690"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p>
    <w:p w14:paraId="680991F4" w14:textId="77777777" w:rsidR="00FC2CB2" w:rsidRPr="00673C07" w:rsidRDefault="00FC2CB2" w:rsidP="00673C07">
      <w:pPr>
        <w:pStyle w:val="Paragrafoelenco"/>
        <w:numPr>
          <w:ilvl w:val="0"/>
          <w:numId w:val="1"/>
        </w:numPr>
        <w:spacing w:line="600" w:lineRule="auto"/>
        <w:jc w:val="both"/>
        <w:rPr>
          <w:rFonts w:ascii="Times New Roman" w:hAnsi="Times New Roman" w:cs="Times New Roman"/>
          <w:b/>
          <w:i/>
          <w:sz w:val="24"/>
          <w:szCs w:val="24"/>
          <w:lang w:val="en-GB"/>
        </w:rPr>
      </w:pPr>
      <w:r w:rsidRPr="00673C07">
        <w:rPr>
          <w:rFonts w:ascii="Times New Roman" w:eastAsia="Times New Roman" w:hAnsi="Times New Roman" w:cs="Times New Roman"/>
          <w:b/>
          <w:i/>
          <w:color w:val="000000"/>
          <w:sz w:val="24"/>
          <w:szCs w:val="24"/>
          <w:lang w:val="en-GB" w:eastAsia="it-IT"/>
        </w:rPr>
        <w:t>Extracellular</w:t>
      </w:r>
    </w:p>
    <w:p w14:paraId="52313035"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hAnsi="Times New Roman" w:cs="Times New Roman"/>
          <w:sz w:val="24"/>
          <w:szCs w:val="24"/>
          <w:lang w:val="en-GB"/>
        </w:rPr>
        <w:t xml:space="preserve">None of our patients showed variants in this specific domain. Eleven patients (8 males, 73%) were identified from literature carrying </w:t>
      </w:r>
      <w:r w:rsidRPr="00673C07">
        <w:rPr>
          <w:rFonts w:ascii="Times New Roman" w:eastAsia="Times New Roman" w:hAnsi="Times New Roman" w:cs="Times New Roman"/>
          <w:color w:val="000000"/>
          <w:sz w:val="24"/>
          <w:szCs w:val="24"/>
          <w:lang w:val="en-GB" w:eastAsia="it-IT"/>
        </w:rPr>
        <w:t>six different variants: c.</w:t>
      </w:r>
      <w:r w:rsidRPr="00673C07">
        <w:rPr>
          <w:rFonts w:ascii="Times New Roman" w:eastAsia="Times New Roman" w:hAnsi="Times New Roman" w:cs="Times New Roman"/>
          <w:sz w:val="24"/>
          <w:szCs w:val="24"/>
          <w:lang w:val="en-US" w:eastAsia="it-IT"/>
        </w:rPr>
        <w:t xml:space="preserve">898A&gt;G (p.Asn300Asp) </w:t>
      </w:r>
      <w:r w:rsidR="001A7E6D" w:rsidRPr="00673C07">
        <w:rPr>
          <w:rFonts w:ascii="Times New Roman" w:eastAsia="Times New Roman" w:hAnsi="Times New Roman" w:cs="Times New Roman"/>
          <w:sz w:val="24"/>
          <w:szCs w:val="24"/>
          <w:lang w:val="en-US" w:eastAsia="it-IT"/>
        </w:rPr>
        <w:t>[9]</w:t>
      </w:r>
      <w:r w:rsidR="008E525A" w:rsidRPr="00673C07">
        <w:rPr>
          <w:rFonts w:ascii="Times New Roman" w:eastAsia="Times New Roman" w:hAnsi="Times New Roman" w:cs="Times New Roman"/>
          <w:color w:val="000000"/>
          <w:sz w:val="24"/>
          <w:szCs w:val="24"/>
          <w:lang w:val="en-GB" w:eastAsia="it-IT"/>
        </w:rPr>
        <w:t>,</w:t>
      </w:r>
      <w:r w:rsidR="001A7E6D" w:rsidRPr="00673C07">
        <w:rPr>
          <w:rFonts w:ascii="Times New Roman" w:eastAsia="Times New Roman" w:hAnsi="Times New Roman" w:cs="Times New Roman"/>
          <w:color w:val="000000"/>
          <w:sz w:val="24"/>
          <w:szCs w:val="24"/>
          <w:lang w:val="en-GB" w:eastAsia="it-IT"/>
        </w:rPr>
        <w:t xml:space="preserve"> c.1640A&gt;G (p.Asn574Ser)</w:t>
      </w:r>
      <w:r w:rsidRPr="00673C07">
        <w:rPr>
          <w:rFonts w:ascii="Times New Roman" w:eastAsia="Times New Roman" w:hAnsi="Times New Roman" w:cs="Times New Roman"/>
          <w:color w:val="000000"/>
          <w:sz w:val="24"/>
          <w:szCs w:val="24"/>
          <w:lang w:val="en-GB" w:eastAsia="it-IT"/>
        </w:rPr>
        <w:t xml:space="preserve"> </w:t>
      </w:r>
      <w:r w:rsidR="001A7E6D" w:rsidRPr="00673C07">
        <w:rPr>
          <w:rFonts w:ascii="Times New Roman" w:eastAsia="Times New Roman" w:hAnsi="Times New Roman" w:cs="Times New Roman"/>
          <w:color w:val="000000"/>
          <w:sz w:val="24"/>
          <w:szCs w:val="24"/>
          <w:lang w:val="en-GB" w:eastAsia="it-IT"/>
        </w:rPr>
        <w:t>[7]</w:t>
      </w:r>
      <w:r w:rsidRPr="00673C07">
        <w:rPr>
          <w:rFonts w:ascii="Times New Roman" w:eastAsia="Times New Roman" w:hAnsi="Times New Roman" w:cs="Times New Roman"/>
          <w:color w:val="000000"/>
          <w:sz w:val="24"/>
          <w:szCs w:val="24"/>
          <w:lang w:val="en-GB" w:eastAsia="it-IT"/>
        </w:rPr>
        <w:t xml:space="preserve">, c.3343G&gt;A (p.Glu1115Lys) </w:t>
      </w:r>
      <w:r w:rsidR="001A7E6D" w:rsidRPr="00673C07">
        <w:rPr>
          <w:rFonts w:ascii="Times New Roman" w:eastAsia="Times New Roman" w:hAnsi="Times New Roman" w:cs="Times New Roman"/>
          <w:color w:val="000000"/>
          <w:sz w:val="24"/>
          <w:szCs w:val="24"/>
          <w:lang w:val="en-GB" w:eastAsia="it-IT"/>
        </w:rPr>
        <w:t>[3],</w:t>
      </w:r>
      <w:r w:rsidRPr="00673C07">
        <w:rPr>
          <w:rFonts w:ascii="Times New Roman" w:eastAsia="Times New Roman" w:hAnsi="Times New Roman" w:cs="Times New Roman"/>
          <w:color w:val="000000"/>
          <w:sz w:val="24"/>
          <w:szCs w:val="24"/>
          <w:lang w:val="en-GB" w:eastAsia="it-IT"/>
        </w:rPr>
        <w:t xml:space="preserve"> c.4418C&gt;G (p.Ala1473Gly) </w:t>
      </w:r>
      <w:r w:rsidR="005D64FC" w:rsidRPr="00673C07">
        <w:rPr>
          <w:rFonts w:ascii="Times New Roman" w:eastAsia="Times New Roman" w:hAnsi="Times New Roman" w:cs="Times New Roman"/>
          <w:color w:val="000000"/>
          <w:sz w:val="24"/>
          <w:szCs w:val="24"/>
          <w:lang w:val="en-GB" w:eastAsia="it-IT"/>
        </w:rPr>
        <w:t>[10],</w:t>
      </w:r>
      <w:r w:rsidRPr="00673C07">
        <w:rPr>
          <w:rFonts w:ascii="Times New Roman" w:eastAsia="Times New Roman" w:hAnsi="Times New Roman" w:cs="Times New Roman"/>
          <w:color w:val="000000"/>
          <w:sz w:val="24"/>
          <w:szCs w:val="24"/>
          <w:lang w:val="en-GB" w:eastAsia="it-IT"/>
        </w:rPr>
        <w:t xml:space="preserve"> c.4425C&gt;G (p.Ile1475Met) </w:t>
      </w:r>
      <w:r w:rsidR="005D64FC" w:rsidRPr="00673C07">
        <w:rPr>
          <w:rFonts w:ascii="Times New Roman" w:eastAsia="Times New Roman" w:hAnsi="Times New Roman" w:cs="Times New Roman"/>
          <w:color w:val="000000"/>
          <w:sz w:val="24"/>
          <w:szCs w:val="24"/>
          <w:lang w:val="en-GB" w:eastAsia="it-IT"/>
        </w:rPr>
        <w:t>[11]</w:t>
      </w:r>
      <w:r w:rsidR="008E525A" w:rsidRPr="00673C07">
        <w:rPr>
          <w:rFonts w:ascii="Times New Roman" w:eastAsia="Times New Roman" w:hAnsi="Times New Roman" w:cs="Times New Roman"/>
          <w:color w:val="000000"/>
          <w:sz w:val="24"/>
          <w:szCs w:val="24"/>
          <w:lang w:val="en-GB" w:eastAsia="it-IT"/>
        </w:rPr>
        <w:t>,</w:t>
      </w:r>
      <w:r w:rsidRPr="00673C07">
        <w:rPr>
          <w:rFonts w:ascii="Times New Roman" w:eastAsia="Times New Roman" w:hAnsi="Times New Roman" w:cs="Times New Roman"/>
          <w:color w:val="000000"/>
          <w:sz w:val="24"/>
          <w:szCs w:val="24"/>
          <w:lang w:val="en-GB" w:eastAsia="it-IT"/>
        </w:rPr>
        <w:t xml:space="preserve"> c.4486G&gt;A (p.Glu1496Lys) </w:t>
      </w:r>
      <w:r w:rsidR="005D64FC" w:rsidRPr="00673C07">
        <w:rPr>
          <w:rFonts w:ascii="Times New Roman" w:eastAsia="Times New Roman" w:hAnsi="Times New Roman" w:cs="Times New Roman"/>
          <w:color w:val="000000"/>
          <w:sz w:val="24"/>
          <w:szCs w:val="24"/>
          <w:lang w:val="en-GB" w:eastAsia="it-IT"/>
        </w:rPr>
        <w:t>[11].</w:t>
      </w:r>
      <w:r w:rsidRPr="00673C07">
        <w:rPr>
          <w:rFonts w:ascii="Times New Roman" w:eastAsia="Times New Roman" w:hAnsi="Times New Roman" w:cs="Times New Roman"/>
          <w:color w:val="000000"/>
          <w:sz w:val="24"/>
          <w:szCs w:val="24"/>
          <w:lang w:val="en-GB" w:eastAsia="it-IT"/>
        </w:rPr>
        <w:t xml:space="preserve"> The specific variant c.</w:t>
      </w:r>
      <w:r w:rsidRPr="00673C07">
        <w:rPr>
          <w:rFonts w:ascii="Times New Roman" w:eastAsia="Times New Roman" w:hAnsi="Times New Roman" w:cs="Times New Roman"/>
          <w:sz w:val="24"/>
          <w:szCs w:val="24"/>
          <w:lang w:val="en-US" w:eastAsia="it-IT"/>
        </w:rPr>
        <w:t xml:space="preserve">898A&gt;G (p.Asn300Asp) was reported in 6 patients. </w:t>
      </w:r>
    </w:p>
    <w:p w14:paraId="441330AE"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Median age at diagnosis was 28 years old. Regarding QTc, 4 (36%) patients showed a QTc &gt;450ms, and the remaining 7 (64%) had a QTc between 300 and 400ms. Tachyarrhythmia was reported in 36% (4/11). Diagnosis of Brugada syndrome was made in 7 patients (64%). Regarding HCM, it was not reported in 5, but da</w:t>
      </w:r>
      <w:r w:rsidR="008E525A" w:rsidRPr="00673C07">
        <w:rPr>
          <w:rFonts w:ascii="Times New Roman" w:eastAsia="Times New Roman" w:hAnsi="Times New Roman" w:cs="Times New Roman"/>
          <w:color w:val="000000"/>
          <w:sz w:val="24"/>
          <w:szCs w:val="24"/>
          <w:lang w:val="en-GB" w:eastAsia="it-IT"/>
        </w:rPr>
        <w:t xml:space="preserve">ta was missing in 6 individuals. </w:t>
      </w:r>
      <w:r w:rsidRPr="00673C07">
        <w:rPr>
          <w:rFonts w:ascii="Times New Roman" w:eastAsia="Times New Roman" w:hAnsi="Times New Roman" w:cs="Times New Roman"/>
          <w:color w:val="000000"/>
          <w:sz w:val="24"/>
          <w:szCs w:val="24"/>
          <w:lang w:val="en-GB" w:eastAsia="it-IT"/>
        </w:rPr>
        <w:t>As for CHD, one patient had PDA and PFO, 27% (3/11) did not have CHD, and data was missing for 64% (7/11). ICD implantation was necessary in two patients. In terms of survival, no death was recorded.</w:t>
      </w:r>
    </w:p>
    <w:p w14:paraId="2F3F4B5E" w14:textId="77777777" w:rsidR="00FC2CB2" w:rsidRPr="00673C07" w:rsidRDefault="00FC2CB2" w:rsidP="00673C07">
      <w:pPr>
        <w:pStyle w:val="Paragrafoelenco"/>
        <w:numPr>
          <w:ilvl w:val="0"/>
          <w:numId w:val="1"/>
        </w:numPr>
        <w:spacing w:after="0" w:line="600" w:lineRule="auto"/>
        <w:jc w:val="both"/>
        <w:rPr>
          <w:rFonts w:ascii="Times New Roman" w:eastAsia="Times New Roman" w:hAnsi="Times New Roman" w:cs="Times New Roman"/>
          <w:b/>
          <w:i/>
          <w:color w:val="000000"/>
          <w:sz w:val="24"/>
          <w:szCs w:val="24"/>
          <w:lang w:eastAsia="it-IT"/>
        </w:rPr>
      </w:pPr>
      <w:r w:rsidRPr="00673C07">
        <w:rPr>
          <w:rFonts w:ascii="Times New Roman" w:eastAsia="Times New Roman" w:hAnsi="Times New Roman" w:cs="Times New Roman"/>
          <w:b/>
          <w:i/>
          <w:color w:val="000000"/>
          <w:sz w:val="24"/>
          <w:szCs w:val="24"/>
          <w:lang w:eastAsia="it-IT"/>
        </w:rPr>
        <w:t>Cytoplasmic</w:t>
      </w:r>
    </w:p>
    <w:p w14:paraId="2A3B2BEB"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lastRenderedPageBreak/>
        <w:t xml:space="preserve">This group was initially composed from 61 patients; one of them was excluded from current analysis according to the ACGM score as already explained </w:t>
      </w:r>
      <w:r w:rsidRPr="00673C07">
        <w:rPr>
          <w:rFonts w:ascii="Times New Roman" w:eastAsia="Times New Roman" w:hAnsi="Times New Roman" w:cs="Times New Roman"/>
          <w:sz w:val="24"/>
          <w:szCs w:val="24"/>
          <w:lang w:val="en-GB" w:eastAsia="it-IT"/>
        </w:rPr>
        <w:t xml:space="preserve">c.2449C&gt;T (p.Pro817Ser) </w:t>
      </w:r>
      <w:r w:rsidR="005D64FC" w:rsidRPr="00673C07">
        <w:rPr>
          <w:rFonts w:ascii="Times New Roman" w:eastAsia="Times New Roman" w:hAnsi="Times New Roman" w:cs="Times New Roman"/>
          <w:sz w:val="24"/>
          <w:szCs w:val="24"/>
          <w:lang w:val="en-GB" w:eastAsia="it-IT"/>
        </w:rPr>
        <w:t>[12]</w:t>
      </w:r>
      <w:r w:rsidRPr="00673C07">
        <w:rPr>
          <w:rFonts w:ascii="Times New Roman" w:eastAsia="Times New Roman" w:hAnsi="Times New Roman" w:cs="Times New Roman"/>
          <w:color w:val="000000"/>
          <w:sz w:val="24"/>
          <w:szCs w:val="24"/>
          <w:lang w:val="en-GB" w:eastAsia="it-IT"/>
        </w:rPr>
        <w:t xml:space="preserve">. Thus, 60 patients were included in the analysis; 4 of them belong to our OPBG cohort. </w:t>
      </w:r>
    </w:p>
    <w:p w14:paraId="3B1096E3"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The identified </w:t>
      </w:r>
      <w:r w:rsidRPr="00673C07">
        <w:rPr>
          <w:rFonts w:ascii="Times New Roman" w:eastAsia="Times New Roman" w:hAnsi="Times New Roman" w:cs="Times New Roman"/>
          <w:i/>
          <w:color w:val="000000"/>
          <w:sz w:val="24"/>
          <w:szCs w:val="24"/>
          <w:lang w:val="en-GB" w:eastAsia="it-IT"/>
        </w:rPr>
        <w:t xml:space="preserve">CACNA1C </w:t>
      </w:r>
      <w:r w:rsidRPr="00673C07">
        <w:rPr>
          <w:rFonts w:ascii="Times New Roman" w:eastAsia="Times New Roman" w:hAnsi="Times New Roman" w:cs="Times New Roman"/>
          <w:color w:val="000000"/>
          <w:sz w:val="24"/>
          <w:szCs w:val="24"/>
          <w:lang w:val="en-GB" w:eastAsia="it-IT"/>
        </w:rPr>
        <w:t xml:space="preserve">variants were: c.1204G&gt;A (p.Gly402Ser) </w:t>
      </w:r>
      <w:r w:rsidR="005D64FC" w:rsidRPr="00673C07">
        <w:rPr>
          <w:rFonts w:ascii="Times New Roman" w:eastAsia="Times New Roman" w:hAnsi="Times New Roman" w:cs="Times New Roman"/>
          <w:color w:val="000000"/>
          <w:sz w:val="24"/>
          <w:szCs w:val="24"/>
          <w:lang w:val="en-GB" w:eastAsia="it-IT"/>
        </w:rPr>
        <w:t>[13</w:t>
      </w:r>
      <w:r w:rsidR="006B079B" w:rsidRPr="00673C07">
        <w:rPr>
          <w:rFonts w:ascii="Times New Roman" w:eastAsia="Times New Roman" w:hAnsi="Times New Roman" w:cs="Times New Roman"/>
          <w:color w:val="000000"/>
          <w:sz w:val="24"/>
          <w:szCs w:val="24"/>
          <w:lang w:val="en-GB" w:eastAsia="it-IT"/>
        </w:rPr>
        <w:t>-</w:t>
      </w:r>
      <w:r w:rsidR="00DD147F" w:rsidRPr="00673C07">
        <w:rPr>
          <w:rFonts w:ascii="Times New Roman" w:eastAsia="Times New Roman" w:hAnsi="Times New Roman" w:cs="Times New Roman"/>
          <w:color w:val="000000"/>
          <w:sz w:val="24"/>
          <w:szCs w:val="24"/>
          <w:lang w:val="en-GB" w:eastAsia="it-IT"/>
        </w:rPr>
        <w:t>17</w:t>
      </w:r>
      <w:r w:rsidR="005D64FC" w:rsidRPr="00673C07">
        <w:rPr>
          <w:rFonts w:ascii="Times New Roman" w:eastAsia="Times New Roman" w:hAnsi="Times New Roman" w:cs="Times New Roman"/>
          <w:color w:val="000000"/>
          <w:sz w:val="24"/>
          <w:szCs w:val="24"/>
          <w:lang w:val="en-GB" w:eastAsia="it-IT"/>
        </w:rPr>
        <w:t>]</w:t>
      </w:r>
      <w:r w:rsidRPr="00673C07">
        <w:rPr>
          <w:rFonts w:ascii="Times New Roman" w:eastAsia="Times New Roman" w:hAnsi="Times New Roman" w:cs="Times New Roman"/>
          <w:color w:val="000000"/>
          <w:sz w:val="24"/>
          <w:szCs w:val="24"/>
          <w:lang w:val="en-GB" w:eastAsia="it-IT"/>
        </w:rPr>
        <w:t xml:space="preserve">, </w:t>
      </w:r>
      <w:r w:rsidRPr="00673C07">
        <w:rPr>
          <w:rFonts w:ascii="Times New Roman" w:eastAsia="Times New Roman" w:hAnsi="Times New Roman" w:cs="Times New Roman"/>
          <w:sz w:val="24"/>
          <w:szCs w:val="24"/>
          <w:lang w:val="en-GB" w:eastAsia="it-IT"/>
        </w:rPr>
        <w:t xml:space="preserve">c.1216G&gt;A (p.Gly406Arg) </w:t>
      </w:r>
      <w:r w:rsidR="00DD147F" w:rsidRPr="00673C07">
        <w:rPr>
          <w:rFonts w:ascii="Times New Roman" w:eastAsia="Times New Roman" w:hAnsi="Times New Roman" w:cs="Times New Roman"/>
          <w:sz w:val="24"/>
          <w:szCs w:val="24"/>
          <w:lang w:val="en-GB" w:eastAsia="it-IT"/>
        </w:rPr>
        <w:t>[18</w:t>
      </w:r>
      <w:r w:rsidR="006B079B" w:rsidRPr="00673C07">
        <w:rPr>
          <w:rFonts w:ascii="Times New Roman" w:eastAsia="Times New Roman" w:hAnsi="Times New Roman" w:cs="Times New Roman"/>
          <w:sz w:val="24"/>
          <w:szCs w:val="24"/>
          <w:lang w:val="en-GB" w:eastAsia="it-IT"/>
        </w:rPr>
        <w:t>-32</w:t>
      </w:r>
      <w:r w:rsidRPr="00673C07">
        <w:rPr>
          <w:rFonts w:ascii="Times New Roman" w:eastAsia="Times New Roman" w:hAnsi="Times New Roman" w:cs="Times New Roman"/>
          <w:sz w:val="24"/>
          <w:szCs w:val="24"/>
          <w:lang w:val="en-GB" w:eastAsia="it-IT"/>
        </w:rPr>
        <w:t xml:space="preserve">), c.1368G&gt;A (p.Met456Ile) </w:t>
      </w:r>
      <w:r w:rsidR="006B079B" w:rsidRPr="00673C07">
        <w:rPr>
          <w:rFonts w:ascii="Times New Roman" w:eastAsia="Times New Roman" w:hAnsi="Times New Roman" w:cs="Times New Roman"/>
          <w:sz w:val="24"/>
          <w:szCs w:val="24"/>
          <w:lang w:val="en-GB" w:eastAsia="it-IT"/>
        </w:rPr>
        <w:t>[6]</w:t>
      </w:r>
      <w:r w:rsidRPr="00673C07">
        <w:rPr>
          <w:rFonts w:ascii="Times New Roman" w:eastAsia="Times New Roman" w:hAnsi="Times New Roman" w:cs="Times New Roman"/>
          <w:sz w:val="24"/>
          <w:szCs w:val="24"/>
          <w:lang w:val="en-GB" w:eastAsia="it-IT"/>
        </w:rPr>
        <w:t xml:space="preserve">, c.1468G&gt;A (p.Gly490Arg) </w:t>
      </w:r>
      <w:r w:rsidR="006B079B" w:rsidRPr="00673C07">
        <w:rPr>
          <w:rFonts w:ascii="Times New Roman" w:eastAsia="Times New Roman" w:hAnsi="Times New Roman" w:cs="Times New Roman"/>
          <w:sz w:val="24"/>
          <w:szCs w:val="24"/>
          <w:lang w:val="en-GB" w:eastAsia="it-IT"/>
        </w:rPr>
        <w:t>[2, 3]</w:t>
      </w:r>
      <w:r w:rsidRPr="00673C07">
        <w:rPr>
          <w:rFonts w:ascii="Times New Roman" w:eastAsia="Times New Roman" w:hAnsi="Times New Roman" w:cs="Times New Roman"/>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c.1468G&gt;A (p.Gly490Arg) and c.2313A&gt;G (p.Glu771Gly)</w:t>
      </w:r>
      <w:r w:rsidR="004F4047" w:rsidRPr="00673C07">
        <w:rPr>
          <w:rFonts w:ascii="Times New Roman" w:eastAsia="Times New Roman" w:hAnsi="Times New Roman" w:cs="Times New Roman"/>
          <w:color w:val="000000"/>
          <w:sz w:val="24"/>
          <w:szCs w:val="24"/>
          <w:lang w:val="en-GB" w:eastAsia="it-IT"/>
        </w:rPr>
        <w:t xml:space="preserve"> [33]</w:t>
      </w:r>
      <w:r w:rsidRPr="00673C07">
        <w:rPr>
          <w:rFonts w:ascii="Times New Roman" w:eastAsia="Times New Roman" w:hAnsi="Times New Roman" w:cs="Times New Roman"/>
          <w:color w:val="000000"/>
          <w:sz w:val="24"/>
          <w:szCs w:val="24"/>
          <w:lang w:val="en-GB" w:eastAsia="it-IT"/>
        </w:rPr>
        <w:t>, c.1552C&gt;T (p.Arg518Cys)</w:t>
      </w:r>
      <w:r w:rsidR="006B079B" w:rsidRPr="00673C07">
        <w:rPr>
          <w:rFonts w:ascii="Times New Roman" w:eastAsia="Times New Roman" w:hAnsi="Times New Roman" w:cs="Times New Roman"/>
          <w:color w:val="000000"/>
          <w:sz w:val="24"/>
          <w:szCs w:val="24"/>
          <w:lang w:val="en-GB" w:eastAsia="it-IT"/>
        </w:rPr>
        <w:t xml:space="preserve"> [11]</w:t>
      </w:r>
      <w:r w:rsidRPr="00673C07">
        <w:rPr>
          <w:rFonts w:ascii="Times New Roman" w:eastAsia="Times New Roman" w:hAnsi="Times New Roman" w:cs="Times New Roman"/>
          <w:color w:val="000000"/>
          <w:sz w:val="24"/>
          <w:szCs w:val="24"/>
          <w:lang w:val="en-GB" w:eastAsia="it-IT"/>
        </w:rPr>
        <w:t>, c.1553G&gt;A (p.Arg518His)</w:t>
      </w:r>
      <w:r w:rsidR="006B079B" w:rsidRPr="00673C07">
        <w:rPr>
          <w:rFonts w:ascii="Times New Roman" w:eastAsia="Times New Roman" w:hAnsi="Times New Roman" w:cs="Times New Roman"/>
          <w:color w:val="000000"/>
          <w:sz w:val="24"/>
          <w:szCs w:val="24"/>
          <w:lang w:val="en-GB" w:eastAsia="it-IT"/>
        </w:rPr>
        <w:t xml:space="preserve"> [11]</w:t>
      </w:r>
      <w:r w:rsidR="006B079B" w:rsidRPr="00673C07">
        <w:rPr>
          <w:rFonts w:ascii="Times New Roman" w:eastAsia="Times New Roman" w:hAnsi="Times New Roman" w:cs="Times New Roman"/>
          <w:b/>
          <w:bCs/>
          <w:sz w:val="24"/>
          <w:szCs w:val="24"/>
          <w:lang w:val="en-GB" w:eastAsia="it-IT"/>
        </w:rPr>
        <w:t>,</w:t>
      </w:r>
      <w:r w:rsidRPr="00673C07">
        <w:rPr>
          <w:rFonts w:ascii="Times New Roman" w:eastAsia="Times New Roman" w:hAnsi="Times New Roman" w:cs="Times New Roman"/>
          <w:color w:val="000000"/>
          <w:sz w:val="24"/>
          <w:szCs w:val="24"/>
          <w:lang w:val="en-GB" w:eastAsia="it-IT"/>
        </w:rPr>
        <w:t xml:space="preserve"> c.1745C&gt;A (p.Ala582Asp) </w:t>
      </w:r>
      <w:r w:rsidR="006B079B" w:rsidRPr="00673C07">
        <w:rPr>
          <w:rFonts w:ascii="Times New Roman" w:eastAsia="Times New Roman" w:hAnsi="Times New Roman" w:cs="Times New Roman"/>
          <w:sz w:val="24"/>
          <w:szCs w:val="24"/>
          <w:lang w:val="en-GB" w:eastAsia="it-IT"/>
        </w:rPr>
        <w:t>[6]</w:t>
      </w:r>
      <w:r w:rsidRPr="00673C07">
        <w:rPr>
          <w:rFonts w:ascii="Times New Roman" w:eastAsia="Times New Roman" w:hAnsi="Times New Roman" w:cs="Times New Roman"/>
          <w:color w:val="000000"/>
          <w:sz w:val="24"/>
          <w:szCs w:val="24"/>
          <w:lang w:val="en-GB" w:eastAsia="it-IT"/>
        </w:rPr>
        <w:t>, c.2284C&gt;T (p.Leu762Phe)</w:t>
      </w:r>
      <w:r w:rsidR="006B079B" w:rsidRPr="00673C07">
        <w:rPr>
          <w:rFonts w:ascii="Times New Roman" w:eastAsia="Times New Roman" w:hAnsi="Times New Roman" w:cs="Times New Roman"/>
          <w:color w:val="000000"/>
          <w:sz w:val="24"/>
          <w:szCs w:val="24"/>
          <w:lang w:val="en-GB" w:eastAsia="it-IT"/>
        </w:rPr>
        <w:t xml:space="preserve"> [27]</w:t>
      </w:r>
      <w:r w:rsidRPr="00673C07">
        <w:rPr>
          <w:rFonts w:ascii="Times New Roman" w:eastAsia="Times New Roman" w:hAnsi="Times New Roman" w:cs="Times New Roman"/>
          <w:b/>
          <w:bCs/>
          <w:sz w:val="24"/>
          <w:szCs w:val="24"/>
          <w:lang w:val="en-GB" w:eastAsia="it-IT"/>
        </w:rPr>
        <w:t xml:space="preserve">, </w:t>
      </w:r>
      <w:r w:rsidRPr="00673C07">
        <w:rPr>
          <w:rFonts w:ascii="Times New Roman" w:eastAsia="Times New Roman" w:hAnsi="Times New Roman" w:cs="Times New Roman"/>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 xml:space="preserve">c.2500A&gt;G (p.Lys834Glu) </w:t>
      </w:r>
      <w:r w:rsidR="004F4047" w:rsidRPr="00673C07">
        <w:rPr>
          <w:rFonts w:ascii="Times New Roman" w:eastAsia="Times New Roman" w:hAnsi="Times New Roman" w:cs="Times New Roman"/>
          <w:color w:val="000000"/>
          <w:sz w:val="24"/>
          <w:szCs w:val="24"/>
          <w:lang w:val="en-GB" w:eastAsia="it-IT"/>
        </w:rPr>
        <w:t>[34]</w:t>
      </w:r>
      <w:r w:rsidRPr="00673C07">
        <w:rPr>
          <w:rFonts w:ascii="Times New Roman" w:eastAsia="Times New Roman" w:hAnsi="Times New Roman" w:cs="Times New Roman"/>
          <w:color w:val="000000"/>
          <w:sz w:val="24"/>
          <w:szCs w:val="24"/>
          <w:lang w:val="en-GB" w:eastAsia="it-IT"/>
        </w:rPr>
        <w:t>, c.2548_550del GAG (p.Glu850del)</w:t>
      </w:r>
      <w:r w:rsidR="004F4047" w:rsidRPr="00673C07">
        <w:rPr>
          <w:rFonts w:ascii="Times New Roman" w:eastAsia="Times New Roman" w:hAnsi="Times New Roman" w:cs="Times New Roman"/>
          <w:color w:val="000000"/>
          <w:sz w:val="24"/>
          <w:szCs w:val="24"/>
          <w:lang w:val="en-GB" w:eastAsia="it-IT"/>
        </w:rPr>
        <w:t xml:space="preserve"> [</w:t>
      </w:r>
      <w:r w:rsidR="004F4047" w:rsidRPr="00673C07">
        <w:rPr>
          <w:rFonts w:ascii="Times New Roman" w:eastAsia="Times New Roman" w:hAnsi="Times New Roman" w:cs="Times New Roman"/>
          <w:sz w:val="24"/>
          <w:szCs w:val="24"/>
          <w:lang w:val="en-GB" w:eastAsia="it-IT"/>
        </w:rPr>
        <w:t>3,35]</w:t>
      </w:r>
      <w:r w:rsidR="004F4047" w:rsidRPr="00673C07">
        <w:rPr>
          <w:rFonts w:ascii="Times New Roman" w:eastAsia="Times New Roman" w:hAnsi="Times New Roman" w:cs="Times New Roman"/>
          <w:color w:val="000000"/>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c.2570C&gt;G (p.Pro857Arg)</w:t>
      </w:r>
      <w:r w:rsidR="004F4047" w:rsidRPr="00673C07">
        <w:rPr>
          <w:rFonts w:ascii="Times New Roman" w:eastAsia="Times New Roman" w:hAnsi="Times New Roman" w:cs="Times New Roman"/>
          <w:color w:val="000000"/>
          <w:sz w:val="24"/>
          <w:szCs w:val="24"/>
          <w:lang w:val="en-GB" w:eastAsia="it-IT"/>
        </w:rPr>
        <w:t xml:space="preserve"> [34]</w:t>
      </w:r>
      <w:r w:rsidRPr="00673C07">
        <w:rPr>
          <w:rFonts w:ascii="Times New Roman" w:eastAsia="Times New Roman" w:hAnsi="Times New Roman" w:cs="Times New Roman"/>
          <w:color w:val="000000"/>
          <w:sz w:val="24"/>
          <w:szCs w:val="24"/>
          <w:lang w:val="en-GB" w:eastAsia="it-IT"/>
        </w:rPr>
        <w:t xml:space="preserve">, </w:t>
      </w:r>
      <w:r w:rsidR="004F4047" w:rsidRPr="00673C07">
        <w:rPr>
          <w:rFonts w:ascii="Times New Roman" w:eastAsia="Times New Roman" w:hAnsi="Times New Roman" w:cs="Times New Roman"/>
          <w:sz w:val="24"/>
          <w:szCs w:val="24"/>
          <w:lang w:val="en-GB" w:eastAsia="it-IT"/>
        </w:rPr>
        <w:t xml:space="preserve">c.2570C&gt;T (p.Pro857Leu) </w:t>
      </w:r>
      <w:r w:rsidR="004F4047" w:rsidRPr="00673C07">
        <w:rPr>
          <w:rFonts w:ascii="Times New Roman" w:eastAsia="Times New Roman" w:hAnsi="Times New Roman" w:cs="Times New Roman"/>
          <w:color w:val="000000"/>
          <w:sz w:val="24"/>
          <w:szCs w:val="24"/>
          <w:lang w:val="en-GB" w:eastAsia="it-IT"/>
        </w:rPr>
        <w:t>[34]</w:t>
      </w:r>
      <w:r w:rsidRPr="00673C07">
        <w:rPr>
          <w:rFonts w:ascii="Times New Roman" w:eastAsia="Times New Roman" w:hAnsi="Times New Roman" w:cs="Times New Roman"/>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 xml:space="preserve">c.2573G&gt;A (p.Arg858His) </w:t>
      </w:r>
      <w:r w:rsidR="006B079B" w:rsidRPr="00673C07">
        <w:rPr>
          <w:rFonts w:ascii="Times New Roman" w:eastAsia="Times New Roman" w:hAnsi="Times New Roman" w:cs="Times New Roman"/>
          <w:sz w:val="24"/>
          <w:szCs w:val="24"/>
          <w:lang w:val="en-GB" w:eastAsia="it-IT"/>
        </w:rPr>
        <w:t>[6]</w:t>
      </w:r>
      <w:r w:rsidRPr="00673C07">
        <w:rPr>
          <w:rFonts w:ascii="Times New Roman" w:eastAsia="Times New Roman" w:hAnsi="Times New Roman" w:cs="Times New Roman"/>
          <w:color w:val="000000"/>
          <w:sz w:val="24"/>
          <w:szCs w:val="24"/>
          <w:lang w:val="en-GB" w:eastAsia="it-IT"/>
        </w:rPr>
        <w:t xml:space="preserve">, c.2578C&gt;G (p.Arg860Gly) </w:t>
      </w:r>
      <w:r w:rsidR="004F4047" w:rsidRPr="00673C07">
        <w:rPr>
          <w:rFonts w:ascii="Times New Roman" w:eastAsia="Times New Roman" w:hAnsi="Times New Roman" w:cs="Times New Roman"/>
          <w:color w:val="000000"/>
          <w:sz w:val="24"/>
          <w:szCs w:val="24"/>
          <w:lang w:val="en-GB" w:eastAsia="it-IT"/>
        </w:rPr>
        <w:t>[1].</w:t>
      </w:r>
    </w:p>
    <w:p w14:paraId="06794501"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Gender distribution was almost equal (28 males, 47%). Positive family history for specific cardiac event was observed in 43% (26/60). Twenty-nine (48%) patients showed the two classic Timothy Syndrome mutations (23 patients with </w:t>
      </w:r>
      <w:r w:rsidRPr="00673C07">
        <w:rPr>
          <w:rFonts w:ascii="Times New Roman" w:eastAsia="Times New Roman" w:hAnsi="Times New Roman" w:cs="Times New Roman"/>
          <w:sz w:val="24"/>
          <w:szCs w:val="24"/>
          <w:lang w:val="en-GB" w:eastAsia="it-IT"/>
        </w:rPr>
        <w:t>p.Gly406Arg and 6 patient with p.</w:t>
      </w:r>
      <w:r w:rsidRPr="00673C07">
        <w:rPr>
          <w:rFonts w:ascii="Times New Roman" w:eastAsia="Times New Roman" w:hAnsi="Times New Roman" w:cs="Times New Roman"/>
          <w:color w:val="000000"/>
          <w:sz w:val="24"/>
          <w:szCs w:val="24"/>
          <w:lang w:val="en-GB" w:eastAsia="it-IT"/>
        </w:rPr>
        <w:t>Gly402Ser</w:t>
      </w:r>
      <w:r w:rsidRPr="00673C07">
        <w:rPr>
          <w:rFonts w:ascii="Times New Roman" w:eastAsia="Times New Roman" w:hAnsi="Times New Roman" w:cs="Times New Roman"/>
          <w:sz w:val="24"/>
          <w:szCs w:val="24"/>
          <w:lang w:val="en-GB" w:eastAsia="it-IT"/>
        </w:rPr>
        <w:t xml:space="preserve">). The remaining variants were part of cohorts from familial conditions of SCD and LQTS </w:t>
      </w:r>
      <w:r w:rsidR="00EF1B4D" w:rsidRPr="00673C07">
        <w:rPr>
          <w:rFonts w:ascii="Times New Roman" w:eastAsia="Times New Roman" w:hAnsi="Times New Roman" w:cs="Times New Roman"/>
          <w:sz w:val="24"/>
          <w:szCs w:val="24"/>
          <w:lang w:val="en-GB" w:eastAsia="it-IT"/>
        </w:rPr>
        <w:t>[11, 34].</w:t>
      </w:r>
      <w:r w:rsidRPr="00673C07">
        <w:rPr>
          <w:rFonts w:ascii="Times New Roman" w:eastAsia="Times New Roman" w:hAnsi="Times New Roman" w:cs="Times New Roman"/>
          <w:color w:val="000000"/>
          <w:sz w:val="24"/>
          <w:szCs w:val="24"/>
          <w:lang w:val="en-GB" w:eastAsia="it-IT"/>
        </w:rPr>
        <w:t xml:space="preserve"> Age at diagnosis varied from birth to 59 years old, median was 10.5 years old. However 22/60 (39%) patients were diagnosed between birth and toddler age. QTc was &gt;460 ms in 46 (76%) patients, and &gt;700ms in one patient. 3 patients with p.Gly490Arg showed normal QTc interval and all were alive. Brugada pattern was seen in 4 (6</w:t>
      </w:r>
      <w:r w:rsidRPr="00673C07">
        <w:rPr>
          <w:rFonts w:ascii="Times New Roman" w:eastAsia="Times New Roman" w:hAnsi="Times New Roman" w:cs="Times New Roman"/>
          <w:sz w:val="24"/>
          <w:szCs w:val="24"/>
          <w:lang w:val="en-GB" w:eastAsia="it-IT"/>
        </w:rPr>
        <w:t>%) patient. Regarding AVB, mainly functional block was observed in 25/60 (41%) patien</w:t>
      </w:r>
      <w:r w:rsidRPr="00673C07">
        <w:rPr>
          <w:rFonts w:ascii="Times New Roman" w:eastAsia="Times New Roman" w:hAnsi="Times New Roman" w:cs="Times New Roman"/>
          <w:color w:val="000000"/>
          <w:sz w:val="24"/>
          <w:szCs w:val="24"/>
          <w:lang w:val="en-GB" w:eastAsia="it-IT"/>
        </w:rPr>
        <w:t xml:space="preserve">ts: 4/25 AVB type I, 20/25 AVB type 2:1, and unspecified in 1/25 patients. Normal conduction was reported in 16 (26%) individuals, and </w:t>
      </w:r>
      <w:r w:rsidRPr="00673C07">
        <w:rPr>
          <w:rFonts w:ascii="Times New Roman" w:eastAsia="Times New Roman" w:hAnsi="Times New Roman" w:cs="Times New Roman"/>
          <w:color w:val="000000"/>
          <w:sz w:val="24"/>
          <w:szCs w:val="24"/>
          <w:lang w:val="en-GB" w:eastAsia="it-IT"/>
        </w:rPr>
        <w:lastRenderedPageBreak/>
        <w:t xml:space="preserve">data was lacking in the remaining 19 patients. T-wave alternans was reported in 15 (25%) patients, among whom 11 (73%) carried the classic mutation p.Gly406Arg, three patients (20%) carried c.1204G&gt;A (p.Gly402Ser) mutation and only one with p.Arg860Gly </w:t>
      </w:r>
      <w:r w:rsidR="00EF1B4D" w:rsidRPr="00673C07">
        <w:rPr>
          <w:rFonts w:ascii="Times New Roman" w:eastAsia="Times New Roman" w:hAnsi="Times New Roman" w:cs="Times New Roman"/>
          <w:color w:val="000000"/>
          <w:sz w:val="24"/>
          <w:szCs w:val="24"/>
          <w:lang w:val="en-GB" w:eastAsia="it-IT"/>
        </w:rPr>
        <w:t xml:space="preserve">[1]. </w:t>
      </w:r>
      <w:r w:rsidRPr="00673C07">
        <w:rPr>
          <w:rFonts w:ascii="Times New Roman" w:eastAsia="Times New Roman" w:hAnsi="Times New Roman" w:cs="Times New Roman"/>
          <w:color w:val="000000"/>
          <w:sz w:val="24"/>
          <w:szCs w:val="24"/>
          <w:lang w:val="en-GB" w:eastAsia="it-IT"/>
        </w:rPr>
        <w:t xml:space="preserve">Bradyarrhythmias were reported in 18 (30%) patients; data were lacking in 28 patients; Tachyarrhythmias were observed in 47% (28/60). Cardiac arrest occurred in 18 (30%) patients.   </w:t>
      </w:r>
    </w:p>
    <w:p w14:paraId="7558F63A"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Structural cardiac defects were reported in 21 (35%) patients; HCM in 17 (28%). The pool of variants in this specific group included: 10 patients with p.G406R, 3 with p.G490R, 4 with p.Arg518Cys</w:t>
      </w:r>
      <w:r w:rsidRPr="00673C07" w:rsidDel="00DA53E9">
        <w:rPr>
          <w:rFonts w:ascii="Times New Roman" w:eastAsia="Times New Roman" w:hAnsi="Times New Roman" w:cs="Times New Roman"/>
          <w:color w:val="000000"/>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and</w:t>
      </w:r>
      <w:r w:rsidRPr="00673C07">
        <w:rPr>
          <w:rFonts w:ascii="Times New Roman" w:eastAsia="Times New Roman" w:hAnsi="Times New Roman" w:cs="Times New Roman"/>
          <w:i/>
          <w:color w:val="000000"/>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one with c.1204G&gt;A (p.Gly402Ser).</w:t>
      </w:r>
    </w:p>
    <w:p w14:paraId="70EAF81E" w14:textId="77777777" w:rsidR="00FC2CB2" w:rsidRPr="00673C07" w:rsidRDefault="00FC2CB2" w:rsidP="00673C07">
      <w:pPr>
        <w:spacing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CHD was observed in 21 patients, with PDA as the most representative form (13 patients, 62%). Among those with PDA, VSD was concomitant in 5 individuals (38%). Other CHD included pulmonary valve stenosis, atrial septal defect, mitral cleft and subaortic stenosis. </w:t>
      </w:r>
    </w:p>
    <w:p w14:paraId="013D8A38"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During long term follow-up, a pacemaker/ICD was implanted in 55% (33/60;  of these, 19 patients had p.Gly406Arg). Sudden death or secondary to intractable tachyarrhythmia occurred in 18% (11/60) and one patient underwent heart transplant at the age of 51 years old.</w:t>
      </w:r>
    </w:p>
    <w:p w14:paraId="30EC2870"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p>
    <w:p w14:paraId="6ED81CF7" w14:textId="77777777" w:rsidR="00FC2CB2" w:rsidRPr="00673C07" w:rsidRDefault="00FC2CB2" w:rsidP="00673C07">
      <w:pPr>
        <w:pStyle w:val="Paragrafoelenco"/>
        <w:numPr>
          <w:ilvl w:val="0"/>
          <w:numId w:val="1"/>
        </w:numPr>
        <w:spacing w:line="600" w:lineRule="auto"/>
        <w:jc w:val="both"/>
        <w:rPr>
          <w:rFonts w:ascii="Times New Roman" w:eastAsia="Times New Roman" w:hAnsi="Times New Roman" w:cs="Times New Roman"/>
          <w:b/>
          <w:i/>
          <w:color w:val="000000"/>
          <w:sz w:val="24"/>
          <w:szCs w:val="24"/>
          <w:lang w:val="en-GB" w:eastAsia="it-IT"/>
        </w:rPr>
      </w:pPr>
      <w:r w:rsidRPr="00673C07">
        <w:rPr>
          <w:rFonts w:ascii="Times New Roman" w:eastAsia="Times New Roman" w:hAnsi="Times New Roman" w:cs="Times New Roman"/>
          <w:b/>
          <w:i/>
          <w:color w:val="000000"/>
          <w:sz w:val="24"/>
          <w:szCs w:val="24"/>
          <w:lang w:eastAsia="it-IT"/>
        </w:rPr>
        <w:t xml:space="preserve">Intramembrane, pore-forming </w:t>
      </w:r>
    </w:p>
    <w:p w14:paraId="73DC119F" w14:textId="77777777" w:rsidR="00FC2CB2" w:rsidRPr="00673C07" w:rsidRDefault="00FC2CB2" w:rsidP="00673C07">
      <w:pPr>
        <w:spacing w:line="600" w:lineRule="auto"/>
        <w:ind w:left="360"/>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Only one patient from literature cohort belongs to this group, so that we did not include this domain in statistical analysis. The identified variant was </w:t>
      </w:r>
      <w:r w:rsidRPr="00673C07">
        <w:rPr>
          <w:rFonts w:ascii="Times New Roman" w:eastAsia="Times New Roman" w:hAnsi="Times New Roman" w:cs="Times New Roman"/>
          <w:sz w:val="24"/>
          <w:szCs w:val="24"/>
          <w:lang w:val="en-GB" w:eastAsia="it-IT"/>
        </w:rPr>
        <w:t xml:space="preserve">c.4393T&gt;C (p.Phe1465Leu) </w:t>
      </w:r>
      <w:r w:rsidR="00EF1B4D" w:rsidRPr="00673C07">
        <w:rPr>
          <w:rFonts w:ascii="Times New Roman" w:eastAsia="Times New Roman" w:hAnsi="Times New Roman" w:cs="Times New Roman"/>
          <w:sz w:val="24"/>
          <w:szCs w:val="24"/>
          <w:lang w:val="en-GB" w:eastAsia="it-IT"/>
        </w:rPr>
        <w:t>[36].</w:t>
      </w:r>
      <w:r w:rsidRPr="00673C07">
        <w:rPr>
          <w:rFonts w:ascii="Times New Roman" w:eastAsia="Times New Roman" w:hAnsi="Times New Roman" w:cs="Times New Roman"/>
          <w:sz w:val="24"/>
          <w:szCs w:val="24"/>
          <w:lang w:val="en-GB" w:eastAsia="it-IT"/>
        </w:rPr>
        <w:t xml:space="preserve"> The patient died at age 35 and cardiac phenotype was not specified. </w:t>
      </w:r>
    </w:p>
    <w:p w14:paraId="5C9CF9EB" w14:textId="77777777" w:rsidR="00FC2CB2" w:rsidRPr="00673C07" w:rsidRDefault="00FC2CB2" w:rsidP="00673C07">
      <w:pPr>
        <w:pStyle w:val="Paragrafoelenco"/>
        <w:numPr>
          <w:ilvl w:val="0"/>
          <w:numId w:val="1"/>
        </w:numPr>
        <w:spacing w:line="600" w:lineRule="auto"/>
        <w:jc w:val="both"/>
        <w:rPr>
          <w:rFonts w:ascii="Times New Roman" w:eastAsia="Times New Roman" w:hAnsi="Times New Roman" w:cs="Times New Roman"/>
          <w:b/>
          <w:i/>
          <w:color w:val="000000"/>
          <w:sz w:val="24"/>
          <w:szCs w:val="24"/>
          <w:lang w:val="en-US" w:eastAsia="it-IT"/>
        </w:rPr>
      </w:pPr>
      <w:r w:rsidRPr="00673C07">
        <w:rPr>
          <w:rFonts w:ascii="Times New Roman" w:eastAsia="Times New Roman" w:hAnsi="Times New Roman" w:cs="Times New Roman"/>
          <w:b/>
          <w:i/>
          <w:color w:val="000000"/>
          <w:sz w:val="24"/>
          <w:szCs w:val="24"/>
          <w:lang w:val="en-US" w:eastAsia="it-IT"/>
        </w:rPr>
        <w:lastRenderedPageBreak/>
        <w:t>C- Terminal</w:t>
      </w:r>
    </w:p>
    <w:p w14:paraId="0D2CA1A3" w14:textId="77777777" w:rsidR="00FC2CB2" w:rsidRPr="00673C07" w:rsidRDefault="00FC2CB2" w:rsidP="00673C07">
      <w:pPr>
        <w:spacing w:line="600" w:lineRule="auto"/>
        <w:jc w:val="both"/>
        <w:rPr>
          <w:rFonts w:ascii="Times New Roman" w:eastAsia="Times New Roman" w:hAnsi="Times New Roman" w:cs="Times New Roman"/>
          <w:bCs/>
          <w:color w:val="000000"/>
          <w:sz w:val="24"/>
          <w:szCs w:val="24"/>
          <w:lang w:val="en-US" w:eastAsia="it-IT"/>
        </w:rPr>
      </w:pPr>
      <w:r w:rsidRPr="00673C07">
        <w:rPr>
          <w:rFonts w:ascii="Times New Roman" w:eastAsia="Times New Roman" w:hAnsi="Times New Roman" w:cs="Times New Roman"/>
          <w:color w:val="000000"/>
          <w:sz w:val="24"/>
          <w:szCs w:val="24"/>
          <w:lang w:val="en-US" w:eastAsia="it-IT"/>
        </w:rPr>
        <w:t>Nineteen patients from literature were initially identified in this group:</w:t>
      </w:r>
      <w:r w:rsidR="008E525A" w:rsidRPr="00673C07">
        <w:rPr>
          <w:rFonts w:ascii="Times New Roman" w:eastAsia="Times New Roman" w:hAnsi="Times New Roman" w:cs="Times New Roman"/>
          <w:bCs/>
          <w:color w:val="000000"/>
          <w:sz w:val="24"/>
          <w:szCs w:val="24"/>
          <w:lang w:val="en-US" w:eastAsia="it-IT"/>
        </w:rPr>
        <w:t xml:space="preserve"> c.4819C&gt;T (p.Pro1607Ser)</w:t>
      </w:r>
      <w:r w:rsidRPr="00673C07">
        <w:rPr>
          <w:rFonts w:ascii="Times New Roman" w:eastAsia="Times New Roman" w:hAnsi="Times New Roman" w:cs="Times New Roman"/>
          <w:bCs/>
          <w:color w:val="000000"/>
          <w:sz w:val="24"/>
          <w:szCs w:val="24"/>
          <w:lang w:val="en-US" w:eastAsia="it-IT"/>
        </w:rPr>
        <w:t>, c.4879T&gt;C (p.Tyr1627His), c.5329C&gt;T (p.Arg1777Cys)</w:t>
      </w:r>
      <w:r w:rsidR="00CD1651" w:rsidRPr="00673C07">
        <w:rPr>
          <w:rFonts w:ascii="Times New Roman" w:eastAsia="Times New Roman" w:hAnsi="Times New Roman" w:cs="Times New Roman"/>
          <w:bCs/>
          <w:color w:val="000000"/>
          <w:sz w:val="24"/>
          <w:szCs w:val="24"/>
          <w:lang w:val="en-US" w:eastAsia="it-IT"/>
        </w:rPr>
        <w:t xml:space="preserve"> [36]</w:t>
      </w:r>
      <w:r w:rsidRPr="00673C07">
        <w:rPr>
          <w:rFonts w:ascii="Times New Roman" w:eastAsia="Times New Roman" w:hAnsi="Times New Roman" w:cs="Times New Roman"/>
          <w:bCs/>
          <w:color w:val="000000"/>
          <w:sz w:val="24"/>
          <w:szCs w:val="24"/>
          <w:lang w:val="en-US" w:eastAsia="it-IT"/>
        </w:rPr>
        <w:t>, c.5339G&gt;A (p.Arg1780His)</w:t>
      </w:r>
      <w:r w:rsidR="00CD1651" w:rsidRPr="00673C07">
        <w:rPr>
          <w:rFonts w:ascii="Times New Roman" w:eastAsia="Times New Roman" w:hAnsi="Times New Roman" w:cs="Times New Roman"/>
          <w:bCs/>
          <w:color w:val="000000"/>
          <w:sz w:val="24"/>
          <w:szCs w:val="24"/>
          <w:lang w:val="en-US" w:eastAsia="it-IT"/>
        </w:rPr>
        <w:t xml:space="preserve"> [6, 7]</w:t>
      </w:r>
      <w:r w:rsidRPr="00673C07">
        <w:rPr>
          <w:rFonts w:ascii="Times New Roman" w:eastAsia="Times New Roman" w:hAnsi="Times New Roman" w:cs="Times New Roman"/>
          <w:bCs/>
          <w:color w:val="000000"/>
          <w:sz w:val="24"/>
          <w:szCs w:val="24"/>
          <w:lang w:val="en-US" w:eastAsia="it-IT"/>
        </w:rPr>
        <w:t xml:space="preserve">, c.5347G&gt;T (p.Gly1783Cys) </w:t>
      </w:r>
      <w:r w:rsidR="00CD1651" w:rsidRPr="00673C07">
        <w:rPr>
          <w:rFonts w:ascii="Times New Roman" w:eastAsia="Times New Roman" w:hAnsi="Times New Roman" w:cs="Times New Roman"/>
          <w:bCs/>
          <w:color w:val="000000"/>
          <w:sz w:val="24"/>
          <w:szCs w:val="24"/>
          <w:lang w:val="en-US" w:eastAsia="it-IT"/>
        </w:rPr>
        <w:t>[6]</w:t>
      </w:r>
      <w:r w:rsidRPr="00673C07">
        <w:rPr>
          <w:rFonts w:ascii="Times New Roman" w:eastAsia="Times New Roman" w:hAnsi="Times New Roman" w:cs="Times New Roman"/>
          <w:bCs/>
          <w:color w:val="000000"/>
          <w:sz w:val="24"/>
          <w:szCs w:val="24"/>
          <w:lang w:val="en-US" w:eastAsia="it-IT"/>
        </w:rPr>
        <w:t xml:space="preserve">, c.5485_5499 dup15 (p.Glu1829_Gln1833dup) </w:t>
      </w:r>
      <w:r w:rsidR="00CD1651" w:rsidRPr="00673C07">
        <w:rPr>
          <w:rFonts w:ascii="Times New Roman" w:eastAsia="Times New Roman" w:hAnsi="Times New Roman" w:cs="Times New Roman"/>
          <w:bCs/>
          <w:color w:val="000000"/>
          <w:sz w:val="24"/>
          <w:szCs w:val="24"/>
          <w:lang w:val="en-US" w:eastAsia="it-IT"/>
        </w:rPr>
        <w:t>[3]</w:t>
      </w:r>
      <w:r w:rsidRPr="00673C07">
        <w:rPr>
          <w:rFonts w:ascii="Times New Roman" w:eastAsia="Times New Roman" w:hAnsi="Times New Roman" w:cs="Times New Roman"/>
          <w:bCs/>
          <w:color w:val="000000"/>
          <w:sz w:val="24"/>
          <w:szCs w:val="24"/>
          <w:lang w:val="en-US" w:eastAsia="it-IT"/>
        </w:rPr>
        <w:t>, c.5510G&gt;A (p.Tyr1837Cys)</w:t>
      </w:r>
      <w:r w:rsidR="00CD1651" w:rsidRPr="00673C07">
        <w:rPr>
          <w:rFonts w:ascii="Times New Roman" w:eastAsia="Times New Roman" w:hAnsi="Times New Roman" w:cs="Times New Roman"/>
          <w:bCs/>
          <w:color w:val="000000"/>
          <w:sz w:val="24"/>
          <w:szCs w:val="24"/>
          <w:lang w:val="en-US" w:eastAsia="it-IT"/>
        </w:rPr>
        <w:t xml:space="preserve"> [3],</w:t>
      </w:r>
      <w:r w:rsidRPr="00673C07">
        <w:rPr>
          <w:rFonts w:ascii="Times New Roman" w:eastAsia="Times New Roman" w:hAnsi="Times New Roman" w:cs="Times New Roman"/>
          <w:bCs/>
          <w:color w:val="000000"/>
          <w:sz w:val="24"/>
          <w:szCs w:val="24"/>
          <w:lang w:val="en-US" w:eastAsia="it-IT"/>
        </w:rPr>
        <w:t xml:space="preserve"> c.5518A&gt;G (p.Lys1840Glu), c.5639G&gt;A (p.Arg1880Gln) </w:t>
      </w:r>
      <w:r w:rsidR="00CD1651" w:rsidRPr="00673C07">
        <w:rPr>
          <w:rFonts w:ascii="Times New Roman" w:eastAsia="Times New Roman" w:hAnsi="Times New Roman" w:cs="Times New Roman"/>
          <w:bCs/>
          <w:color w:val="000000"/>
          <w:sz w:val="24"/>
          <w:szCs w:val="24"/>
          <w:lang w:val="en-US" w:eastAsia="it-IT"/>
        </w:rPr>
        <w:t>[3]</w:t>
      </w:r>
      <w:r w:rsidRPr="00673C07">
        <w:rPr>
          <w:rFonts w:ascii="Times New Roman" w:eastAsia="Times New Roman" w:hAnsi="Times New Roman" w:cs="Times New Roman"/>
          <w:bCs/>
          <w:color w:val="000000"/>
          <w:sz w:val="24"/>
          <w:szCs w:val="24"/>
          <w:lang w:val="en-US" w:eastAsia="it-IT"/>
        </w:rPr>
        <w:t>, c.5717G&gt;A (p.Arg1906Gln)</w:t>
      </w:r>
      <w:r w:rsidR="00CD1651" w:rsidRPr="00673C07">
        <w:rPr>
          <w:rFonts w:ascii="Times New Roman" w:eastAsia="Times New Roman" w:hAnsi="Times New Roman" w:cs="Times New Roman"/>
          <w:bCs/>
          <w:color w:val="000000"/>
          <w:sz w:val="24"/>
          <w:szCs w:val="24"/>
          <w:lang w:val="en-US" w:eastAsia="it-IT"/>
        </w:rPr>
        <w:t xml:space="preserve"> [34]</w:t>
      </w:r>
      <w:r w:rsidRPr="00673C07">
        <w:rPr>
          <w:rFonts w:ascii="Times New Roman" w:eastAsia="Times New Roman" w:hAnsi="Times New Roman" w:cs="Times New Roman"/>
          <w:bCs/>
          <w:color w:val="000000"/>
          <w:sz w:val="24"/>
          <w:szCs w:val="24"/>
          <w:lang w:val="en-US" w:eastAsia="it-IT"/>
        </w:rPr>
        <w:t xml:space="preserve">, c.5729G&gt;A (p.Arg1910Gln) </w:t>
      </w:r>
      <w:r w:rsidR="00CD1651" w:rsidRPr="00673C07">
        <w:rPr>
          <w:rFonts w:ascii="Times New Roman" w:eastAsia="Times New Roman" w:hAnsi="Times New Roman" w:cs="Times New Roman"/>
          <w:bCs/>
          <w:color w:val="000000"/>
          <w:sz w:val="24"/>
          <w:szCs w:val="24"/>
          <w:lang w:val="en-US" w:eastAsia="it-IT"/>
        </w:rPr>
        <w:t xml:space="preserve">[7], </w:t>
      </w:r>
      <w:r w:rsidRPr="00673C07">
        <w:rPr>
          <w:rFonts w:ascii="Times New Roman" w:eastAsia="Times New Roman" w:hAnsi="Times New Roman" w:cs="Times New Roman"/>
          <w:bCs/>
          <w:color w:val="000000"/>
          <w:sz w:val="24"/>
          <w:szCs w:val="24"/>
          <w:lang w:val="en-US" w:eastAsia="it-IT"/>
        </w:rPr>
        <w:t>c.5731G&gt;C (p.Gly1911Arg)</w:t>
      </w:r>
      <w:r w:rsidR="004C1391" w:rsidRPr="00673C07">
        <w:rPr>
          <w:rFonts w:ascii="Times New Roman" w:eastAsia="Times New Roman" w:hAnsi="Times New Roman" w:cs="Times New Roman"/>
          <w:bCs/>
          <w:color w:val="000000"/>
          <w:sz w:val="24"/>
          <w:szCs w:val="24"/>
          <w:lang w:val="en-US" w:eastAsia="it-IT"/>
        </w:rPr>
        <w:t xml:space="preserve"> [37]</w:t>
      </w:r>
      <w:r w:rsidRPr="00673C07">
        <w:rPr>
          <w:rFonts w:ascii="Times New Roman" w:eastAsia="Times New Roman" w:hAnsi="Times New Roman" w:cs="Times New Roman"/>
          <w:bCs/>
          <w:color w:val="000000"/>
          <w:sz w:val="24"/>
          <w:szCs w:val="24"/>
          <w:lang w:val="en-US" w:eastAsia="it-IT"/>
        </w:rPr>
        <w:t xml:space="preserve">, c.5444+719G&gt;A </w:t>
      </w:r>
      <w:r w:rsidR="008E525A" w:rsidRPr="00673C07">
        <w:rPr>
          <w:rFonts w:ascii="Times New Roman" w:eastAsia="Times New Roman" w:hAnsi="Times New Roman" w:cs="Times New Roman"/>
          <w:bCs/>
          <w:color w:val="000000"/>
          <w:sz w:val="24"/>
          <w:szCs w:val="24"/>
          <w:lang w:val="en-US" w:eastAsia="it-IT"/>
        </w:rPr>
        <w:t xml:space="preserve">[7], </w:t>
      </w:r>
      <w:r w:rsidRPr="00673C07">
        <w:rPr>
          <w:rFonts w:ascii="Times New Roman" w:eastAsia="Times New Roman" w:hAnsi="Times New Roman" w:cs="Times New Roman"/>
          <w:bCs/>
          <w:color w:val="000000"/>
          <w:sz w:val="24"/>
          <w:szCs w:val="24"/>
          <w:lang w:val="en-US" w:eastAsia="it-IT"/>
        </w:rPr>
        <w:t xml:space="preserve">c.5918G&gt;C (p.Arg1973Pro) </w:t>
      </w:r>
      <w:r w:rsidR="004C1391" w:rsidRPr="00673C07">
        <w:rPr>
          <w:rFonts w:ascii="Times New Roman" w:eastAsia="Times New Roman" w:hAnsi="Times New Roman" w:cs="Times New Roman"/>
          <w:bCs/>
          <w:color w:val="000000"/>
          <w:sz w:val="24"/>
          <w:szCs w:val="24"/>
          <w:lang w:val="en-US" w:eastAsia="it-IT"/>
        </w:rPr>
        <w:t>[38]</w:t>
      </w:r>
      <w:r w:rsidRPr="00673C07">
        <w:rPr>
          <w:rFonts w:ascii="Times New Roman" w:eastAsia="Times New Roman" w:hAnsi="Times New Roman" w:cs="Times New Roman"/>
          <w:bCs/>
          <w:color w:val="000000"/>
          <w:sz w:val="24"/>
          <w:szCs w:val="24"/>
          <w:lang w:val="en-US" w:eastAsia="it-IT"/>
        </w:rPr>
        <w:t>, c.6272A&gt;G (p.Asn2091Ser)</w:t>
      </w:r>
      <w:r w:rsidR="004C1391" w:rsidRPr="00673C07">
        <w:rPr>
          <w:rFonts w:ascii="Times New Roman" w:eastAsia="Times New Roman" w:hAnsi="Times New Roman" w:cs="Times New Roman"/>
          <w:bCs/>
          <w:color w:val="000000"/>
          <w:sz w:val="24"/>
          <w:szCs w:val="24"/>
          <w:lang w:val="en-US" w:eastAsia="it-IT"/>
        </w:rPr>
        <w:t xml:space="preserve"> [35]</w:t>
      </w:r>
      <w:r w:rsidRPr="00673C07">
        <w:rPr>
          <w:rFonts w:ascii="Times New Roman" w:eastAsia="Times New Roman" w:hAnsi="Times New Roman" w:cs="Times New Roman"/>
          <w:bCs/>
          <w:color w:val="000000"/>
          <w:sz w:val="24"/>
          <w:szCs w:val="24"/>
          <w:lang w:val="en-US" w:eastAsia="it-IT"/>
        </w:rPr>
        <w:t xml:space="preserve">, c.6388G&gt;A (p.Asp2130Asn) </w:t>
      </w:r>
      <w:r w:rsidR="008E525A" w:rsidRPr="00673C07">
        <w:rPr>
          <w:rFonts w:ascii="Times New Roman" w:eastAsia="Times New Roman" w:hAnsi="Times New Roman" w:cs="Times New Roman"/>
          <w:bCs/>
          <w:color w:val="000000"/>
          <w:sz w:val="24"/>
          <w:szCs w:val="24"/>
          <w:lang w:val="en-US" w:eastAsia="it-IT"/>
        </w:rPr>
        <w:t>[3]</w:t>
      </w:r>
      <w:r w:rsidRPr="00673C07">
        <w:rPr>
          <w:rFonts w:ascii="Times New Roman" w:eastAsia="Times New Roman" w:hAnsi="Times New Roman" w:cs="Times New Roman"/>
          <w:bCs/>
          <w:color w:val="000000"/>
          <w:sz w:val="24"/>
          <w:szCs w:val="24"/>
          <w:lang w:val="en-US" w:eastAsia="it-IT"/>
        </w:rPr>
        <w:t>.</w:t>
      </w:r>
    </w:p>
    <w:p w14:paraId="0441A7F6" w14:textId="77777777" w:rsidR="00FC2CB2" w:rsidRPr="00673C07" w:rsidRDefault="00FC2CB2" w:rsidP="00673C07">
      <w:pPr>
        <w:spacing w:line="600" w:lineRule="auto"/>
        <w:jc w:val="both"/>
        <w:rPr>
          <w:rFonts w:ascii="Times New Roman" w:eastAsia="Times New Roman" w:hAnsi="Times New Roman" w:cs="Times New Roman"/>
          <w:b/>
          <w:bCs/>
          <w:color w:val="000000"/>
          <w:sz w:val="24"/>
          <w:szCs w:val="24"/>
          <w:lang w:val="en-GB" w:eastAsia="it-IT"/>
        </w:rPr>
      </w:pPr>
      <w:r w:rsidRPr="00673C07">
        <w:rPr>
          <w:rFonts w:ascii="Times New Roman" w:eastAsia="Times New Roman" w:hAnsi="Times New Roman" w:cs="Times New Roman"/>
          <w:bCs/>
          <w:color w:val="000000"/>
          <w:sz w:val="24"/>
          <w:szCs w:val="24"/>
          <w:lang w:val="en-GB" w:eastAsia="it-IT"/>
        </w:rPr>
        <w:t>Two variants: c.5639G&gt;A (p.Arg1880Gln) and c.5444+719G&gt;A</w:t>
      </w:r>
      <w:r w:rsidR="00CD1651" w:rsidRPr="00673C07">
        <w:rPr>
          <w:rFonts w:ascii="Times New Roman" w:eastAsia="Times New Roman" w:hAnsi="Times New Roman" w:cs="Times New Roman"/>
          <w:bCs/>
          <w:color w:val="000000"/>
          <w:sz w:val="24"/>
          <w:szCs w:val="24"/>
          <w:lang w:val="en-GB" w:eastAsia="it-IT"/>
        </w:rPr>
        <w:t xml:space="preserve"> </w:t>
      </w:r>
      <w:r w:rsidR="00CD1651" w:rsidRPr="00673C07">
        <w:rPr>
          <w:rFonts w:ascii="Times New Roman" w:eastAsia="Times New Roman" w:hAnsi="Times New Roman" w:cs="Times New Roman"/>
          <w:bCs/>
          <w:color w:val="000000"/>
          <w:sz w:val="24"/>
          <w:szCs w:val="24"/>
          <w:lang w:val="en-US" w:eastAsia="it-IT"/>
        </w:rPr>
        <w:t>[3</w:t>
      </w:r>
      <w:r w:rsidR="004C1391" w:rsidRPr="00673C07">
        <w:rPr>
          <w:rFonts w:ascii="Times New Roman" w:eastAsia="Times New Roman" w:hAnsi="Times New Roman" w:cs="Times New Roman"/>
          <w:bCs/>
          <w:color w:val="000000"/>
          <w:sz w:val="24"/>
          <w:szCs w:val="24"/>
          <w:lang w:val="en-US" w:eastAsia="it-IT"/>
        </w:rPr>
        <w:t>, 7</w:t>
      </w:r>
      <w:r w:rsidR="00CD1651" w:rsidRPr="00673C07">
        <w:rPr>
          <w:rFonts w:ascii="Times New Roman" w:eastAsia="Times New Roman" w:hAnsi="Times New Roman" w:cs="Times New Roman"/>
          <w:bCs/>
          <w:color w:val="000000"/>
          <w:sz w:val="24"/>
          <w:szCs w:val="24"/>
          <w:lang w:val="en-US" w:eastAsia="it-IT"/>
        </w:rPr>
        <w:t>]</w:t>
      </w:r>
      <w:r w:rsidRPr="00673C07">
        <w:rPr>
          <w:rFonts w:ascii="Times New Roman" w:eastAsia="Times New Roman" w:hAnsi="Times New Roman" w:cs="Times New Roman"/>
          <w:bCs/>
          <w:sz w:val="24"/>
          <w:szCs w:val="24"/>
          <w:lang w:val="en-GB" w:eastAsia="it-IT"/>
        </w:rPr>
        <w:t xml:space="preserve"> were not considered for statistical analysis because of the low pathogenicity according to ACMG classification. Thus, 17 patients were included in current analysis.</w:t>
      </w:r>
    </w:p>
    <w:p w14:paraId="65D52F41"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Family history for </w:t>
      </w:r>
      <w:r w:rsidRPr="00673C07">
        <w:rPr>
          <w:rFonts w:ascii="Times New Roman" w:eastAsia="Times New Roman" w:hAnsi="Times New Roman" w:cs="Times New Roman"/>
          <w:sz w:val="24"/>
          <w:szCs w:val="24"/>
          <w:lang w:val="en-GB" w:eastAsia="it-IT"/>
        </w:rPr>
        <w:t xml:space="preserve">specific cardiac event </w:t>
      </w:r>
      <w:r w:rsidRPr="00673C07">
        <w:rPr>
          <w:rFonts w:ascii="Times New Roman" w:eastAsia="Times New Roman" w:hAnsi="Times New Roman" w:cs="Times New Roman"/>
          <w:color w:val="000000"/>
          <w:sz w:val="24"/>
          <w:szCs w:val="24"/>
          <w:lang w:val="en-GB" w:eastAsia="it-IT"/>
        </w:rPr>
        <w:t>was positive in 47% (8/17). Median age at diagnosis was 24 years old. QTc was longer than 460ms in 10 (58%) patients; no data were available on QTc for 6 (35%) patients. Brugada pattern was observed in 7 (41%) patients. Tachyarrhythmia was reported in 17% (3/17). HCM was documented in 2 patients (12%), but data were lacking for more than half of patients (11/17, 64%).</w:t>
      </w:r>
    </w:p>
    <w:p w14:paraId="3E82B4DE"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One patient underwent ICD implantation, 1 patient was implanted with CRT-D. No data on device implantation were available for 11 patients. Regarding survival, two patients (12%) died during follow-up. Survival status was unknown for 4 individuals. </w:t>
      </w:r>
    </w:p>
    <w:p w14:paraId="376183D6"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p>
    <w:p w14:paraId="330B84C1" w14:textId="77777777" w:rsidR="00FC2CB2" w:rsidRPr="00673C07" w:rsidRDefault="00FC2CB2" w:rsidP="00673C07">
      <w:pPr>
        <w:spacing w:after="0" w:line="600" w:lineRule="auto"/>
        <w:jc w:val="both"/>
        <w:rPr>
          <w:rFonts w:ascii="Times New Roman" w:eastAsia="Times New Roman" w:hAnsi="Times New Roman" w:cs="Times New Roman"/>
          <w:b/>
          <w:color w:val="000000"/>
          <w:sz w:val="24"/>
          <w:szCs w:val="24"/>
          <w:lang w:val="en-GB" w:eastAsia="it-IT"/>
        </w:rPr>
      </w:pPr>
      <w:r w:rsidRPr="00673C07">
        <w:rPr>
          <w:rFonts w:ascii="Times New Roman" w:eastAsia="Times New Roman" w:hAnsi="Times New Roman" w:cs="Times New Roman"/>
          <w:b/>
          <w:color w:val="000000"/>
          <w:sz w:val="24"/>
          <w:szCs w:val="24"/>
          <w:lang w:val="en-GB" w:eastAsia="it-IT"/>
        </w:rPr>
        <w:lastRenderedPageBreak/>
        <w:t>U</w:t>
      </w:r>
      <w:r w:rsidR="00DA3746" w:rsidRPr="00673C07">
        <w:rPr>
          <w:rFonts w:ascii="Times New Roman" w:eastAsia="Times New Roman" w:hAnsi="Times New Roman" w:cs="Times New Roman"/>
          <w:b/>
          <w:color w:val="000000"/>
          <w:sz w:val="24"/>
          <w:szCs w:val="24"/>
          <w:lang w:val="en-GB" w:eastAsia="it-IT"/>
        </w:rPr>
        <w:t>nidentified molecular spectrum</w:t>
      </w:r>
    </w:p>
    <w:p w14:paraId="5BF0BC0D"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This group was not included in statistical analysis and included 14 (9 males, 64%) patients that were mentioned to have LQTS type 8 on clinical background. This diagnosis was mainly made before the </w:t>
      </w:r>
      <w:r w:rsidRPr="00673C07">
        <w:rPr>
          <w:rFonts w:ascii="Times New Roman" w:eastAsia="Times New Roman" w:hAnsi="Times New Roman" w:cs="Times New Roman"/>
          <w:i/>
          <w:color w:val="000000"/>
          <w:sz w:val="24"/>
          <w:szCs w:val="24"/>
          <w:lang w:val="en-GB" w:eastAsia="it-IT"/>
        </w:rPr>
        <w:t>CACNA1C</w:t>
      </w:r>
      <w:r w:rsidRPr="00673C07">
        <w:rPr>
          <w:rFonts w:ascii="Times New Roman" w:eastAsia="Times New Roman" w:hAnsi="Times New Roman" w:cs="Times New Roman"/>
          <w:color w:val="000000"/>
          <w:sz w:val="24"/>
          <w:szCs w:val="24"/>
          <w:lang w:val="en-GB" w:eastAsia="it-IT"/>
        </w:rPr>
        <w:t xml:space="preserve"> molecular identification/testing or because specific </w:t>
      </w:r>
      <w:r w:rsidRPr="00673C07">
        <w:rPr>
          <w:rFonts w:ascii="Times New Roman" w:eastAsia="Times New Roman" w:hAnsi="Times New Roman" w:cs="Times New Roman"/>
          <w:i/>
          <w:color w:val="000000"/>
          <w:sz w:val="24"/>
          <w:szCs w:val="24"/>
          <w:lang w:val="en-GB" w:eastAsia="it-IT"/>
        </w:rPr>
        <w:t>CACNA1C</w:t>
      </w:r>
      <w:r w:rsidRPr="00673C07">
        <w:rPr>
          <w:rFonts w:ascii="Times New Roman" w:eastAsia="Times New Roman" w:hAnsi="Times New Roman" w:cs="Times New Roman"/>
          <w:color w:val="000000"/>
          <w:sz w:val="24"/>
          <w:szCs w:val="24"/>
          <w:lang w:val="en-GB" w:eastAsia="it-IT"/>
        </w:rPr>
        <w:t xml:space="preserve"> variant description was missing (i.e. in these reports no nucleotide or amino acid description was available) </w:t>
      </w:r>
      <w:r w:rsidR="004C1391" w:rsidRPr="00673C07">
        <w:rPr>
          <w:rFonts w:ascii="Times New Roman" w:eastAsia="Times New Roman" w:hAnsi="Times New Roman" w:cs="Times New Roman"/>
          <w:color w:val="000000"/>
          <w:sz w:val="24"/>
          <w:szCs w:val="24"/>
          <w:lang w:val="en-GB" w:eastAsia="it-IT"/>
        </w:rPr>
        <w:t>[39-</w:t>
      </w:r>
      <w:r w:rsidR="00DA3746" w:rsidRPr="00673C07">
        <w:rPr>
          <w:rFonts w:ascii="Times New Roman" w:eastAsia="Times New Roman" w:hAnsi="Times New Roman" w:cs="Times New Roman"/>
          <w:color w:val="000000"/>
          <w:sz w:val="24"/>
          <w:szCs w:val="24"/>
          <w:lang w:val="en-GB" w:eastAsia="it-IT"/>
        </w:rPr>
        <w:t>47]</w:t>
      </w:r>
      <w:r w:rsidRPr="00673C07">
        <w:rPr>
          <w:rFonts w:ascii="Times New Roman" w:eastAsia="Times New Roman" w:hAnsi="Times New Roman" w:cs="Times New Roman"/>
          <w:color w:val="000000"/>
          <w:sz w:val="24"/>
          <w:szCs w:val="24"/>
          <w:lang w:val="en-GB" w:eastAsia="it-IT"/>
        </w:rPr>
        <w:t>. Five (35%) patients had positive family history for specific cardiac event; data were lacking for 4 patients; diagnosis was made in childhood (from birth to 10 years old). Tachyarrhythmias were reported in 6 (43%) patients.</w:t>
      </w:r>
      <w:r w:rsidRPr="00673C07" w:rsidDel="00ED4423">
        <w:rPr>
          <w:rFonts w:ascii="Times New Roman" w:eastAsia="Times New Roman" w:hAnsi="Times New Roman" w:cs="Times New Roman"/>
          <w:color w:val="000000"/>
          <w:sz w:val="24"/>
          <w:szCs w:val="24"/>
          <w:lang w:val="en-GB" w:eastAsia="it-IT"/>
        </w:rPr>
        <w:t xml:space="preserve"> </w:t>
      </w:r>
      <w:r w:rsidRPr="00673C07">
        <w:rPr>
          <w:rFonts w:ascii="Times New Roman" w:eastAsia="Times New Roman" w:hAnsi="Times New Roman" w:cs="Times New Roman"/>
          <w:color w:val="000000"/>
          <w:sz w:val="24"/>
          <w:szCs w:val="24"/>
          <w:lang w:val="en-GB" w:eastAsia="it-IT"/>
        </w:rPr>
        <w:t>Brugada pat</w:t>
      </w:r>
      <w:r w:rsidR="008E525A" w:rsidRPr="00673C07">
        <w:rPr>
          <w:rFonts w:ascii="Times New Roman" w:eastAsia="Times New Roman" w:hAnsi="Times New Roman" w:cs="Times New Roman"/>
          <w:color w:val="000000"/>
          <w:sz w:val="24"/>
          <w:szCs w:val="24"/>
          <w:lang w:val="en-GB" w:eastAsia="it-IT"/>
        </w:rPr>
        <w:t>tern was reported in 1 patient;</w:t>
      </w:r>
      <w:r w:rsidRPr="00673C07">
        <w:rPr>
          <w:rFonts w:ascii="Times New Roman" w:eastAsia="Times New Roman" w:hAnsi="Times New Roman" w:cs="Times New Roman"/>
          <w:color w:val="000000"/>
          <w:sz w:val="24"/>
          <w:szCs w:val="24"/>
          <w:lang w:val="en-GB" w:eastAsia="it-IT"/>
        </w:rPr>
        <w:t xml:space="preserve"> HCM was observed in one case, with data lacking for 6 individuals. Congenital heart disease (PDA, PFO, ventricular septal defect) was reported in 8 (57%) patients, and data was missing for 3 cases. As for survival, 5 (36%) patients died from cardiac arrest and the remaining 64% (9/14) were alive at follow-up.</w:t>
      </w:r>
    </w:p>
    <w:p w14:paraId="3D6B13B1" w14:textId="77777777" w:rsidR="00DA3746" w:rsidRPr="00673C07" w:rsidRDefault="00DA3746" w:rsidP="00673C07">
      <w:pPr>
        <w:spacing w:after="0" w:line="600" w:lineRule="auto"/>
        <w:jc w:val="both"/>
        <w:rPr>
          <w:rFonts w:ascii="Times New Roman" w:eastAsia="Times New Roman" w:hAnsi="Times New Roman" w:cs="Times New Roman"/>
          <w:color w:val="000000"/>
          <w:sz w:val="24"/>
          <w:szCs w:val="24"/>
          <w:lang w:val="en-GB" w:eastAsia="it-IT"/>
        </w:rPr>
      </w:pPr>
    </w:p>
    <w:p w14:paraId="4FDF4664" w14:textId="77777777" w:rsidR="00FC2CB2" w:rsidRPr="00673C07" w:rsidRDefault="00DA3746" w:rsidP="00673C07">
      <w:pPr>
        <w:spacing w:after="0" w:line="600" w:lineRule="auto"/>
        <w:jc w:val="both"/>
        <w:rPr>
          <w:rFonts w:ascii="Times New Roman" w:eastAsia="Times New Roman" w:hAnsi="Times New Roman" w:cs="Times New Roman"/>
          <w:b/>
          <w:color w:val="000000"/>
          <w:sz w:val="24"/>
          <w:szCs w:val="24"/>
          <w:lang w:val="en-GB" w:eastAsia="it-IT"/>
        </w:rPr>
      </w:pPr>
      <w:r w:rsidRPr="00673C07">
        <w:rPr>
          <w:rFonts w:ascii="Times New Roman" w:eastAsia="Times New Roman" w:hAnsi="Times New Roman" w:cs="Times New Roman"/>
          <w:b/>
          <w:color w:val="000000"/>
          <w:sz w:val="24"/>
          <w:szCs w:val="24"/>
          <w:lang w:val="en-GB" w:eastAsia="it-IT"/>
        </w:rPr>
        <w:t>Final statistical analysis</w:t>
      </w:r>
    </w:p>
    <w:p w14:paraId="439C430B"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Final statistical analysis included 102 patients. </w:t>
      </w:r>
    </w:p>
    <w:p w14:paraId="5CC4D93B"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Domains-to-domains studies showed that variants in </w:t>
      </w:r>
      <w:r w:rsidRPr="00673C07">
        <w:rPr>
          <w:rFonts w:ascii="Times New Roman" w:eastAsia="Times New Roman" w:hAnsi="Times New Roman" w:cs="Times New Roman"/>
          <w:b/>
          <w:color w:val="000000"/>
          <w:sz w:val="24"/>
          <w:szCs w:val="24"/>
          <w:lang w:val="en-GB" w:eastAsia="it-IT"/>
        </w:rPr>
        <w:t xml:space="preserve">N-terminal domain </w:t>
      </w:r>
      <w:r w:rsidRPr="00673C07">
        <w:rPr>
          <w:rFonts w:ascii="Times New Roman" w:eastAsia="Times New Roman" w:hAnsi="Times New Roman" w:cs="Times New Roman"/>
          <w:color w:val="000000"/>
          <w:sz w:val="24"/>
          <w:szCs w:val="24"/>
          <w:lang w:val="en-GB" w:eastAsia="it-IT"/>
        </w:rPr>
        <w:t xml:space="preserve">are associated with BrS and a high percentage of survival. LQTS in this domain was found in 40% of patients. </w:t>
      </w:r>
    </w:p>
    <w:p w14:paraId="06CE9D48"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On the contrary, variants in </w:t>
      </w:r>
      <w:r w:rsidRPr="00673C07">
        <w:rPr>
          <w:rFonts w:ascii="Times New Roman" w:eastAsia="Times New Roman" w:hAnsi="Times New Roman" w:cs="Times New Roman"/>
          <w:b/>
          <w:color w:val="000000"/>
          <w:sz w:val="24"/>
          <w:szCs w:val="24"/>
          <w:lang w:val="en-GB" w:eastAsia="it-IT"/>
        </w:rPr>
        <w:t>Transmembrane domain</w:t>
      </w:r>
      <w:r w:rsidRPr="00673C07">
        <w:rPr>
          <w:rFonts w:ascii="Times New Roman" w:eastAsia="Times New Roman" w:hAnsi="Times New Roman" w:cs="Times New Roman"/>
          <w:color w:val="000000"/>
          <w:sz w:val="24"/>
          <w:szCs w:val="24"/>
          <w:lang w:val="en-GB" w:eastAsia="it-IT"/>
        </w:rPr>
        <w:t xml:space="preserve"> included pathologic QTc (do you mean LQTS?) in 78% and tachyarrhythmias were observed in 55%. ICD was implanted in 22%, and </w:t>
      </w:r>
      <w:r w:rsidRPr="00673C07">
        <w:rPr>
          <w:rFonts w:ascii="Times New Roman" w:eastAsia="Times New Roman" w:hAnsi="Times New Roman" w:cs="Times New Roman"/>
          <w:color w:val="000000"/>
          <w:sz w:val="24"/>
          <w:szCs w:val="24"/>
          <w:lang w:val="en-GB" w:eastAsia="it-IT"/>
        </w:rPr>
        <w:lastRenderedPageBreak/>
        <w:t>mortality reached 33%. Notably, earliest diagnosis were made in this group, since the majority of patients were diagnosed in early childhood, between 6 and 10 years old.</w:t>
      </w:r>
    </w:p>
    <w:p w14:paraId="3F747566"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Patients with mutations in </w:t>
      </w:r>
      <w:r w:rsidRPr="00673C07">
        <w:rPr>
          <w:rFonts w:ascii="Times New Roman" w:eastAsia="Times New Roman" w:hAnsi="Times New Roman" w:cs="Times New Roman"/>
          <w:b/>
          <w:color w:val="000000"/>
          <w:sz w:val="24"/>
          <w:szCs w:val="24"/>
          <w:lang w:val="en-GB" w:eastAsia="it-IT"/>
        </w:rPr>
        <w:t>Extracellular domain</w:t>
      </w:r>
      <w:r w:rsidRPr="00673C07">
        <w:rPr>
          <w:rFonts w:ascii="Times New Roman" w:eastAsia="Times New Roman" w:hAnsi="Times New Roman" w:cs="Times New Roman"/>
          <w:color w:val="000000"/>
          <w:sz w:val="24"/>
          <w:szCs w:val="24"/>
          <w:lang w:val="en-GB" w:eastAsia="it-IT"/>
        </w:rPr>
        <w:t xml:space="preserve"> included 28 years old as average age of presentation. More than half of them have Brugada syndrome (</w:t>
      </w:r>
      <w:r w:rsidRPr="00673C07">
        <w:rPr>
          <w:rFonts w:ascii="Times New Roman" w:eastAsia="Times New Roman" w:hAnsi="Times New Roman" w:cs="Times New Roman"/>
          <w:bCs/>
          <w:color w:val="000000"/>
          <w:sz w:val="24"/>
          <w:szCs w:val="24"/>
          <w:lang w:val="en-GB" w:eastAsia="it-IT"/>
        </w:rPr>
        <w:t>64%</w:t>
      </w:r>
      <w:r w:rsidRPr="00673C07">
        <w:rPr>
          <w:rFonts w:ascii="Times New Roman" w:eastAsia="Times New Roman" w:hAnsi="Times New Roman" w:cs="Times New Roman"/>
          <w:color w:val="000000"/>
          <w:sz w:val="24"/>
          <w:szCs w:val="24"/>
          <w:lang w:val="en-GB" w:eastAsia="it-IT"/>
        </w:rPr>
        <w:t>). 36% presented with tachyarrhythmia. No ICD was implanted in those with known data; no death was reported during follow-up.</w:t>
      </w:r>
    </w:p>
    <w:p w14:paraId="71C8A444"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b/>
          <w:color w:val="000000"/>
          <w:sz w:val="24"/>
          <w:szCs w:val="24"/>
          <w:lang w:val="en-GB" w:eastAsia="it-IT"/>
        </w:rPr>
        <w:t>Cytoplasmic domain</w:t>
      </w:r>
      <w:r w:rsidRPr="00673C07">
        <w:rPr>
          <w:rFonts w:ascii="Times New Roman" w:eastAsia="Times New Roman" w:hAnsi="Times New Roman" w:cs="Times New Roman"/>
          <w:color w:val="000000"/>
          <w:sz w:val="24"/>
          <w:szCs w:val="24"/>
          <w:lang w:val="en-GB" w:eastAsia="it-IT"/>
        </w:rPr>
        <w:t xml:space="preserve"> was the largest group (60 patients). 87% showed prolonged QTc and 47% presented with tachyarrhythmia. ICDs were implanted in 55% of patients. Death was recorded in 18% of individuals.</w:t>
      </w:r>
    </w:p>
    <w:p w14:paraId="3952B938"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The 26 patients carrying variants other than the two classic mutations (p.Gly406Arg and p.Gly490Arg) had late onset of the disease (all older than 6-10 years old) and better survival. </w:t>
      </w:r>
    </w:p>
    <w:p w14:paraId="35985E34"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r w:rsidRPr="00673C07">
        <w:rPr>
          <w:rFonts w:ascii="Times New Roman" w:eastAsia="Times New Roman" w:hAnsi="Times New Roman" w:cs="Times New Roman"/>
          <w:color w:val="000000"/>
          <w:sz w:val="24"/>
          <w:szCs w:val="24"/>
          <w:lang w:val="en-GB" w:eastAsia="it-IT"/>
        </w:rPr>
        <w:t xml:space="preserve">As for </w:t>
      </w:r>
      <w:r w:rsidRPr="00673C07">
        <w:rPr>
          <w:rFonts w:ascii="Times New Roman" w:eastAsia="Times New Roman" w:hAnsi="Times New Roman" w:cs="Times New Roman"/>
          <w:b/>
          <w:color w:val="000000"/>
          <w:sz w:val="24"/>
          <w:szCs w:val="24"/>
          <w:lang w:val="en-GB" w:eastAsia="it-IT"/>
        </w:rPr>
        <w:t>C-terminal domain,</w:t>
      </w:r>
      <w:r w:rsidRPr="00673C07">
        <w:rPr>
          <w:rFonts w:ascii="Times New Roman" w:eastAsia="Times New Roman" w:hAnsi="Times New Roman" w:cs="Times New Roman"/>
          <w:color w:val="000000"/>
          <w:sz w:val="24"/>
          <w:szCs w:val="24"/>
          <w:lang w:val="en-GB" w:eastAsia="it-IT"/>
        </w:rPr>
        <w:t xml:space="preserve"> 59% of patients presented with LQTS and 41% showed a Brugada pattern. Mortality in this domain was 12% for those with described end point.</w:t>
      </w:r>
    </w:p>
    <w:p w14:paraId="3162C7F5" w14:textId="77777777" w:rsidR="00FC2CB2" w:rsidRPr="00673C07" w:rsidRDefault="00FC2CB2" w:rsidP="00673C07">
      <w:pPr>
        <w:spacing w:after="0" w:line="600" w:lineRule="auto"/>
        <w:jc w:val="both"/>
        <w:rPr>
          <w:rFonts w:ascii="Times New Roman" w:eastAsia="Times New Roman" w:hAnsi="Times New Roman" w:cs="Times New Roman"/>
          <w:color w:val="000000"/>
          <w:sz w:val="24"/>
          <w:szCs w:val="24"/>
          <w:lang w:val="en-GB" w:eastAsia="it-IT"/>
        </w:rPr>
      </w:pPr>
    </w:p>
    <w:p w14:paraId="359DDE64" w14:textId="77777777" w:rsidR="00DA3746" w:rsidRPr="00673C07" w:rsidRDefault="00DA3746" w:rsidP="00673C07">
      <w:pPr>
        <w:spacing w:line="600" w:lineRule="auto"/>
        <w:jc w:val="both"/>
        <w:rPr>
          <w:rFonts w:ascii="Times New Roman" w:hAnsi="Times New Roman" w:cs="Times New Roman"/>
          <w:sz w:val="24"/>
          <w:szCs w:val="24"/>
          <w:lang w:val="en-GB" w:eastAsia="it-IT"/>
        </w:rPr>
      </w:pPr>
    </w:p>
    <w:p w14:paraId="04697ABF" w14:textId="77777777" w:rsidR="00DA3746" w:rsidRPr="00673C07" w:rsidRDefault="00DA3746" w:rsidP="00673C07">
      <w:pPr>
        <w:spacing w:line="600" w:lineRule="auto"/>
        <w:jc w:val="both"/>
        <w:rPr>
          <w:rFonts w:ascii="Times New Roman" w:hAnsi="Times New Roman" w:cs="Times New Roman"/>
          <w:b/>
          <w:sz w:val="24"/>
          <w:szCs w:val="24"/>
          <w:u w:val="single"/>
          <w:lang w:val="en-US"/>
        </w:rPr>
      </w:pPr>
      <w:r w:rsidRPr="00673C07">
        <w:rPr>
          <w:rFonts w:ascii="Times New Roman" w:hAnsi="Times New Roman" w:cs="Times New Roman"/>
          <w:b/>
          <w:sz w:val="24"/>
          <w:szCs w:val="24"/>
          <w:lang w:val="en-GB" w:eastAsia="it-IT"/>
        </w:rPr>
        <w:t xml:space="preserve">REFERENCES </w:t>
      </w:r>
      <w:r w:rsidRPr="00673C07">
        <w:rPr>
          <w:rFonts w:ascii="Times New Roman" w:hAnsi="Times New Roman" w:cs="Times New Roman"/>
          <w:b/>
          <w:sz w:val="24"/>
          <w:szCs w:val="24"/>
          <w:u w:val="single"/>
          <w:lang w:val="en-US"/>
        </w:rPr>
        <w:t>Domain-to-domain analysis</w:t>
      </w:r>
    </w:p>
    <w:p w14:paraId="5D96B1C0"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Wemhöner K, Friedrich C, Stallmeyer B, Coffey AJ, Grace A, Zumhagen S, Seebohm G, Ortiz-Bonnin B, Rinné S, Sachse FB, Schulze-Bahr E, Decher N. Gain-of-function mutations in the calcium channel CACNA1C (Cav1.2) cause non-syndromic long-QT but not Timothy syndrome. J Mol Cell Cardiol. 2015;80:186-95. </w:t>
      </w:r>
    </w:p>
    <w:p w14:paraId="792DEDB6"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lastRenderedPageBreak/>
        <w:t>Antzelevitch C, Pollevick GD, Cordeiro JM, Casis O, Sanguinetti MC, Aizawa Y, Guerchicoff A, Pfeiffer R, Oliva A, Wollnik B, Gelber P, Bonaros EP Jr, Burashnikov E, Wu Y, Sargent JD, Schickel S, Oberheiden R, Bhatia A, Hsu LF, Haïssaguerre M, Schimpf R, Borggrefe M, Wolpert C. Loss-of-function mutations in the cardiac calcium channel underlie a new clinical entity characterized by ST-segment elevation, short QT intervals, and sudden cardiac death. Circulation. 2007;115:442-9.</w:t>
      </w:r>
    </w:p>
    <w:p w14:paraId="72054C96"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Burashnikov E, Pfeiffer R, Barajas-Martinez H, Delpón E, Hu D, Desai M, Borggrefe M, Häissaguerre M, Kanter R, Pollevick GD, Guerchicoff A, Laiño R, Marieb M, Nademanee K, Nam GB, Robles R, Schimpf R, Stapleton DD, Viskin S, Winters S, Wolpert C, Zimmern S, Veltmann C, Antzelevitch C. Mutations in the cardiac L-type calcium channel associated with inherited J-wave syndromes and sudden cardiac death. Heart Rhythm. 2010;7:1872-82. </w:t>
      </w:r>
    </w:p>
    <w:p w14:paraId="5057FEDE"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Crawford RR, Higdon AN, Casey DB, Good DE, Mungrue IN. Multiple lithium-dependent Brugada syndrome unmasking events in a bipolar patient. Clin Case Rep. 2015;3:14-8. </w:t>
      </w:r>
    </w:p>
    <w:p w14:paraId="5AD96589"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Narula N, Tester DJ, Paulmichl A, Maleszewski JJ, Ackerman MJ. Post-mortem Whole exome sequencing with gene-specific analysis for autopsy-negative sudden unexplained death in the young: a case series. Pediatr Cardiol. 2015;36:768-78.</w:t>
      </w:r>
    </w:p>
    <w:p w14:paraId="61191F45"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Fukuyama M, Wang Q, Kato K, Ohno S, Ding WG, Toyoda F, Itoh H, Kimura H, Makiyama T, Ito M, Matsuura H, Horie M.Long QT syndrome type 8: novel CACNA1C </w:t>
      </w:r>
      <w:r w:rsidRPr="00673C07">
        <w:rPr>
          <w:rFonts w:ascii="Times New Roman" w:hAnsi="Times New Roman" w:cs="Times New Roman"/>
          <w:sz w:val="24"/>
          <w:szCs w:val="24"/>
          <w:lang w:val="en-GB"/>
        </w:rPr>
        <w:lastRenderedPageBreak/>
        <w:t xml:space="preserve">mutations causing QT prolongation and variant phenotypes. Europace. 2014;16:1828-37. </w:t>
      </w:r>
    </w:p>
    <w:p w14:paraId="1BD1867D"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Fukuyama M, Ohno S, Wang Q, Kimura H, Makiyama T, Itoh H, Ito M, Horie M.L-type calcium channel mutations in Japanese patients with inherited arrhythmias. Circ J. 2013;77:1799-806. </w:t>
      </w:r>
    </w:p>
    <w:p w14:paraId="50213CE1"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Papineau SD, Wilson S. Dentition abnormalities in a Timothy syndrome patient with a novel genetic mutation: a case report. Pediatr Dent. 2014;36245-9</w:t>
      </w:r>
    </w:p>
    <w:p w14:paraId="26296AEB"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Béziau DM, Barc J, O'Hara T, Le Gloan L, Amarouch MY, Solnon A, Pavin D, Lecointe S, Bouillet P, Gourraud JB, Guicheney P, Denjoy I, Redon R, Mabo P, le Marec H, Loussouarn G, Kyndt F, Schott JJ, Probst V, Baró I. Complex Brugada syndrome inheritance in a family harbouring compound SCN5A and CACNA1C mutations. Basic Res Cardiol. 2014;109:446. </w:t>
      </w:r>
    </w:p>
    <w:p w14:paraId="1DF7716B"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Gillis J, Elena Burashnikov, Charles Antzelevitch, Susan Blaser, Gil Gross, Lesley Turner, Riyana Babul-Hirji, David Chitayat. Long QT, Syndactyly, Joint Contractures, Stroke and Novel CACNA1C Mutation: Expanding the Spectrum of Timothy Syndrome. Am J Med Genet A. 2012;158A:182-7</w:t>
      </w:r>
    </w:p>
    <w:p w14:paraId="38C6EA9E"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Boczek NJ, Ye D, Jin F, Tester DJ, Huseby A, Bos M, Johnson AJ, Kanter R, Ackerman MJ. Identification and Functional Characterization of a Novel CACNA1C-Mediated Cardiac Disorder Characterized by Prolonged QT Intervals with Hypertrophic </w:t>
      </w:r>
      <w:r w:rsidRPr="00673C07">
        <w:rPr>
          <w:rFonts w:ascii="Times New Roman" w:hAnsi="Times New Roman" w:cs="Times New Roman"/>
          <w:sz w:val="24"/>
          <w:szCs w:val="24"/>
          <w:lang w:val="en-GB"/>
        </w:rPr>
        <w:lastRenderedPageBreak/>
        <w:t>Cardiomyopathy, Congenital Heart Defects, and Sudden Cardiac Death.  Circ Arrhythm Electrophysiol. 2015; 8: 1122–1132</w:t>
      </w:r>
    </w:p>
    <w:p w14:paraId="42237395"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US"/>
        </w:rPr>
        <w:t xml:space="preserve">Allegue C, Coll M, Mates J, Campuzano O, Iglesias A, Sobrino B, Brion M, Amigo J, Carracedo A, Brugada P, Brugada J, Brugada R. </w:t>
      </w:r>
      <w:r w:rsidRPr="00673C07">
        <w:rPr>
          <w:rFonts w:ascii="Times New Roman" w:hAnsi="Times New Roman" w:cs="Times New Roman"/>
          <w:sz w:val="24"/>
          <w:szCs w:val="24"/>
          <w:lang w:val="en-GB"/>
        </w:rPr>
        <w:t>Genetic Analysis of Arrhythmogenic Diseases in the Era of NGS: The Complexity of Clinical Decision-Making in Brugada Syndrome. PLoS One. 2015;10</w:t>
      </w:r>
    </w:p>
    <w:p w14:paraId="65160035"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Jacobs A1, Knight BP, McDonald KT, Burke MC. Verapamil decreases ventricular tachyarrhythmias in a patient with Timothy syndrome (LQT8). Heart Rhythm. 2006;3:967-70</w:t>
      </w:r>
    </w:p>
    <w:p w14:paraId="1812CC5F"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US"/>
        </w:rPr>
        <w:t xml:space="preserve">Fröhler S, Kieslich M, Langnick C, Feldkamp M, Opgen-Rhein B, Berger F, Will JC, Chen W. Exome sequencing helped the fine diagnosis of two siblings afflicted with atypical Timothy syndrome (TS2). BMC Med Genet. 2014;15:48. </w:t>
      </w:r>
    </w:p>
    <w:p w14:paraId="24370732"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Gershon ES, Grennan K, Busnello J, Badner JA, Ovsiew F, Memon S, Alliey-Rodriguez N, Cooper J, Romanos B, Liu C. A rare mutation of CACNA1C in a patient with bipolar disorder, and decreased gene expression associated with a bipolar-associated common SNP of CACNA1C in brain. Mol Psychiatry. 2014;19:890-4. </w:t>
      </w:r>
    </w:p>
    <w:p w14:paraId="6E1BC2DB"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Diep V, Seaver LH2. Long QT syndrome with craniofacial, digital, and neurologic features: Is it useful to distinguish between Timothy syndrome types 1 and 2? Am J Med Genet A. 2015;167A:2780-5.</w:t>
      </w:r>
    </w:p>
    <w:p w14:paraId="3A0F4684"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lastRenderedPageBreak/>
        <w:t>Hiippala A1, Tallila J, Myllykangas S, Koskenvuo JW, Alastalo TP. Expanding the phenotype of Timothy syndrome type 2: an adolescent with ventricular fibrillation but normal development. Am J Med Genet A. 2015;167A:629-34</w:t>
      </w:r>
    </w:p>
    <w:p w14:paraId="771112A3"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Splawski I, Timothy KW, Decher N, Kumar P, Sachse FB, Beggs AH, Sanguinetti MC, Keating MT. Severe arrhythmia disorder caused by cardiac L-type calcium channel mutations. Proc Natl Acad Sci U S A. 2005;102:8089-96.</w:t>
      </w:r>
    </w:p>
    <w:p w14:paraId="6504EB80"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nl-NL"/>
        </w:rPr>
        <w:t xml:space="preserve">Lo-A-Njoe SM, Wilde AA, van Erven L, Blom NA. </w:t>
      </w:r>
      <w:r w:rsidRPr="00673C07">
        <w:rPr>
          <w:rFonts w:ascii="Times New Roman" w:hAnsi="Times New Roman" w:cs="Times New Roman"/>
          <w:sz w:val="24"/>
          <w:szCs w:val="24"/>
          <w:lang w:val="en-GB"/>
        </w:rPr>
        <w:t>Syndactyly and long QT syndrome (CaV1.2 missense mutation G406R) is associated with hypertrophic cardiomyopathy. Heart Rhythm. 2005</w:t>
      </w:r>
      <w:r w:rsidRPr="00673C07">
        <w:rPr>
          <w:rFonts w:ascii="Times New Roman" w:hAnsi="Times New Roman" w:cs="Times New Roman"/>
          <w:color w:val="000000"/>
          <w:sz w:val="24"/>
          <w:szCs w:val="24"/>
          <w:shd w:val="clear" w:color="auto" w:fill="FFFFFF"/>
        </w:rPr>
        <w:t>;</w:t>
      </w:r>
      <w:r w:rsidRPr="00673C07">
        <w:rPr>
          <w:rStyle w:val="highlight"/>
          <w:rFonts w:ascii="Times New Roman" w:hAnsi="Times New Roman" w:cs="Times New Roman"/>
          <w:color w:val="000000"/>
          <w:sz w:val="24"/>
          <w:szCs w:val="24"/>
          <w:shd w:val="clear" w:color="auto" w:fill="FFFFFF"/>
        </w:rPr>
        <w:t>2</w:t>
      </w:r>
      <w:r w:rsidRPr="00673C07">
        <w:rPr>
          <w:rFonts w:ascii="Times New Roman" w:hAnsi="Times New Roman" w:cs="Times New Roman"/>
          <w:color w:val="000000"/>
          <w:sz w:val="24"/>
          <w:szCs w:val="24"/>
          <w:shd w:val="clear" w:color="auto" w:fill="FFFFFF"/>
        </w:rPr>
        <w:t>:1365-8.</w:t>
      </w:r>
    </w:p>
    <w:p w14:paraId="08CB8A1C"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US"/>
        </w:rPr>
        <w:t xml:space="preserve">Krause U, Gravenhorst V, Kriebel T, Ruschewski W, Paul T. A rare association of long QT syndrome and syndactyly: Timothy syndrome (LQT 8). Clin Res Cardiol. 2011;100:1123-7. </w:t>
      </w:r>
    </w:p>
    <w:p w14:paraId="037E0A46"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Etheridge SP, Bowles NE, Arrington CB, Pilcher T, Rope A, Wilde AA, Alders M, Saarel EV, Tavernier R, Timothy KW, Tristani-Firouzi M. Somatic mosaicism contributes to phenotypic variation in Timothy syndrome. Am J Med Genet A. 2011; </w:t>
      </w:r>
      <w:r w:rsidRPr="00673C07">
        <w:rPr>
          <w:rFonts w:ascii="Times New Roman" w:hAnsi="Times New Roman" w:cs="Times New Roman"/>
          <w:color w:val="000000"/>
          <w:sz w:val="24"/>
          <w:szCs w:val="24"/>
          <w:shd w:val="clear" w:color="auto" w:fill="FFFFFF"/>
        </w:rPr>
        <w:t>155A:2578-83</w:t>
      </w:r>
      <w:r w:rsidRPr="00673C07">
        <w:rPr>
          <w:rFonts w:ascii="Times New Roman" w:hAnsi="Times New Roman" w:cs="Times New Roman"/>
          <w:sz w:val="24"/>
          <w:szCs w:val="24"/>
          <w:lang w:val="en-GB"/>
        </w:rPr>
        <w:t>.</w:t>
      </w:r>
    </w:p>
    <w:p w14:paraId="155CD874"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US"/>
        </w:rPr>
        <w:t>An HS, Choi EY, Kwon BS, Kim GB, Bae EJ, Noh CI, Choi JY, Park SS. Sudden cardiac arrest during anesthesia in a 30-month-old boy with syndactyly: a case of genetically proven Timothy syndrome. J Korean Med Sci. 2013</w:t>
      </w:r>
      <w:r w:rsidRPr="00673C07">
        <w:rPr>
          <w:rFonts w:ascii="Times New Roman" w:hAnsi="Times New Roman" w:cs="Times New Roman"/>
          <w:color w:val="000000"/>
          <w:sz w:val="24"/>
          <w:szCs w:val="24"/>
          <w:shd w:val="clear" w:color="auto" w:fill="FFFFFF"/>
          <w:lang w:val="en-US"/>
        </w:rPr>
        <w:t>;28:788-91. </w:t>
      </w:r>
    </w:p>
    <w:p w14:paraId="25E89663"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rPr>
        <w:lastRenderedPageBreak/>
        <w:t xml:space="preserve">Dufendach KA, Giudicessi JR, Boczek NJ, Ackerman MJ. </w:t>
      </w:r>
      <w:r w:rsidRPr="00673C07">
        <w:rPr>
          <w:rFonts w:ascii="Times New Roman" w:hAnsi="Times New Roman" w:cs="Times New Roman"/>
          <w:sz w:val="24"/>
          <w:szCs w:val="24"/>
          <w:lang w:val="en-GB"/>
        </w:rPr>
        <w:t xml:space="preserve">Mayo Clinic, Rochester, MN 55905, USA. Maternal mosaicism confounds the neonatal diagnosis of type 1 Timothy syndrome. Pediatrics. 2013;131:e1991-5. </w:t>
      </w:r>
    </w:p>
    <w:p w14:paraId="66DE08F0"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US"/>
        </w:rPr>
      </w:pPr>
      <w:r w:rsidRPr="00673C07">
        <w:rPr>
          <w:rFonts w:ascii="Times New Roman" w:hAnsi="Times New Roman" w:cs="Times New Roman"/>
          <w:sz w:val="24"/>
          <w:szCs w:val="24"/>
          <w:lang w:val="en-GB"/>
        </w:rPr>
        <w:t xml:space="preserve">Gao Y, Xue X, Hu D, Liu W, Yuan Y, Sun H, Li L, Timothy KW, Zhang L, Li C, Yan GX. Inhibition of late sodium current by mexiletine: a novel pharmotherapeutical approach in Timothy Syndrome. </w:t>
      </w:r>
      <w:r w:rsidRPr="00673C07">
        <w:rPr>
          <w:rFonts w:ascii="Times New Roman" w:hAnsi="Times New Roman" w:cs="Times New Roman"/>
          <w:sz w:val="24"/>
          <w:szCs w:val="24"/>
          <w:lang w:val="en-US"/>
        </w:rPr>
        <w:t>Circ Arrhythm Electrophysiol. 2013;6:614-22</w:t>
      </w:r>
    </w:p>
    <w:p w14:paraId="6F09C922"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rPr>
        <w:t xml:space="preserve">Corona-Rivera JR, Barrios-Prieto E, Nieto-García R, Bloise R, Priori S, Napolitano C, Bobadilla-Morales L, Corona-Rivera A, Zapata-Aldana E, Peña-Padilla C, Rivera-Vargas J, Chavana-Naranjo E. Unusual retrospective prenatal findings in a male newborn with Timothy syndrome type 1. </w:t>
      </w:r>
      <w:r w:rsidRPr="00673C07">
        <w:rPr>
          <w:rFonts w:ascii="Times New Roman" w:hAnsi="Times New Roman" w:cs="Times New Roman"/>
          <w:sz w:val="24"/>
          <w:szCs w:val="24"/>
          <w:lang w:val="en-GB"/>
        </w:rPr>
        <w:t xml:space="preserve">Eur J Med Genet. 2015;58:332-5. </w:t>
      </w:r>
    </w:p>
    <w:p w14:paraId="65761768"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Ergül Y, Özyılmaz İ, Haydın S, Güzeltaş A, Tuzcu V. A rare association with suffered cardiac arrest, long QT interval, and syndactyly: Timothy syndrome (LQT-8). Anatol J Cardiol. 2015;15:672-4.</w:t>
      </w:r>
    </w:p>
    <w:p w14:paraId="7E6CECEF"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Landstrom AP, Boczek NJ, Ye D, Miyake CY, De la Uz CM, Allen HD, Ackerman MJ, Kim JJ. Novel long QT syndrome-associated missense mutation, L762F, in CACNA1C-encoded L-type calcium channel imparts a slower inactivation tau and increased sustained and window current. Int J Cardiol. 2016;220:290-8. </w:t>
      </w:r>
    </w:p>
    <w:p w14:paraId="33CA8C34"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Philipp LR, Rodriguez FH 3rd. Cardiac arrest refractory to standard intervention in atypical Timothy syndrome (LQT8 type 2). Proc (Bayl Univ Med Cent). 2016;29:160-2.</w:t>
      </w:r>
    </w:p>
    <w:p w14:paraId="7C7178A2"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US"/>
        </w:rPr>
        <w:lastRenderedPageBreak/>
        <w:t xml:space="preserve">Kawaida M, Abe T, Nakanishi T, Miyahara Y, Yamagishi H, Sakamoto M, Yamada T. A case of Timothy syndrome with adrenal medullary dystrophy. Pathol Int. 2016;66:587-592. </w:t>
      </w:r>
    </w:p>
    <w:p w14:paraId="282DE593"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Baurand A, Falcon-Eicher S, Laurent G, Villain E, Bonnet C, Thauvin-Robinet C, Jacquot C, Eicher JC, Gourraud JB, Schmitt S, Bézieau S, Giraud M, Dumont S, Kuentz P, Probst V, Burguet A, Kyndt F, Faivre L. Incomplete Timothy syndrome secondary to a mosaic mutation of the CACNA1C gene diagnosed using next-generation sequencing. Am J Med Genet A. 2017;173:531-536. </w:t>
      </w:r>
    </w:p>
    <w:p w14:paraId="03CD02A9"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Sepp R, Hategan L, Bácsi A, Cseklye J, Környei L, Borbás J, Széll M, Forster T, Nagy I, Hegedűs Z. Timothy syndrome 1 genotype without syndactyly and major extracardiac manifestations. J Med Genet A. 2017;173:784-789. </w:t>
      </w:r>
    </w:p>
    <w:p w14:paraId="6AEBC118"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Walsh MA, Turner C, Timothy KW, Seller N, Hares DL, James AF, Hancox JC, Uzun O, Boyce D, Stuart AG, Brennan P, Sarton C, McGuire K, Newbury-Ecob RA, Mcleod K. A multicentre study of patients with Timothy syndrome. Europace. 2018;20:377-385.</w:t>
      </w:r>
    </w:p>
    <w:p w14:paraId="715B9C4B"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D'Argenio V, Frisso G, Precone V, Boccia A, Fienga A, Pacileo G, Limongelli G, Paolella G, Calabrò R, Salvatore F. DNA sequence capture and next-generation sequencing for the molecular diagnosis of genetic cardiomyopathies. </w:t>
      </w:r>
      <w:r w:rsidRPr="00673C07">
        <w:rPr>
          <w:rFonts w:ascii="Times New Roman" w:hAnsi="Times New Roman" w:cs="Times New Roman"/>
          <w:sz w:val="24"/>
          <w:szCs w:val="24"/>
          <w:lang w:val="en-US"/>
        </w:rPr>
        <w:t xml:space="preserve">J Mol Diagn. 2014;16:32-44. </w:t>
      </w:r>
    </w:p>
    <w:p w14:paraId="6287DCB5"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US"/>
        </w:rPr>
        <w:lastRenderedPageBreak/>
        <w:t>Boczek NJ, Best JM, Tester DJ, Giudicessi JR, Middha S, Evans JM, Kamp TJ, Ackerman MJ. Exome sequencing and systems biol</w:t>
      </w:r>
      <w:r w:rsidRPr="00673C07">
        <w:rPr>
          <w:rFonts w:ascii="Times New Roman" w:hAnsi="Times New Roman" w:cs="Times New Roman"/>
          <w:sz w:val="24"/>
          <w:szCs w:val="24"/>
          <w:lang w:val="en-GB"/>
        </w:rPr>
        <w:t>ogy converge to identify novel mutations in the L-type calcium channel, CACNA1C, linked to autosomal dominant long QT syndrome. Circ Cardiovasc Genet. 2013;6:279-89.</w:t>
      </w:r>
    </w:p>
    <w:p w14:paraId="112B0883"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Sutphin BS, Boczek NJ, Barajas-Martínez H, Hu D, Ye D, Tester DJ, Antzelevitch C, Ackerman MJ0 .Molecular and Functional Characterization of Rare CACNA1C Variants in Sudden Unexplained Death in the Young.Congenit Heart Dis. 2016;11:683-692.</w:t>
      </w:r>
    </w:p>
    <w:p w14:paraId="3AF24DA0"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Zhang T, Moss A, Cong P, Pan M, Chang B, Zheng L, Fang Q, Zareba W, Robinson J, Lin C, Li Z, Wei J, Zeng Q; Long QT International Registry Investigators; HVP-China Investigators, Qi M. James D. LQTS gene LOVD database. Hum Mutat. 2010</w:t>
      </w:r>
      <w:r w:rsidRPr="00673C07">
        <w:rPr>
          <w:rFonts w:ascii="Times New Roman" w:hAnsi="Times New Roman" w:cs="Times New Roman"/>
          <w:color w:val="000000"/>
          <w:sz w:val="24"/>
          <w:szCs w:val="24"/>
          <w:shd w:val="clear" w:color="auto" w:fill="FFFFFF"/>
        </w:rPr>
        <w:t>;31:E1801-10</w:t>
      </w:r>
    </w:p>
    <w:p w14:paraId="7C98CA43"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Hennessey JA, Boczek NJ, Jiang YH, Miller JD, Patrick W, Pfeiffer R, Sutphin BS, Tester DJ, Barajas-Martinez H, Ackerman MJ, Antzelevitch C, Kanter R, Pitt GS. A CACNA1C variant associated with reduced voltage-dependent inactivation, increased CaV1.2 channel window current, and arrhythmogenesis. PLoS One. 2014;9:e106982. </w:t>
      </w:r>
    </w:p>
    <w:p w14:paraId="0C947610"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Chen Y, Barajas-Martinez H, Zhu D, Wang X, Chen C, Zhuang R, Shi J, Wu X, Tao Y, Jin W, Wang X, Hu D. Novel trigenic CACNA1C/DES/MYPN mutations in a family of hypertrophic cardiomyopathy with early repolarization and short QT syndrome. J Transl Med. 2017;15:78</w:t>
      </w:r>
    </w:p>
    <w:p w14:paraId="3681F1E5"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lastRenderedPageBreak/>
        <w:t>Bazett HC. An Analysis of the Time-Relations of Electrocardiograms, Heart, 1920, pp. 353-370.</w:t>
      </w:r>
    </w:p>
    <w:p w14:paraId="3229ACDE"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Marks ML, Trippel DL, Keating MT. Long QT syndrome associated with syndactyly identified in females. Am J Cardiol. 1995</w:t>
      </w:r>
      <w:r w:rsidRPr="00673C07">
        <w:rPr>
          <w:rFonts w:ascii="Times New Roman" w:hAnsi="Times New Roman" w:cs="Times New Roman"/>
          <w:color w:val="000000"/>
          <w:sz w:val="24"/>
          <w:szCs w:val="24"/>
          <w:shd w:val="clear" w:color="auto" w:fill="FFFFFF"/>
          <w:lang w:val="en-US"/>
        </w:rPr>
        <w:t>;76:744-5.</w:t>
      </w:r>
    </w:p>
    <w:p w14:paraId="03D98FDA"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Yates D, Yates A, Collyer T. A life-threatening complication of the arterial tourniquet in Timothy syndrome. Pediatric Anesthesia 2007;17:492-5</w:t>
      </w:r>
    </w:p>
    <w:p w14:paraId="4C705172"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Nathan AT, Antzelevitch C, Montenegro LM, Vetter VL. Case scenario: anesthesia-related cardiac arrest in a child with Timothy syndrome. Anesthesiology. 2012;</w:t>
      </w:r>
      <w:r w:rsidRPr="00673C07">
        <w:rPr>
          <w:rFonts w:ascii="Times New Roman" w:hAnsi="Times New Roman" w:cs="Times New Roman"/>
          <w:color w:val="000000"/>
          <w:sz w:val="24"/>
          <w:szCs w:val="24"/>
          <w:shd w:val="clear" w:color="auto" w:fill="FFFFFF"/>
        </w:rPr>
        <w:t>117:1117-26</w:t>
      </w:r>
      <w:r w:rsidRPr="00673C07">
        <w:rPr>
          <w:rFonts w:ascii="Times New Roman" w:hAnsi="Times New Roman" w:cs="Times New Roman"/>
          <w:sz w:val="24"/>
          <w:szCs w:val="24"/>
          <w:lang w:val="en-GB"/>
        </w:rPr>
        <w:t>.</w:t>
      </w:r>
    </w:p>
    <w:p w14:paraId="0BF1658C"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Lee YS, Kwon BS, Kim GB, Oh SI, Bae EJ, Park SS, Noh CI. Long QT syndrome: a Korean single center study. J Korean Med Sci. 2013;28:1454-60. </w:t>
      </w:r>
    </w:p>
    <w:p w14:paraId="46D16B40"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Shu J1, Li Y, Ju R, Yan GX. Two types of T wave alternans in long-QT syndrome. J Cardiovasc Electrophysiol. 2014;25:910-2. </w:t>
      </w:r>
    </w:p>
    <w:p w14:paraId="6B0C4359"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Walsh MA, Turner C, Timothy KW, Seller N, Hares Dl, James AF, Hancox JC, Uzun O, Boyce D, Stuart AG, Brennan P, Sarton C, McGuire K, Newbury-Ecob RA, Mcleod K. A multicentre study of patients with Timothy syndrome. Europace. 2018;20:377-385.</w:t>
      </w:r>
    </w:p>
    <w:p w14:paraId="5080AA03"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t xml:space="preserve">Canpolat U, Coteli C, Aytemir K. Brugada syndrome and calcium channel mutation in a patient with congenital deaf mutism. Indian Pacing Electrophysiol J. 2017;17:16-17. </w:t>
      </w:r>
    </w:p>
    <w:p w14:paraId="73071884" w14:textId="77777777" w:rsidR="00DA3746" w:rsidRPr="00673C07" w:rsidRDefault="00DA3746" w:rsidP="00673C07">
      <w:pPr>
        <w:pStyle w:val="Paragrafoelenco"/>
        <w:numPr>
          <w:ilvl w:val="0"/>
          <w:numId w:val="33"/>
        </w:numPr>
        <w:spacing w:line="600" w:lineRule="auto"/>
        <w:jc w:val="both"/>
        <w:rPr>
          <w:rFonts w:ascii="Times New Roman" w:hAnsi="Times New Roman" w:cs="Times New Roman"/>
          <w:sz w:val="24"/>
          <w:szCs w:val="24"/>
          <w:lang w:val="en-GB"/>
        </w:rPr>
      </w:pPr>
      <w:r w:rsidRPr="00673C07">
        <w:rPr>
          <w:rFonts w:ascii="Times New Roman" w:hAnsi="Times New Roman" w:cs="Times New Roman"/>
          <w:sz w:val="24"/>
          <w:szCs w:val="24"/>
          <w:lang w:val="en-GB"/>
        </w:rPr>
        <w:lastRenderedPageBreak/>
        <w:t xml:space="preserve">Rooryck C, Stef M, Burgelin I, Simon D, Souakri N, Thambo JB, Chateil JF, Lacombe D, Arveiler B. 2.3 Mb terminal deletion in 12p13.33 associated with oculoauriculovertebral spectrum and evaluation of WNT5B as a candidate gene. Eur J Med Genet. 2009;52:446-9. </w:t>
      </w:r>
    </w:p>
    <w:p w14:paraId="72448194" w14:textId="77777777" w:rsidR="00787D5E" w:rsidRPr="00673C07" w:rsidRDefault="00787D5E" w:rsidP="00673C07">
      <w:pPr>
        <w:spacing w:line="600" w:lineRule="auto"/>
        <w:jc w:val="both"/>
        <w:rPr>
          <w:rFonts w:ascii="Times New Roman" w:hAnsi="Times New Roman" w:cs="Times New Roman"/>
          <w:sz w:val="24"/>
          <w:szCs w:val="24"/>
          <w:lang w:val="en-GB"/>
        </w:rPr>
      </w:pPr>
    </w:p>
    <w:p w14:paraId="492BEDE5" w14:textId="77777777" w:rsidR="00787D5E" w:rsidRPr="00673C07" w:rsidRDefault="00787D5E" w:rsidP="00673C07">
      <w:pPr>
        <w:spacing w:line="600" w:lineRule="auto"/>
        <w:jc w:val="both"/>
        <w:rPr>
          <w:rFonts w:ascii="Times New Roman" w:hAnsi="Times New Roman" w:cs="Times New Roman"/>
          <w:sz w:val="24"/>
          <w:szCs w:val="24"/>
          <w:lang w:val="en-GB"/>
        </w:rPr>
      </w:pPr>
    </w:p>
    <w:p w14:paraId="35525005" w14:textId="77777777" w:rsidR="00CD39CB" w:rsidRPr="00673C07" w:rsidRDefault="00CD39CB" w:rsidP="00673C07">
      <w:pPr>
        <w:spacing w:line="600" w:lineRule="auto"/>
        <w:jc w:val="both"/>
        <w:rPr>
          <w:rFonts w:ascii="Times New Roman" w:hAnsi="Times New Roman" w:cs="Times New Roman"/>
          <w:sz w:val="24"/>
          <w:szCs w:val="24"/>
          <w:lang w:val="en-GB"/>
        </w:rPr>
      </w:pPr>
    </w:p>
    <w:sectPr w:rsidR="00CD39CB" w:rsidRPr="00673C07" w:rsidSect="00F318E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6305CB" w14:textId="77777777" w:rsidR="0042095A" w:rsidRDefault="0042095A" w:rsidP="00F318E8">
      <w:pPr>
        <w:spacing w:after="0" w:line="240" w:lineRule="auto"/>
      </w:pPr>
      <w:r>
        <w:separator/>
      </w:r>
    </w:p>
  </w:endnote>
  <w:endnote w:type="continuationSeparator" w:id="0">
    <w:p w14:paraId="213059AF" w14:textId="77777777" w:rsidR="0042095A" w:rsidRDefault="0042095A" w:rsidP="00F318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280DBD" w14:textId="77777777" w:rsidR="0042095A" w:rsidRDefault="0042095A" w:rsidP="00F318E8">
      <w:pPr>
        <w:spacing w:after="0" w:line="240" w:lineRule="auto"/>
      </w:pPr>
      <w:r>
        <w:separator/>
      </w:r>
    </w:p>
  </w:footnote>
  <w:footnote w:type="continuationSeparator" w:id="0">
    <w:p w14:paraId="6FE694C6" w14:textId="77777777" w:rsidR="0042095A" w:rsidRDefault="0042095A" w:rsidP="00F318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53C67"/>
    <w:multiLevelType w:val="hybridMultilevel"/>
    <w:tmpl w:val="71A4146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0CA65D3"/>
    <w:multiLevelType w:val="hybridMultilevel"/>
    <w:tmpl w:val="0C381742"/>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 w15:restartNumberingAfterBreak="0">
    <w:nsid w:val="027B58D3"/>
    <w:multiLevelType w:val="hybridMultilevel"/>
    <w:tmpl w:val="5DE8FA40"/>
    <w:lvl w:ilvl="0" w:tplc="0074C4B8">
      <w:start w:val="24"/>
      <w:numFmt w:val="decimal"/>
      <w:lvlText w:val="%1."/>
      <w:lvlJc w:val="left"/>
      <w:pPr>
        <w:ind w:left="720" w:hanging="360"/>
      </w:pPr>
      <w:rPr>
        <w:rFonts w:cstheme="minorBid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C915697"/>
    <w:multiLevelType w:val="hybridMultilevel"/>
    <w:tmpl w:val="36C2046C"/>
    <w:lvl w:ilvl="0" w:tplc="8A9AB42C">
      <w:start w:val="5"/>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79A2336"/>
    <w:multiLevelType w:val="multilevel"/>
    <w:tmpl w:val="E9AE5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AC3276"/>
    <w:multiLevelType w:val="multilevel"/>
    <w:tmpl w:val="2C8C5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1201BD"/>
    <w:multiLevelType w:val="hybridMultilevel"/>
    <w:tmpl w:val="225EE730"/>
    <w:lvl w:ilvl="0" w:tplc="F698EBEA">
      <w:start w:val="3"/>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D724824"/>
    <w:multiLevelType w:val="hybridMultilevel"/>
    <w:tmpl w:val="0B32B9A0"/>
    <w:lvl w:ilvl="0" w:tplc="31B6A40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E5A1228"/>
    <w:multiLevelType w:val="hybridMultilevel"/>
    <w:tmpl w:val="07E8C2F4"/>
    <w:lvl w:ilvl="0" w:tplc="3856BDCE">
      <w:start w:val="26"/>
      <w:numFmt w:val="decimal"/>
      <w:lvlText w:val="%1."/>
      <w:lvlJc w:val="left"/>
      <w:pPr>
        <w:ind w:left="720" w:hanging="360"/>
      </w:pPr>
      <w:rPr>
        <w:rFonts w:cstheme="minorBid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EBE2514"/>
    <w:multiLevelType w:val="hybridMultilevel"/>
    <w:tmpl w:val="33780D98"/>
    <w:lvl w:ilvl="0" w:tplc="8A9AB42C">
      <w:start w:val="5"/>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85B6E6F"/>
    <w:multiLevelType w:val="hybridMultilevel"/>
    <w:tmpl w:val="06AAEA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B0E6D0A"/>
    <w:multiLevelType w:val="hybridMultilevel"/>
    <w:tmpl w:val="B9F0A650"/>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CB024A9"/>
    <w:multiLevelType w:val="hybridMultilevel"/>
    <w:tmpl w:val="3202E78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D955D7C"/>
    <w:multiLevelType w:val="hybridMultilevel"/>
    <w:tmpl w:val="06AAEA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3300793"/>
    <w:multiLevelType w:val="hybridMultilevel"/>
    <w:tmpl w:val="71A4146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38A2625E"/>
    <w:multiLevelType w:val="hybridMultilevel"/>
    <w:tmpl w:val="9788CCD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15:restartNumberingAfterBreak="0">
    <w:nsid w:val="3B420114"/>
    <w:multiLevelType w:val="hybridMultilevel"/>
    <w:tmpl w:val="3202E78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76D5DE0"/>
    <w:multiLevelType w:val="hybridMultilevel"/>
    <w:tmpl w:val="4594CD2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AF14601"/>
    <w:multiLevelType w:val="hybridMultilevel"/>
    <w:tmpl w:val="01B86F3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F4004CA"/>
    <w:multiLevelType w:val="hybridMultilevel"/>
    <w:tmpl w:val="7132F29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5058137F"/>
    <w:multiLevelType w:val="hybridMultilevel"/>
    <w:tmpl w:val="71A4146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1277D09"/>
    <w:multiLevelType w:val="hybridMultilevel"/>
    <w:tmpl w:val="06AAEA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98D5018"/>
    <w:multiLevelType w:val="hybridMultilevel"/>
    <w:tmpl w:val="48E2691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5D815F65"/>
    <w:multiLevelType w:val="hybridMultilevel"/>
    <w:tmpl w:val="3026A93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51111C7"/>
    <w:multiLevelType w:val="hybridMultilevel"/>
    <w:tmpl w:val="06AAEA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5286E26"/>
    <w:multiLevelType w:val="hybridMultilevel"/>
    <w:tmpl w:val="92EAC7B2"/>
    <w:lvl w:ilvl="0" w:tplc="8A9AB42C">
      <w:start w:val="5"/>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6B736AF4"/>
    <w:multiLevelType w:val="multilevel"/>
    <w:tmpl w:val="2C8C5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0B354B"/>
    <w:multiLevelType w:val="hybridMultilevel"/>
    <w:tmpl w:val="9AC4FD4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70FD7491"/>
    <w:multiLevelType w:val="hybridMultilevel"/>
    <w:tmpl w:val="73FAA2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72336843"/>
    <w:multiLevelType w:val="hybridMultilevel"/>
    <w:tmpl w:val="2C46C168"/>
    <w:lvl w:ilvl="0" w:tplc="8A9AB42C">
      <w:start w:val="5"/>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72A45F84"/>
    <w:multiLevelType w:val="hybridMultilevel"/>
    <w:tmpl w:val="E7C27F7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74801321"/>
    <w:multiLevelType w:val="hybridMultilevel"/>
    <w:tmpl w:val="3C04C3B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769D4639"/>
    <w:multiLevelType w:val="hybridMultilevel"/>
    <w:tmpl w:val="94CAB530"/>
    <w:lvl w:ilvl="0" w:tplc="0410000F">
      <w:start w:val="1"/>
      <w:numFmt w:val="decimal"/>
      <w:lvlText w:val="%1."/>
      <w:lvlJc w:val="left"/>
      <w:pPr>
        <w:ind w:left="720" w:hanging="360"/>
      </w:pPr>
      <w:rPr>
        <w:rFont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82629F4"/>
    <w:multiLevelType w:val="hybridMultilevel"/>
    <w:tmpl w:val="D6A06C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8FF2875"/>
    <w:multiLevelType w:val="hybridMultilevel"/>
    <w:tmpl w:val="07E8C2F4"/>
    <w:lvl w:ilvl="0" w:tplc="3856BDCE">
      <w:start w:val="26"/>
      <w:numFmt w:val="decimal"/>
      <w:lvlText w:val="%1."/>
      <w:lvlJc w:val="left"/>
      <w:pPr>
        <w:ind w:left="720" w:hanging="360"/>
      </w:pPr>
      <w:rPr>
        <w:rFonts w:cstheme="minorBid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3"/>
  </w:num>
  <w:num w:numId="2">
    <w:abstractNumId w:val="18"/>
  </w:num>
  <w:num w:numId="3">
    <w:abstractNumId w:val="28"/>
  </w:num>
  <w:num w:numId="4">
    <w:abstractNumId w:val="15"/>
  </w:num>
  <w:num w:numId="5">
    <w:abstractNumId w:val="1"/>
  </w:num>
  <w:num w:numId="6">
    <w:abstractNumId w:val="33"/>
  </w:num>
  <w:num w:numId="7">
    <w:abstractNumId w:val="17"/>
  </w:num>
  <w:num w:numId="8">
    <w:abstractNumId w:val="22"/>
  </w:num>
  <w:num w:numId="9">
    <w:abstractNumId w:val="32"/>
  </w:num>
  <w:num w:numId="10">
    <w:abstractNumId w:val="14"/>
  </w:num>
  <w:num w:numId="11">
    <w:abstractNumId w:val="20"/>
  </w:num>
  <w:num w:numId="12">
    <w:abstractNumId w:val="13"/>
  </w:num>
  <w:num w:numId="13">
    <w:abstractNumId w:val="10"/>
  </w:num>
  <w:num w:numId="14">
    <w:abstractNumId w:val="25"/>
  </w:num>
  <w:num w:numId="15">
    <w:abstractNumId w:val="29"/>
  </w:num>
  <w:num w:numId="16">
    <w:abstractNumId w:val="3"/>
  </w:num>
  <w:num w:numId="17">
    <w:abstractNumId w:val="7"/>
  </w:num>
  <w:num w:numId="18">
    <w:abstractNumId w:val="9"/>
  </w:num>
  <w:num w:numId="19">
    <w:abstractNumId w:val="31"/>
  </w:num>
  <w:num w:numId="20">
    <w:abstractNumId w:val="19"/>
  </w:num>
  <w:num w:numId="21">
    <w:abstractNumId w:val="0"/>
  </w:num>
  <w:num w:numId="22">
    <w:abstractNumId w:val="27"/>
  </w:num>
  <w:num w:numId="23">
    <w:abstractNumId w:val="12"/>
  </w:num>
  <w:num w:numId="24">
    <w:abstractNumId w:val="6"/>
  </w:num>
  <w:num w:numId="25">
    <w:abstractNumId w:val="2"/>
  </w:num>
  <w:num w:numId="26">
    <w:abstractNumId w:val="8"/>
  </w:num>
  <w:num w:numId="27">
    <w:abstractNumId w:val="16"/>
  </w:num>
  <w:num w:numId="28">
    <w:abstractNumId w:val="34"/>
  </w:num>
  <w:num w:numId="29">
    <w:abstractNumId w:val="11"/>
  </w:num>
  <w:num w:numId="30">
    <w:abstractNumId w:val="5"/>
  </w:num>
  <w:num w:numId="31">
    <w:abstractNumId w:val="4"/>
  </w:num>
  <w:num w:numId="32">
    <w:abstractNumId w:val="26"/>
  </w:num>
  <w:num w:numId="33">
    <w:abstractNumId w:val="30"/>
  </w:num>
  <w:num w:numId="34">
    <w:abstractNumId w:val="21"/>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CB2"/>
    <w:rsid w:val="00115B1A"/>
    <w:rsid w:val="001710DE"/>
    <w:rsid w:val="001A7E6D"/>
    <w:rsid w:val="0031095F"/>
    <w:rsid w:val="0042095A"/>
    <w:rsid w:val="004C1391"/>
    <w:rsid w:val="004F4047"/>
    <w:rsid w:val="005B6EF8"/>
    <w:rsid w:val="005D64FC"/>
    <w:rsid w:val="00631634"/>
    <w:rsid w:val="00673C07"/>
    <w:rsid w:val="006B079B"/>
    <w:rsid w:val="006D185C"/>
    <w:rsid w:val="00787D5E"/>
    <w:rsid w:val="008E525A"/>
    <w:rsid w:val="009C5E34"/>
    <w:rsid w:val="00A33EA0"/>
    <w:rsid w:val="00AF2248"/>
    <w:rsid w:val="00B20AD9"/>
    <w:rsid w:val="00CD1651"/>
    <w:rsid w:val="00CD39CB"/>
    <w:rsid w:val="00D35312"/>
    <w:rsid w:val="00D47B98"/>
    <w:rsid w:val="00D90963"/>
    <w:rsid w:val="00DA3746"/>
    <w:rsid w:val="00DD147F"/>
    <w:rsid w:val="00E935A4"/>
    <w:rsid w:val="00EE20AF"/>
    <w:rsid w:val="00EF1B4D"/>
    <w:rsid w:val="00F318E8"/>
    <w:rsid w:val="00FC2C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0DA9"/>
  <w15:chartTrackingRefBased/>
  <w15:docId w15:val="{901767FD-BF41-47DA-89E0-DE68621FF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C2CB2"/>
  </w:style>
  <w:style w:type="paragraph" w:styleId="Titolo1">
    <w:name w:val="heading 1"/>
    <w:basedOn w:val="Normale"/>
    <w:next w:val="Normale"/>
    <w:link w:val="Titolo1Carattere"/>
    <w:uiPriority w:val="9"/>
    <w:qFormat/>
    <w:rsid w:val="00FC2CB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semiHidden/>
    <w:unhideWhenUsed/>
    <w:qFormat/>
    <w:rsid w:val="00FC2CB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olo3">
    <w:name w:val="heading 3"/>
    <w:basedOn w:val="Normale"/>
    <w:next w:val="Normale"/>
    <w:link w:val="Titolo3Carattere"/>
    <w:uiPriority w:val="9"/>
    <w:unhideWhenUsed/>
    <w:qFormat/>
    <w:rsid w:val="00FC2CB2"/>
    <w:pPr>
      <w:keepNext/>
      <w:keepLines/>
      <w:spacing w:before="200" w:after="0"/>
      <w:outlineLvl w:val="2"/>
    </w:pPr>
    <w:rPr>
      <w:rFonts w:asciiTheme="majorHAnsi" w:eastAsiaTheme="majorEastAsia" w:hAnsiTheme="majorHAnsi" w:cstheme="majorBidi"/>
      <w:b/>
      <w:bCs/>
      <w:color w:val="4472C4"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C2CB2"/>
    <w:pPr>
      <w:ind w:left="720"/>
      <w:contextualSpacing/>
    </w:pPr>
  </w:style>
  <w:style w:type="character" w:customStyle="1" w:styleId="Titolo1Carattere">
    <w:name w:val="Titolo 1 Carattere"/>
    <w:basedOn w:val="Carpredefinitoparagrafo"/>
    <w:link w:val="Titolo1"/>
    <w:uiPriority w:val="9"/>
    <w:rsid w:val="00FC2CB2"/>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semiHidden/>
    <w:rsid w:val="00FC2CB2"/>
    <w:rPr>
      <w:rFonts w:asciiTheme="majorHAnsi" w:eastAsiaTheme="majorEastAsia" w:hAnsiTheme="majorHAnsi" w:cstheme="majorBidi"/>
      <w:b/>
      <w:bCs/>
      <w:color w:val="4472C4" w:themeColor="accent1"/>
      <w:sz w:val="26"/>
      <w:szCs w:val="26"/>
    </w:rPr>
  </w:style>
  <w:style w:type="character" w:customStyle="1" w:styleId="Titolo3Carattere">
    <w:name w:val="Titolo 3 Carattere"/>
    <w:basedOn w:val="Carpredefinitoparagrafo"/>
    <w:link w:val="Titolo3"/>
    <w:uiPriority w:val="9"/>
    <w:rsid w:val="00FC2CB2"/>
    <w:rPr>
      <w:rFonts w:asciiTheme="majorHAnsi" w:eastAsiaTheme="majorEastAsia" w:hAnsiTheme="majorHAnsi" w:cstheme="majorBidi"/>
      <w:b/>
      <w:bCs/>
      <w:color w:val="4472C4" w:themeColor="accent1"/>
    </w:rPr>
  </w:style>
  <w:style w:type="paragraph" w:styleId="Intestazione">
    <w:name w:val="header"/>
    <w:basedOn w:val="Normale"/>
    <w:link w:val="IntestazioneCarattere"/>
    <w:uiPriority w:val="99"/>
    <w:unhideWhenUsed/>
    <w:rsid w:val="00FC2CB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C2CB2"/>
  </w:style>
  <w:style w:type="paragraph" w:styleId="Pidipagina">
    <w:name w:val="footer"/>
    <w:basedOn w:val="Normale"/>
    <w:link w:val="PidipaginaCarattere"/>
    <w:uiPriority w:val="99"/>
    <w:unhideWhenUsed/>
    <w:rsid w:val="00FC2CB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C2CB2"/>
  </w:style>
  <w:style w:type="paragraph" w:customStyle="1" w:styleId="title1">
    <w:name w:val="title1"/>
    <w:basedOn w:val="Normale"/>
    <w:rsid w:val="00FC2CB2"/>
    <w:pPr>
      <w:spacing w:after="0" w:line="240" w:lineRule="auto"/>
    </w:pPr>
    <w:rPr>
      <w:rFonts w:ascii="Times New Roman" w:eastAsia="Times New Roman" w:hAnsi="Times New Roman" w:cs="Times New Roman"/>
      <w:sz w:val="27"/>
      <w:szCs w:val="27"/>
      <w:lang w:eastAsia="it-IT"/>
    </w:rPr>
  </w:style>
  <w:style w:type="paragraph" w:customStyle="1" w:styleId="desc2">
    <w:name w:val="desc2"/>
    <w:basedOn w:val="Normale"/>
    <w:rsid w:val="00FC2CB2"/>
    <w:pPr>
      <w:spacing w:after="0" w:line="240" w:lineRule="auto"/>
    </w:pPr>
    <w:rPr>
      <w:rFonts w:ascii="Times New Roman" w:eastAsia="Times New Roman" w:hAnsi="Times New Roman" w:cs="Times New Roman"/>
      <w:sz w:val="26"/>
      <w:szCs w:val="26"/>
      <w:lang w:eastAsia="it-IT"/>
    </w:rPr>
  </w:style>
  <w:style w:type="paragraph" w:customStyle="1" w:styleId="details1">
    <w:name w:val="details1"/>
    <w:basedOn w:val="Normale"/>
    <w:rsid w:val="00FC2CB2"/>
    <w:pPr>
      <w:spacing w:after="0" w:line="240" w:lineRule="auto"/>
    </w:pPr>
    <w:rPr>
      <w:rFonts w:ascii="Times New Roman" w:eastAsia="Times New Roman" w:hAnsi="Times New Roman" w:cs="Times New Roman"/>
      <w:lang w:eastAsia="it-IT"/>
    </w:rPr>
  </w:style>
  <w:style w:type="character" w:customStyle="1" w:styleId="jrnl">
    <w:name w:val="jrnl"/>
    <w:basedOn w:val="Carpredefinitoparagrafo"/>
    <w:rsid w:val="00FC2CB2"/>
  </w:style>
  <w:style w:type="character" w:styleId="Collegamentoipertestuale">
    <w:name w:val="Hyperlink"/>
    <w:basedOn w:val="Carpredefinitoparagrafo"/>
    <w:uiPriority w:val="99"/>
    <w:unhideWhenUsed/>
    <w:rsid w:val="00FC2CB2"/>
    <w:rPr>
      <w:color w:val="0000FF"/>
      <w:u w:val="single"/>
    </w:rPr>
  </w:style>
  <w:style w:type="character" w:customStyle="1" w:styleId="highlight">
    <w:name w:val="highlight"/>
    <w:basedOn w:val="Carpredefinitoparagrafo"/>
    <w:rsid w:val="00FC2CB2"/>
  </w:style>
  <w:style w:type="character" w:customStyle="1" w:styleId="apple-converted-space">
    <w:name w:val="apple-converted-space"/>
    <w:basedOn w:val="Carpredefinitoparagrafo"/>
    <w:rsid w:val="00FC2CB2"/>
  </w:style>
  <w:style w:type="character" w:customStyle="1" w:styleId="ui-ncbitoggler-master-text">
    <w:name w:val="ui-ncbitoggler-master-text"/>
    <w:basedOn w:val="Carpredefinitoparagrafo"/>
    <w:rsid w:val="00FC2CB2"/>
  </w:style>
  <w:style w:type="character" w:styleId="Collegamentovisitato">
    <w:name w:val="FollowedHyperlink"/>
    <w:basedOn w:val="Carpredefinitoparagrafo"/>
    <w:uiPriority w:val="99"/>
    <w:semiHidden/>
    <w:unhideWhenUsed/>
    <w:rsid w:val="00FC2CB2"/>
    <w:rPr>
      <w:color w:val="954F72" w:themeColor="followedHyperlink"/>
      <w:u w:val="single"/>
    </w:rPr>
  </w:style>
  <w:style w:type="paragraph" w:styleId="Nessunaspaziatura">
    <w:name w:val="No Spacing"/>
    <w:uiPriority w:val="1"/>
    <w:qFormat/>
    <w:rsid w:val="00FC2CB2"/>
    <w:pPr>
      <w:spacing w:after="0" w:line="240" w:lineRule="auto"/>
    </w:pPr>
  </w:style>
  <w:style w:type="paragraph" w:styleId="Testofumetto">
    <w:name w:val="Balloon Text"/>
    <w:basedOn w:val="Normale"/>
    <w:link w:val="TestofumettoCarattere"/>
    <w:uiPriority w:val="99"/>
    <w:semiHidden/>
    <w:unhideWhenUsed/>
    <w:rsid w:val="00FC2CB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C2CB2"/>
    <w:rPr>
      <w:rFonts w:ascii="Tahoma" w:hAnsi="Tahoma" w:cs="Tahoma"/>
      <w:sz w:val="16"/>
      <w:szCs w:val="16"/>
    </w:rPr>
  </w:style>
  <w:style w:type="character" w:styleId="Enfasicorsivo">
    <w:name w:val="Emphasis"/>
    <w:basedOn w:val="Carpredefinitoparagrafo"/>
    <w:uiPriority w:val="20"/>
    <w:qFormat/>
    <w:rsid w:val="00FC2CB2"/>
    <w:rPr>
      <w:i/>
      <w:iCs/>
    </w:rPr>
  </w:style>
  <w:style w:type="character" w:customStyle="1" w:styleId="cit">
    <w:name w:val="cit"/>
    <w:basedOn w:val="Carpredefinitoparagrafo"/>
    <w:rsid w:val="00FC2CB2"/>
  </w:style>
  <w:style w:type="table" w:styleId="Grigliatabella">
    <w:name w:val="Table Grid"/>
    <w:basedOn w:val="Tabellanormale"/>
    <w:uiPriority w:val="39"/>
    <w:rsid w:val="00FC2C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elenco1chiara1">
    <w:name w:val="Tabella elenco 1 chiara1"/>
    <w:basedOn w:val="Tabellanormale"/>
    <w:uiPriority w:val="46"/>
    <w:rsid w:val="00FC2CB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Rimandocommento">
    <w:name w:val="annotation reference"/>
    <w:basedOn w:val="Carpredefinitoparagrafo"/>
    <w:uiPriority w:val="99"/>
    <w:semiHidden/>
    <w:unhideWhenUsed/>
    <w:rsid w:val="00FC2CB2"/>
    <w:rPr>
      <w:sz w:val="16"/>
      <w:szCs w:val="16"/>
    </w:rPr>
  </w:style>
  <w:style w:type="paragraph" w:styleId="Testocommento">
    <w:name w:val="annotation text"/>
    <w:basedOn w:val="Normale"/>
    <w:link w:val="TestocommentoCarattere"/>
    <w:uiPriority w:val="99"/>
    <w:semiHidden/>
    <w:unhideWhenUsed/>
    <w:rsid w:val="00FC2CB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FC2CB2"/>
    <w:rPr>
      <w:sz w:val="20"/>
      <w:szCs w:val="20"/>
    </w:rPr>
  </w:style>
  <w:style w:type="paragraph" w:styleId="Soggettocommento">
    <w:name w:val="annotation subject"/>
    <w:basedOn w:val="Testocommento"/>
    <w:next w:val="Testocommento"/>
    <w:link w:val="SoggettocommentoCarattere"/>
    <w:uiPriority w:val="99"/>
    <w:semiHidden/>
    <w:unhideWhenUsed/>
    <w:rsid w:val="00FC2CB2"/>
    <w:rPr>
      <w:b/>
      <w:bCs/>
    </w:rPr>
  </w:style>
  <w:style w:type="character" w:customStyle="1" w:styleId="SoggettocommentoCarattere">
    <w:name w:val="Soggetto commento Carattere"/>
    <w:basedOn w:val="TestocommentoCarattere"/>
    <w:link w:val="Soggettocommento"/>
    <w:uiPriority w:val="99"/>
    <w:semiHidden/>
    <w:rsid w:val="00FC2CB2"/>
    <w:rPr>
      <w:b/>
      <w:bCs/>
      <w:sz w:val="20"/>
      <w:szCs w:val="20"/>
    </w:rPr>
  </w:style>
  <w:style w:type="table" w:customStyle="1" w:styleId="Grigliatab21">
    <w:name w:val="Griglia tab. 21"/>
    <w:basedOn w:val="Tabellanormale"/>
    <w:uiPriority w:val="47"/>
    <w:rsid w:val="00FC2CB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lasemplice51">
    <w:name w:val="Tabella semplice 51"/>
    <w:basedOn w:val="Tabellanormale"/>
    <w:uiPriority w:val="45"/>
    <w:rsid w:val="00FC2CB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eWeb">
    <w:name w:val="Normal (Web)"/>
    <w:basedOn w:val="Normale"/>
    <w:uiPriority w:val="99"/>
    <w:semiHidden/>
    <w:unhideWhenUsed/>
    <w:rsid w:val="00FC2CB2"/>
    <w:pPr>
      <w:spacing w:before="100" w:beforeAutospacing="1" w:after="100" w:afterAutospacing="1" w:line="240" w:lineRule="auto"/>
    </w:pPr>
    <w:rPr>
      <w:rFonts w:ascii="Times" w:eastAsiaTheme="minorEastAsia" w:hAnsi="Times" w:cs="Times New Roman"/>
      <w:sz w:val="20"/>
      <w:szCs w:val="20"/>
      <w:lang w:eastAsia="it-IT"/>
    </w:rPr>
  </w:style>
  <w:style w:type="table" w:customStyle="1" w:styleId="Tabellasemplice41">
    <w:name w:val="Tabella semplice 41"/>
    <w:basedOn w:val="Tabellanormale"/>
    <w:uiPriority w:val="44"/>
    <w:rsid w:val="00FC2CB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lasemplice-31">
    <w:name w:val="Tabella semplice - 31"/>
    <w:basedOn w:val="Tabellanormale"/>
    <w:uiPriority w:val="43"/>
    <w:rsid w:val="00FC2CB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rigliatabellachiara1">
    <w:name w:val="Griglia tabella chiara1"/>
    <w:basedOn w:val="Tabellanormale"/>
    <w:uiPriority w:val="40"/>
    <w:rsid w:val="00FC2CB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Onopgemaaktetabel31">
    <w:name w:val="Onopgemaakte tabel 31"/>
    <w:basedOn w:val="Tabellanormale"/>
    <w:uiPriority w:val="43"/>
    <w:rsid w:val="00FC2CB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e">
    <w:name w:val="Revision"/>
    <w:hidden/>
    <w:uiPriority w:val="99"/>
    <w:semiHidden/>
    <w:rsid w:val="00FC2CB2"/>
    <w:pPr>
      <w:spacing w:after="0" w:line="240" w:lineRule="auto"/>
    </w:pPr>
  </w:style>
  <w:style w:type="table" w:customStyle="1" w:styleId="Rastertabel2-Accent51">
    <w:name w:val="Rastertabel 2 - Accent 51"/>
    <w:basedOn w:val="Tabellanormale"/>
    <w:uiPriority w:val="47"/>
    <w:rsid w:val="00FC2CB2"/>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references-italic">
    <w:name w:val="references-italic"/>
    <w:basedOn w:val="Carpredefinitoparagrafo"/>
    <w:rsid w:val="00FC2CB2"/>
  </w:style>
  <w:style w:type="character" w:customStyle="1" w:styleId="ref-bold">
    <w:name w:val="ref-bold"/>
    <w:basedOn w:val="Carpredefinitoparagrafo"/>
    <w:rsid w:val="00FC2CB2"/>
  </w:style>
  <w:style w:type="paragraph" w:customStyle="1" w:styleId="references">
    <w:name w:val="references"/>
    <w:basedOn w:val="Normale"/>
    <w:rsid w:val="00FC2CB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Menzionenonrisolta1">
    <w:name w:val="Menzione non risolta1"/>
    <w:basedOn w:val="Carpredefinitoparagrafo"/>
    <w:uiPriority w:val="99"/>
    <w:semiHidden/>
    <w:unhideWhenUsed/>
    <w:rsid w:val="00FC2CB2"/>
    <w:rPr>
      <w:color w:val="605E5C"/>
      <w:shd w:val="clear" w:color="auto" w:fill="E1DFDD"/>
    </w:rPr>
  </w:style>
  <w:style w:type="paragraph" w:customStyle="1" w:styleId="Default">
    <w:name w:val="Default"/>
    <w:rsid w:val="00FC2CB2"/>
    <w:pPr>
      <w:autoSpaceDE w:val="0"/>
      <w:autoSpaceDN w:val="0"/>
      <w:adjustRightInd w:val="0"/>
      <w:spacing w:after="0" w:line="240" w:lineRule="auto"/>
    </w:pPr>
    <w:rPr>
      <w:rFonts w:ascii="Cambria" w:hAnsi="Cambria" w:cs="Cambri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1FA39-2A00-40E0-8909-8A0A8D43F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3304</Words>
  <Characters>18835</Characters>
  <Application>Microsoft Office Word</Application>
  <DocSecurity>0</DocSecurity>
  <Lines>156</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Corica</dc:creator>
  <cp:keywords/>
  <dc:description/>
  <cp:lastModifiedBy>Cantarutti Nicoletta</cp:lastModifiedBy>
  <cp:revision>7</cp:revision>
  <dcterms:created xsi:type="dcterms:W3CDTF">2019-08-10T08:38:00Z</dcterms:created>
  <dcterms:modified xsi:type="dcterms:W3CDTF">2020-05-12T11:57:00Z</dcterms:modified>
</cp:coreProperties>
</file>