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CB556" w14:textId="77777777" w:rsidR="009B2DAE" w:rsidRPr="001838D5" w:rsidRDefault="009B2DAE" w:rsidP="009B2DAE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Immune cell population dynamics following neonatal BCG vaccination and aerosol BCG revaccination </w:t>
      </w:r>
      <w:r w:rsidRPr="001838D5">
        <w:rPr>
          <w:rFonts w:ascii="Arial" w:hAnsi="Arial" w:cs="Arial"/>
          <w:b/>
          <w:bCs/>
          <w:sz w:val="28"/>
          <w:szCs w:val="28"/>
        </w:rPr>
        <w:t>in rhesus macaques</w:t>
      </w:r>
      <w:r>
        <w:rPr>
          <w:rFonts w:ascii="Arial" w:hAnsi="Arial" w:cs="Arial"/>
          <w:b/>
          <w:bCs/>
          <w:sz w:val="28"/>
          <w:szCs w:val="28"/>
        </w:rPr>
        <w:t xml:space="preserve">. </w:t>
      </w:r>
    </w:p>
    <w:p w14:paraId="44E56701" w14:textId="77777777" w:rsidR="009B2DAE" w:rsidRPr="001838D5" w:rsidRDefault="009B2DAE" w:rsidP="009B2DAE">
      <w:pPr>
        <w:rPr>
          <w:rFonts w:ascii="Arial" w:hAnsi="Arial" w:cs="Arial"/>
          <w:b/>
          <w:bCs/>
          <w:sz w:val="28"/>
          <w:szCs w:val="28"/>
        </w:rPr>
      </w:pPr>
    </w:p>
    <w:p w14:paraId="2FAD6522" w14:textId="77777777" w:rsidR="009B2DAE" w:rsidRPr="00D4458D" w:rsidRDefault="009B2DAE" w:rsidP="009B2DAE">
      <w:pPr>
        <w:rPr>
          <w:rFonts w:ascii="Arial" w:hAnsi="Arial" w:cs="Arial"/>
          <w:sz w:val="18"/>
          <w:szCs w:val="18"/>
        </w:rPr>
      </w:pPr>
      <w:r w:rsidRPr="00D4458D">
        <w:rPr>
          <w:rFonts w:ascii="Arial" w:hAnsi="Arial" w:cs="Arial"/>
          <w:sz w:val="18"/>
          <w:szCs w:val="18"/>
        </w:rPr>
        <w:t>Laura Sibley</w:t>
      </w:r>
      <w:r w:rsidRPr="00D4458D">
        <w:rPr>
          <w:rFonts w:ascii="Arial" w:hAnsi="Arial" w:cs="Arial"/>
          <w:sz w:val="18"/>
          <w:szCs w:val="18"/>
          <w:vertAlign w:val="superscript"/>
        </w:rPr>
        <w:t>1</w:t>
      </w:r>
      <w:r w:rsidRPr="00D4458D">
        <w:rPr>
          <w:rFonts w:ascii="Arial" w:hAnsi="Arial" w:cs="Arial"/>
          <w:sz w:val="18"/>
          <w:szCs w:val="18"/>
        </w:rPr>
        <w:t>, Charlotte Sarfas</w:t>
      </w:r>
      <w:r w:rsidRPr="00D4458D">
        <w:rPr>
          <w:rFonts w:ascii="Arial" w:hAnsi="Arial" w:cs="Arial"/>
          <w:sz w:val="18"/>
          <w:szCs w:val="18"/>
          <w:vertAlign w:val="superscript"/>
        </w:rPr>
        <w:t>1</w:t>
      </w:r>
      <w:r w:rsidRPr="00D4458D">
        <w:rPr>
          <w:rFonts w:ascii="Arial" w:hAnsi="Arial" w:cs="Arial"/>
          <w:sz w:val="18"/>
          <w:szCs w:val="18"/>
        </w:rPr>
        <w:t>, Alexandra Morrison</w:t>
      </w:r>
      <w:r w:rsidRPr="00D4458D">
        <w:rPr>
          <w:rFonts w:ascii="Arial" w:hAnsi="Arial" w:cs="Arial"/>
          <w:sz w:val="18"/>
          <w:szCs w:val="18"/>
          <w:vertAlign w:val="superscript"/>
        </w:rPr>
        <w:t>1</w:t>
      </w:r>
      <w:r w:rsidRPr="00D4458D">
        <w:rPr>
          <w:rFonts w:ascii="Arial" w:hAnsi="Arial" w:cs="Arial"/>
          <w:sz w:val="18"/>
          <w:szCs w:val="18"/>
        </w:rPr>
        <w:t>, Jessica Williams</w:t>
      </w:r>
      <w:r w:rsidRPr="00D4458D">
        <w:rPr>
          <w:rFonts w:ascii="Arial" w:hAnsi="Arial" w:cs="Arial"/>
          <w:sz w:val="18"/>
          <w:szCs w:val="18"/>
          <w:vertAlign w:val="superscript"/>
        </w:rPr>
        <w:t>1</w:t>
      </w:r>
      <w:r w:rsidRPr="00D4458D">
        <w:rPr>
          <w:rFonts w:ascii="Arial" w:hAnsi="Arial" w:cs="Arial"/>
          <w:sz w:val="18"/>
          <w:szCs w:val="18"/>
        </w:rPr>
        <w:t>, Konstantinos Gkolfinos</w:t>
      </w:r>
      <w:r w:rsidRPr="00D4458D">
        <w:rPr>
          <w:rFonts w:ascii="Arial" w:hAnsi="Arial" w:cs="Arial"/>
          <w:sz w:val="18"/>
          <w:szCs w:val="18"/>
          <w:vertAlign w:val="superscript"/>
        </w:rPr>
        <w:t>1</w:t>
      </w:r>
      <w:r w:rsidRPr="00D4458D">
        <w:rPr>
          <w:rFonts w:ascii="Arial" w:hAnsi="Arial" w:cs="Arial"/>
          <w:sz w:val="18"/>
          <w:szCs w:val="18"/>
        </w:rPr>
        <w:t>, Adam Mabbutt</w:t>
      </w:r>
      <w:r w:rsidRPr="00D4458D">
        <w:rPr>
          <w:rFonts w:ascii="Arial" w:hAnsi="Arial" w:cs="Arial"/>
          <w:sz w:val="18"/>
          <w:szCs w:val="18"/>
          <w:vertAlign w:val="superscript"/>
        </w:rPr>
        <w:t>1</w:t>
      </w:r>
      <w:r w:rsidRPr="00D4458D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William Eckworth</w:t>
      </w:r>
      <w:r w:rsidRPr="00C156E9">
        <w:rPr>
          <w:rFonts w:ascii="Arial" w:hAnsi="Arial" w:cs="Arial"/>
          <w:sz w:val="18"/>
          <w:szCs w:val="18"/>
          <w:vertAlign w:val="superscript"/>
        </w:rPr>
        <w:t>1</w:t>
      </w:r>
      <w:r>
        <w:rPr>
          <w:rFonts w:ascii="Arial" w:hAnsi="Arial" w:cs="Arial"/>
          <w:sz w:val="18"/>
          <w:szCs w:val="18"/>
        </w:rPr>
        <w:t>,</w:t>
      </w:r>
      <w:r w:rsidRPr="00D4458D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Steve Lawrence</w:t>
      </w:r>
      <w:r w:rsidRPr="00D4458D">
        <w:rPr>
          <w:rFonts w:ascii="Arial" w:hAnsi="Arial" w:cs="Arial"/>
          <w:sz w:val="18"/>
          <w:szCs w:val="18"/>
          <w:vertAlign w:val="superscript"/>
        </w:rPr>
        <w:t>1</w:t>
      </w:r>
      <w:r>
        <w:rPr>
          <w:rFonts w:ascii="Arial" w:hAnsi="Arial" w:cs="Arial"/>
          <w:sz w:val="18"/>
          <w:szCs w:val="18"/>
        </w:rPr>
        <w:t>, Mike Dennis</w:t>
      </w:r>
      <w:r w:rsidRPr="00D4458D">
        <w:rPr>
          <w:rFonts w:ascii="Arial" w:hAnsi="Arial" w:cs="Arial"/>
          <w:sz w:val="18"/>
          <w:szCs w:val="18"/>
          <w:vertAlign w:val="superscript"/>
        </w:rPr>
        <w:t>1</w:t>
      </w:r>
      <w:r>
        <w:rPr>
          <w:rFonts w:ascii="Arial" w:hAnsi="Arial" w:cs="Arial"/>
          <w:sz w:val="18"/>
          <w:szCs w:val="18"/>
        </w:rPr>
        <w:t xml:space="preserve">, </w:t>
      </w:r>
      <w:r w:rsidRPr="00D4458D">
        <w:rPr>
          <w:rFonts w:ascii="Arial" w:hAnsi="Arial" w:cs="Arial"/>
          <w:sz w:val="18"/>
          <w:szCs w:val="18"/>
        </w:rPr>
        <w:t>Andrew White</w:t>
      </w:r>
      <w:r w:rsidRPr="00D4458D">
        <w:rPr>
          <w:rFonts w:ascii="Arial" w:hAnsi="Arial" w:cs="Arial"/>
          <w:sz w:val="18"/>
          <w:szCs w:val="18"/>
          <w:vertAlign w:val="superscript"/>
        </w:rPr>
        <w:t>1</w:t>
      </w:r>
      <w:r w:rsidRPr="00D4458D">
        <w:rPr>
          <w:rFonts w:ascii="Arial" w:hAnsi="Arial" w:cs="Arial"/>
          <w:sz w:val="18"/>
          <w:szCs w:val="18"/>
        </w:rPr>
        <w:t>, Sally Sharpe</w:t>
      </w:r>
      <w:r w:rsidRPr="00D4458D">
        <w:rPr>
          <w:rFonts w:ascii="Arial" w:hAnsi="Arial" w:cs="Arial"/>
          <w:sz w:val="18"/>
          <w:szCs w:val="18"/>
          <w:vertAlign w:val="superscript"/>
        </w:rPr>
        <w:t>1</w:t>
      </w:r>
      <w:r w:rsidRPr="00D4458D">
        <w:rPr>
          <w:rFonts w:ascii="Arial" w:hAnsi="Arial" w:cs="Arial"/>
          <w:sz w:val="18"/>
          <w:szCs w:val="18"/>
        </w:rPr>
        <w:t>.</w:t>
      </w:r>
    </w:p>
    <w:p w14:paraId="2A0DA60A" w14:textId="77777777" w:rsidR="009B2DAE" w:rsidRPr="00D4458D" w:rsidRDefault="009B2DAE" w:rsidP="009B2DAE">
      <w:pPr>
        <w:rPr>
          <w:rFonts w:ascii="Arial" w:hAnsi="Arial" w:cs="Arial"/>
          <w:sz w:val="18"/>
          <w:szCs w:val="18"/>
        </w:rPr>
      </w:pPr>
    </w:p>
    <w:p w14:paraId="68A79B8E" w14:textId="77777777" w:rsidR="009B2DAE" w:rsidRPr="00D4458D" w:rsidRDefault="009B2DAE" w:rsidP="009B2DAE">
      <w:pPr>
        <w:rPr>
          <w:rFonts w:ascii="Arial" w:hAnsi="Arial" w:cs="Arial"/>
          <w:sz w:val="18"/>
          <w:szCs w:val="18"/>
        </w:rPr>
      </w:pPr>
      <w:r w:rsidRPr="001B09DB">
        <w:rPr>
          <w:rFonts w:ascii="Arial" w:hAnsi="Arial" w:cs="Arial"/>
          <w:sz w:val="18"/>
          <w:szCs w:val="18"/>
          <w:vertAlign w:val="superscript"/>
        </w:rPr>
        <w:t>1</w:t>
      </w:r>
      <w:r w:rsidRPr="00D4458D">
        <w:rPr>
          <w:rFonts w:ascii="Arial" w:hAnsi="Arial" w:cs="Arial"/>
          <w:sz w:val="18"/>
          <w:szCs w:val="18"/>
        </w:rPr>
        <w:t>UK Health Security Agency, Porton Down, Salisbury SP4 0JG</w:t>
      </w:r>
    </w:p>
    <w:p w14:paraId="1DBE4FF1" w14:textId="0D55F594" w:rsidR="00490A40" w:rsidRDefault="00490A40"/>
    <w:p w14:paraId="35BADBA6" w14:textId="57F72322" w:rsidR="009B2DAE" w:rsidRDefault="009B2DAE" w:rsidP="009B2DAE">
      <w:pPr>
        <w:jc w:val="center"/>
        <w:rPr>
          <w:rFonts w:ascii="Arial" w:hAnsi="Arial" w:cs="Arial"/>
          <w:b/>
          <w:bCs/>
        </w:rPr>
      </w:pPr>
      <w:r w:rsidRPr="009B2DAE">
        <w:rPr>
          <w:rFonts w:ascii="Arial" w:hAnsi="Arial" w:cs="Arial"/>
          <w:b/>
          <w:bCs/>
        </w:rPr>
        <w:t>Supplementary data</w:t>
      </w:r>
    </w:p>
    <w:p w14:paraId="1CDCEA21" w14:textId="620EAA62" w:rsidR="009B2DAE" w:rsidRDefault="009B2DAE" w:rsidP="009B2DAE">
      <w:pPr>
        <w:jc w:val="center"/>
        <w:rPr>
          <w:rFonts w:ascii="Arial" w:hAnsi="Arial" w:cs="Arial"/>
          <w:b/>
          <w:bCs/>
        </w:rPr>
      </w:pPr>
    </w:p>
    <w:p w14:paraId="67AB6CDB" w14:textId="13D1409B" w:rsidR="009B2DAE" w:rsidRDefault="009B2DAE" w:rsidP="009B2DAE">
      <w:pPr>
        <w:rPr>
          <w:rFonts w:ascii="Arial" w:hAnsi="Arial" w:cs="Arial"/>
          <w:b/>
          <w:bCs/>
        </w:rPr>
      </w:pPr>
      <w:r w:rsidRPr="009B2DAE">
        <w:rPr>
          <w:rFonts w:ascii="Arial" w:hAnsi="Arial" w:cs="Arial"/>
          <w:b/>
          <w:bCs/>
        </w:rPr>
        <w:drawing>
          <wp:inline distT="0" distB="0" distL="0" distR="0" wp14:anchorId="24B4FB2C" wp14:editId="4E148061">
            <wp:extent cx="5295900" cy="3390900"/>
            <wp:effectExtent l="0" t="0" r="0" b="0"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05CBADF5-665F-4819-8E0F-D085D2F43C9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05CBADF5-665F-4819-8E0F-D085D2F43C9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84071" w14:textId="246CA4E5" w:rsidR="009B2DAE" w:rsidRPr="00635555" w:rsidRDefault="009B2DAE" w:rsidP="009B2DAE">
      <w:pPr>
        <w:rPr>
          <w:rFonts w:ascii="Arial" w:hAnsi="Arial" w:cs="Arial"/>
          <w:sz w:val="20"/>
          <w:szCs w:val="20"/>
        </w:rPr>
      </w:pPr>
      <w:r w:rsidRPr="00635555">
        <w:rPr>
          <w:rFonts w:ascii="Arial" w:hAnsi="Arial" w:cs="Arial"/>
          <w:sz w:val="20"/>
          <w:szCs w:val="20"/>
        </w:rPr>
        <w:t>Supplementary Figure</w:t>
      </w:r>
      <w:r w:rsidRPr="00635555">
        <w:rPr>
          <w:rFonts w:ascii="Arial" w:hAnsi="Arial" w:cs="Arial"/>
          <w:sz w:val="20"/>
          <w:szCs w:val="20"/>
        </w:rPr>
        <w:t xml:space="preserve"> 1</w:t>
      </w:r>
      <w:r w:rsidRPr="00635555">
        <w:rPr>
          <w:rFonts w:ascii="Arial" w:hAnsi="Arial" w:cs="Arial"/>
          <w:sz w:val="20"/>
          <w:szCs w:val="20"/>
        </w:rPr>
        <w:t>. Treg numbers at week 12 post-BCG vaccination depending on which day after birth they were vaccinated on. Medians shown and dots indicate individuals.</w:t>
      </w:r>
    </w:p>
    <w:p w14:paraId="76FEA46E" w14:textId="21F6F57E" w:rsidR="009B2DAE" w:rsidRDefault="009B2DAE" w:rsidP="009B2DAE">
      <w:pPr>
        <w:rPr>
          <w:rFonts w:ascii="Arial" w:hAnsi="Arial" w:cs="Arial"/>
        </w:rPr>
      </w:pPr>
    </w:p>
    <w:p w14:paraId="1A349B0C" w14:textId="6F2CDEA4" w:rsidR="009B2DAE" w:rsidRDefault="009B2DAE" w:rsidP="009B2DAE">
      <w:pPr>
        <w:rPr>
          <w:rFonts w:ascii="Arial" w:hAnsi="Arial" w:cs="Arial"/>
        </w:rPr>
      </w:pPr>
    </w:p>
    <w:p w14:paraId="27663E21" w14:textId="186A37E8" w:rsidR="009B2DAE" w:rsidRDefault="009B2DAE" w:rsidP="009B2DAE">
      <w:pPr>
        <w:rPr>
          <w:rFonts w:ascii="Arial" w:hAnsi="Arial" w:cs="Arial"/>
        </w:rPr>
      </w:pPr>
    </w:p>
    <w:p w14:paraId="3DEF706F" w14:textId="25B93229" w:rsidR="009B2DAE" w:rsidRDefault="009B2DAE" w:rsidP="009B2DAE">
      <w:pPr>
        <w:rPr>
          <w:rFonts w:ascii="Arial" w:hAnsi="Arial" w:cs="Arial"/>
        </w:rPr>
      </w:pPr>
    </w:p>
    <w:p w14:paraId="4CC60E95" w14:textId="652A531A" w:rsidR="009B2DAE" w:rsidRDefault="009B2DAE" w:rsidP="009B2DAE">
      <w:pPr>
        <w:rPr>
          <w:rFonts w:ascii="Arial" w:hAnsi="Arial" w:cs="Arial"/>
        </w:rPr>
      </w:pPr>
    </w:p>
    <w:p w14:paraId="23C2F8A5" w14:textId="09C99083" w:rsidR="009B2DAE" w:rsidRDefault="009B2DAE" w:rsidP="009B2DAE">
      <w:pPr>
        <w:rPr>
          <w:rFonts w:ascii="Arial" w:hAnsi="Arial" w:cs="Arial"/>
        </w:rPr>
      </w:pPr>
    </w:p>
    <w:p w14:paraId="14B99868" w14:textId="2F1884B4" w:rsidR="009B2DAE" w:rsidRDefault="009B2DAE" w:rsidP="009B2DAE">
      <w:pPr>
        <w:rPr>
          <w:rFonts w:ascii="Arial" w:hAnsi="Arial" w:cs="Arial"/>
        </w:rPr>
      </w:pPr>
    </w:p>
    <w:p w14:paraId="5AA7CCB3" w14:textId="7264CAA9" w:rsidR="009B2DAE" w:rsidRDefault="009B2DAE" w:rsidP="009B2DAE">
      <w:pPr>
        <w:rPr>
          <w:rFonts w:ascii="Arial" w:hAnsi="Arial" w:cs="Arial"/>
        </w:rPr>
      </w:pPr>
    </w:p>
    <w:p w14:paraId="1FBFBB38" w14:textId="0F82FA0D" w:rsidR="009B2DAE" w:rsidRDefault="009B2DAE" w:rsidP="009B2DAE">
      <w:pPr>
        <w:rPr>
          <w:rFonts w:ascii="Arial" w:hAnsi="Arial" w:cs="Arial"/>
        </w:rPr>
      </w:pPr>
    </w:p>
    <w:p w14:paraId="63740EBE" w14:textId="61531B97" w:rsidR="009B2DAE" w:rsidRDefault="009B2DAE" w:rsidP="009B2DAE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7780290B" wp14:editId="03BC13E0">
            <wp:extent cx="5733415" cy="23431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234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DA2C0F" w14:textId="235BC1CE" w:rsidR="009B2DAE" w:rsidRDefault="009B2DAE" w:rsidP="009B2DAE">
      <w:pPr>
        <w:rPr>
          <w:rFonts w:ascii="Arial" w:hAnsi="Arial" w:cs="Arial"/>
        </w:rPr>
      </w:pPr>
    </w:p>
    <w:p w14:paraId="21B38251" w14:textId="239B224F" w:rsidR="009B2DAE" w:rsidRDefault="009B2DAE" w:rsidP="009B2DAE">
      <w:pPr>
        <w:rPr>
          <w:rFonts w:ascii="Arial" w:hAnsi="Arial" w:cs="Arial"/>
        </w:rPr>
      </w:pPr>
    </w:p>
    <w:p w14:paraId="0323D35F" w14:textId="44282C8F" w:rsidR="009B2DAE" w:rsidRPr="00635555" w:rsidRDefault="009B2DAE" w:rsidP="009B2DAE">
      <w:pPr>
        <w:rPr>
          <w:rFonts w:ascii="Arial" w:hAnsi="Arial" w:cs="Arial"/>
          <w:sz w:val="20"/>
          <w:szCs w:val="20"/>
        </w:rPr>
      </w:pPr>
      <w:r w:rsidRPr="00635555">
        <w:rPr>
          <w:rFonts w:ascii="Arial" w:hAnsi="Arial" w:cs="Arial"/>
          <w:sz w:val="20"/>
          <w:szCs w:val="20"/>
        </w:rPr>
        <w:t xml:space="preserve">Supplementary Figure 2. </w:t>
      </w:r>
      <w:r w:rsidR="00C8550C" w:rsidRPr="00635555">
        <w:rPr>
          <w:rFonts w:ascii="Arial" w:hAnsi="Arial" w:cs="Arial"/>
          <w:sz w:val="20"/>
          <w:szCs w:val="20"/>
        </w:rPr>
        <w:t xml:space="preserve">Trained innate immunity cytokine production after stimulation with </w:t>
      </w:r>
      <w:r w:rsidR="00C8550C" w:rsidRPr="00635555">
        <w:rPr>
          <w:rFonts w:ascii="Arial" w:hAnsi="Arial" w:cs="Arial"/>
          <w:i/>
          <w:iCs/>
          <w:sz w:val="20"/>
          <w:szCs w:val="20"/>
        </w:rPr>
        <w:t>E. coli, S. aureus</w:t>
      </w:r>
      <w:r w:rsidR="00C8550C" w:rsidRPr="00635555">
        <w:rPr>
          <w:rFonts w:ascii="Arial" w:hAnsi="Arial" w:cs="Arial"/>
          <w:sz w:val="20"/>
          <w:szCs w:val="20"/>
        </w:rPr>
        <w:t xml:space="preserve"> or </w:t>
      </w:r>
      <w:r w:rsidR="00C8550C" w:rsidRPr="00635555">
        <w:rPr>
          <w:rFonts w:ascii="Arial" w:hAnsi="Arial" w:cs="Arial"/>
          <w:i/>
          <w:iCs/>
          <w:sz w:val="20"/>
          <w:szCs w:val="20"/>
        </w:rPr>
        <w:t>C. albicans</w:t>
      </w:r>
      <w:r w:rsidR="00C8550C" w:rsidRPr="00635555">
        <w:rPr>
          <w:rFonts w:ascii="Arial" w:hAnsi="Arial" w:cs="Arial"/>
          <w:sz w:val="20"/>
          <w:szCs w:val="20"/>
        </w:rPr>
        <w:t xml:space="preserve"> in naïve adult rhesus macaques. </w:t>
      </w:r>
      <w:r w:rsidR="00C8550C" w:rsidRPr="00635555">
        <w:rPr>
          <w:rFonts w:ascii="Arial" w:hAnsi="Arial" w:cs="Arial"/>
          <w:sz w:val="20"/>
          <w:szCs w:val="20"/>
        </w:rPr>
        <w:t>Medians shown and dots indicate individuals.</w:t>
      </w:r>
    </w:p>
    <w:p w14:paraId="0619442C" w14:textId="12590263" w:rsidR="009B2DAE" w:rsidRDefault="009B2DAE" w:rsidP="009B2DAE">
      <w:pPr>
        <w:rPr>
          <w:rFonts w:ascii="Arial" w:hAnsi="Arial" w:cs="Arial"/>
        </w:rPr>
      </w:pPr>
    </w:p>
    <w:p w14:paraId="7BBD3E7E" w14:textId="26136043" w:rsidR="009B2DAE" w:rsidRDefault="009B2DAE" w:rsidP="009B2DAE">
      <w:pPr>
        <w:rPr>
          <w:rFonts w:ascii="Arial" w:hAnsi="Arial" w:cs="Arial"/>
        </w:rPr>
      </w:pPr>
    </w:p>
    <w:p w14:paraId="5060A0D0" w14:textId="2606276D" w:rsidR="009B2DAE" w:rsidRDefault="009B2DAE" w:rsidP="009B2DAE">
      <w:pPr>
        <w:rPr>
          <w:rFonts w:ascii="Arial" w:hAnsi="Arial" w:cs="Arial"/>
        </w:rPr>
      </w:pPr>
    </w:p>
    <w:p w14:paraId="55234E99" w14:textId="468B20CB" w:rsidR="009B2DAE" w:rsidRDefault="009B2DAE" w:rsidP="009B2DAE">
      <w:pPr>
        <w:rPr>
          <w:rFonts w:ascii="Arial" w:hAnsi="Arial" w:cs="Arial"/>
        </w:rPr>
      </w:pPr>
    </w:p>
    <w:p w14:paraId="6275E416" w14:textId="5FBBFFC0" w:rsidR="009B2DAE" w:rsidRDefault="009B2DAE" w:rsidP="009B2DAE">
      <w:pPr>
        <w:rPr>
          <w:rFonts w:ascii="Arial" w:hAnsi="Arial" w:cs="Arial"/>
        </w:rPr>
      </w:pPr>
    </w:p>
    <w:p w14:paraId="4A4F47D5" w14:textId="5E83A379" w:rsidR="009B2DAE" w:rsidRDefault="009B2DAE" w:rsidP="009B2DAE">
      <w:pPr>
        <w:rPr>
          <w:rFonts w:ascii="Arial" w:hAnsi="Arial" w:cs="Arial"/>
        </w:rPr>
      </w:pPr>
    </w:p>
    <w:p w14:paraId="7B2344C7" w14:textId="13126EBF" w:rsidR="009B2DAE" w:rsidRDefault="009B2DAE" w:rsidP="009B2DAE">
      <w:pPr>
        <w:rPr>
          <w:rFonts w:ascii="Arial" w:hAnsi="Arial" w:cs="Arial"/>
        </w:rPr>
      </w:pPr>
    </w:p>
    <w:p w14:paraId="452F50F4" w14:textId="434189FD" w:rsidR="009B2DAE" w:rsidRDefault="009B2DAE" w:rsidP="009B2DAE">
      <w:pPr>
        <w:rPr>
          <w:rFonts w:ascii="Arial" w:hAnsi="Arial" w:cs="Arial"/>
        </w:rPr>
      </w:pPr>
    </w:p>
    <w:p w14:paraId="44579796" w14:textId="6F5F25D0" w:rsidR="009B2DAE" w:rsidRDefault="009B2DAE" w:rsidP="009B2DAE">
      <w:pPr>
        <w:rPr>
          <w:rFonts w:ascii="Arial" w:hAnsi="Arial" w:cs="Arial"/>
        </w:rPr>
      </w:pPr>
    </w:p>
    <w:p w14:paraId="303A91FA" w14:textId="5355A9A2" w:rsidR="009B2DAE" w:rsidRDefault="009B2DAE" w:rsidP="009B2DAE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0A1F25BB" wp14:editId="0CE98189">
            <wp:extent cx="6337935" cy="3936366"/>
            <wp:effectExtent l="0" t="0" r="5715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2228" cy="39452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39A661" w14:textId="1ECBD69D" w:rsidR="009B2DAE" w:rsidRPr="00635555" w:rsidRDefault="009B2DAE" w:rsidP="009B2DAE">
      <w:pPr>
        <w:rPr>
          <w:rFonts w:ascii="Arial" w:hAnsi="Arial" w:cs="Arial"/>
          <w:sz w:val="20"/>
          <w:szCs w:val="20"/>
        </w:rPr>
      </w:pPr>
      <w:r w:rsidRPr="00635555">
        <w:rPr>
          <w:rFonts w:ascii="Arial" w:hAnsi="Arial" w:cs="Arial"/>
          <w:sz w:val="20"/>
          <w:szCs w:val="20"/>
        </w:rPr>
        <w:t xml:space="preserve">Supplementary Figure 3. Gating strategy for flow cytometry panel of whole blood, PBMC and BAL immunophenotyping. </w:t>
      </w:r>
    </w:p>
    <w:p w14:paraId="389451C8" w14:textId="2D123B4D" w:rsidR="009B2DAE" w:rsidRDefault="009B2DAE" w:rsidP="009B2DAE">
      <w:pPr>
        <w:rPr>
          <w:rFonts w:ascii="Arial" w:hAnsi="Arial" w:cs="Arial"/>
        </w:rPr>
      </w:pPr>
    </w:p>
    <w:p w14:paraId="2F79C40D" w14:textId="77777777" w:rsidR="009B2DAE" w:rsidRDefault="009B2DAE" w:rsidP="009B2DAE">
      <w:pPr>
        <w:rPr>
          <w:rFonts w:ascii="Arial" w:hAnsi="Arial" w:cs="Arial"/>
        </w:rPr>
      </w:pPr>
    </w:p>
    <w:sectPr w:rsidR="009B2D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DAE"/>
    <w:rsid w:val="00490A40"/>
    <w:rsid w:val="00635555"/>
    <w:rsid w:val="009B2DAE"/>
    <w:rsid w:val="00C85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091E34BB"/>
  <w15:chartTrackingRefBased/>
  <w15:docId w15:val="{C94BFD7C-7A35-499F-BE8A-C0DEC44AA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DA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Sibley</dc:creator>
  <cp:keywords/>
  <dc:description/>
  <cp:lastModifiedBy>Laura Sibley</cp:lastModifiedBy>
  <cp:revision>2</cp:revision>
  <dcterms:created xsi:type="dcterms:W3CDTF">2023-02-23T16:16:00Z</dcterms:created>
  <dcterms:modified xsi:type="dcterms:W3CDTF">2023-02-23T16:29:00Z</dcterms:modified>
</cp:coreProperties>
</file>