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690C54" w14:textId="6C2E7D2C" w:rsidR="002D5C02" w:rsidRPr="0084570B" w:rsidRDefault="002D5C02" w:rsidP="00B5285E">
      <w:pPr>
        <w:widowControl w:val="0"/>
        <w:autoSpaceDE w:val="0"/>
        <w:autoSpaceDN w:val="0"/>
        <w:adjustRightInd w:val="0"/>
        <w:ind w:left="640" w:hanging="640"/>
        <w:rPr>
          <w:rFonts w:ascii="Times New Roman" w:eastAsia="Times New Roman" w:hAnsi="Times New Roman" w:cs="Times New Roman"/>
          <w:b/>
          <w:sz w:val="48"/>
          <w:szCs w:val="32"/>
          <w:lang w:val="en-US"/>
        </w:rPr>
      </w:pPr>
      <w:r w:rsidRPr="0084570B">
        <w:rPr>
          <w:rFonts w:ascii="Times New Roman" w:eastAsia="Times New Roman" w:hAnsi="Times New Roman" w:cs="Times New Roman"/>
          <w:b/>
          <w:sz w:val="48"/>
          <w:szCs w:val="32"/>
          <w:lang w:val="en-US"/>
        </w:rPr>
        <w:t xml:space="preserve">Primordial and </w:t>
      </w:r>
      <w:r w:rsidRPr="0084570B">
        <w:rPr>
          <w:rFonts w:ascii="Times New Roman" w:eastAsia="Times New Roman" w:hAnsi="Times New Roman" w:cs="Times New Roman"/>
          <w:b/>
          <w:sz w:val="48"/>
          <w:szCs w:val="32"/>
          <w:vertAlign w:val="superscript"/>
          <w:lang w:val="en-US"/>
        </w:rPr>
        <w:t>244</w:t>
      </w:r>
      <w:r w:rsidRPr="0084570B">
        <w:rPr>
          <w:rFonts w:ascii="Times New Roman" w:eastAsia="Times New Roman" w:hAnsi="Times New Roman" w:cs="Times New Roman"/>
          <w:b/>
          <w:sz w:val="48"/>
          <w:szCs w:val="32"/>
          <w:lang w:val="en-US"/>
        </w:rPr>
        <w:t>Pu-derived xenon</w:t>
      </w:r>
    </w:p>
    <w:p w14:paraId="2A0A9C1A" w14:textId="77777777" w:rsidR="002D5C02" w:rsidRPr="0084570B" w:rsidRDefault="002D5C02" w:rsidP="002D5C02">
      <w:pPr>
        <w:pStyle w:val="Normal1"/>
        <w:spacing w:line="276" w:lineRule="auto"/>
        <w:jc w:val="center"/>
        <w:rPr>
          <w:rFonts w:ascii="Times New Roman" w:eastAsia="Times New Roman" w:hAnsi="Times New Roman" w:cs="Times New Roman"/>
          <w:b/>
          <w:sz w:val="48"/>
          <w:szCs w:val="32"/>
          <w:lang w:val="en-US"/>
        </w:rPr>
      </w:pPr>
      <w:r w:rsidRPr="0084570B">
        <w:rPr>
          <w:rFonts w:ascii="Times New Roman" w:eastAsia="Times New Roman" w:hAnsi="Times New Roman" w:cs="Times New Roman"/>
          <w:b/>
          <w:sz w:val="48"/>
          <w:szCs w:val="32"/>
          <w:lang w:val="en-US"/>
        </w:rPr>
        <w:t>missing from Earth's convecting mantle</w:t>
      </w:r>
    </w:p>
    <w:p w14:paraId="74136403" w14:textId="77777777" w:rsidR="002D5C02" w:rsidRPr="0084570B" w:rsidRDefault="002D5C02" w:rsidP="002D5C02">
      <w:pPr>
        <w:pStyle w:val="Normal1"/>
        <w:spacing w:line="360" w:lineRule="auto"/>
        <w:jc w:val="both"/>
        <w:rPr>
          <w:rFonts w:ascii="Times New Roman" w:eastAsia="Times New Roman" w:hAnsi="Times New Roman" w:cs="Times New Roman"/>
          <w:lang w:val="en-US"/>
        </w:rPr>
      </w:pPr>
    </w:p>
    <w:p w14:paraId="26F0CDBD" w14:textId="77777777" w:rsidR="002D5C02" w:rsidRPr="0084570B" w:rsidRDefault="002D5C02" w:rsidP="002D5C02">
      <w:pPr>
        <w:pStyle w:val="Normal1"/>
        <w:spacing w:line="360" w:lineRule="auto"/>
        <w:jc w:val="center"/>
        <w:rPr>
          <w:rFonts w:ascii="Times New Roman" w:eastAsia="Times New Roman" w:hAnsi="Times New Roman" w:cs="Times New Roman"/>
          <w:lang w:val="en-US"/>
        </w:rPr>
      </w:pPr>
      <w:r w:rsidRPr="0084570B">
        <w:rPr>
          <w:rFonts w:ascii="Times New Roman" w:eastAsia="Times New Roman" w:hAnsi="Times New Roman" w:cs="Times New Roman"/>
          <w:b/>
          <w:lang w:val="en-US"/>
        </w:rPr>
        <w:t>Authors:</w:t>
      </w:r>
      <w:r w:rsidRPr="0084570B">
        <w:rPr>
          <w:rFonts w:ascii="Times New Roman" w:eastAsia="Times New Roman" w:hAnsi="Times New Roman" w:cs="Times New Roman"/>
          <w:lang w:val="en-US"/>
        </w:rPr>
        <w:t xml:space="preserve"> D.V. Bekaert*</w:t>
      </w:r>
      <w:r w:rsidRPr="0084570B">
        <w:rPr>
          <w:rFonts w:ascii="Times New Roman" w:eastAsia="Times New Roman" w:hAnsi="Times New Roman" w:cs="Times New Roman"/>
          <w:vertAlign w:val="superscript"/>
          <w:lang w:val="en-US"/>
        </w:rPr>
        <w:t>1,2</w:t>
      </w:r>
      <w:r w:rsidRPr="0084570B">
        <w:rPr>
          <w:rFonts w:ascii="Times New Roman" w:eastAsia="Times New Roman" w:hAnsi="Times New Roman" w:cs="Times New Roman"/>
          <w:lang w:val="en-US"/>
        </w:rPr>
        <w:t>, A. Caracausi</w:t>
      </w:r>
      <w:r w:rsidRPr="0084570B">
        <w:rPr>
          <w:rFonts w:ascii="Times New Roman" w:eastAsia="Times New Roman" w:hAnsi="Times New Roman" w:cs="Times New Roman"/>
          <w:vertAlign w:val="superscript"/>
          <w:lang w:val="en-US"/>
        </w:rPr>
        <w:t>3</w:t>
      </w:r>
      <w:r w:rsidRPr="0084570B">
        <w:rPr>
          <w:rFonts w:ascii="Times New Roman" w:eastAsia="Times New Roman" w:hAnsi="Times New Roman" w:cs="Times New Roman"/>
          <w:lang w:val="en-US"/>
        </w:rPr>
        <w:t>, G. Caro</w:t>
      </w:r>
      <w:r w:rsidRPr="0084570B">
        <w:rPr>
          <w:rFonts w:ascii="Times New Roman" w:eastAsia="Times New Roman" w:hAnsi="Times New Roman" w:cs="Times New Roman"/>
          <w:vertAlign w:val="superscript"/>
          <w:lang w:val="en-US"/>
        </w:rPr>
        <w:t>2</w:t>
      </w:r>
      <w:r w:rsidRPr="0084570B">
        <w:rPr>
          <w:rFonts w:ascii="Times New Roman" w:eastAsia="Times New Roman" w:hAnsi="Times New Roman" w:cs="Times New Roman"/>
          <w:lang w:val="en-US"/>
        </w:rPr>
        <w:t xml:space="preserve">, </w:t>
      </w:r>
    </w:p>
    <w:p w14:paraId="7F118EDE" w14:textId="77777777" w:rsidR="002D5C02" w:rsidRPr="0084570B" w:rsidRDefault="002D5C02" w:rsidP="002D5C02">
      <w:pPr>
        <w:pStyle w:val="Normal1"/>
        <w:spacing w:line="360" w:lineRule="auto"/>
        <w:jc w:val="center"/>
        <w:rPr>
          <w:rFonts w:ascii="Times New Roman" w:eastAsia="Times New Roman" w:hAnsi="Times New Roman" w:cs="Times New Roman"/>
          <w:lang w:val="en-US"/>
        </w:rPr>
      </w:pPr>
      <w:r w:rsidRPr="0084570B">
        <w:rPr>
          <w:rFonts w:ascii="Times New Roman" w:eastAsia="Times New Roman" w:hAnsi="Times New Roman" w:cs="Times New Roman"/>
          <w:lang w:val="en-US"/>
        </w:rPr>
        <w:t>M.W. Broadley</w:t>
      </w:r>
      <w:r w:rsidRPr="0084570B">
        <w:rPr>
          <w:rFonts w:ascii="Times New Roman" w:eastAsia="Times New Roman" w:hAnsi="Times New Roman" w:cs="Times New Roman"/>
          <w:vertAlign w:val="superscript"/>
          <w:lang w:val="en-US"/>
        </w:rPr>
        <w:t>2</w:t>
      </w:r>
      <w:r w:rsidRPr="0084570B">
        <w:rPr>
          <w:rFonts w:ascii="Times New Roman" w:eastAsia="Times New Roman" w:hAnsi="Times New Roman" w:cs="Times New Roman"/>
          <w:lang w:val="en-US"/>
        </w:rPr>
        <w:t>, D. J. Byrne</w:t>
      </w:r>
      <w:r w:rsidRPr="0084570B">
        <w:rPr>
          <w:rFonts w:ascii="Times New Roman" w:eastAsia="Times New Roman" w:hAnsi="Times New Roman" w:cs="Times New Roman"/>
          <w:vertAlign w:val="superscript"/>
          <w:lang w:val="en-US"/>
        </w:rPr>
        <w:t>2</w:t>
      </w:r>
      <w:r w:rsidRPr="0084570B">
        <w:rPr>
          <w:rFonts w:ascii="Times New Roman" w:eastAsia="Times New Roman" w:hAnsi="Times New Roman" w:cs="Times New Roman"/>
          <w:lang w:val="en-US"/>
        </w:rPr>
        <w:t>, P.H. Barry</w:t>
      </w:r>
      <w:r w:rsidRPr="0084570B">
        <w:rPr>
          <w:rFonts w:ascii="Times New Roman" w:eastAsia="Times New Roman" w:hAnsi="Times New Roman" w:cs="Times New Roman"/>
          <w:vertAlign w:val="superscript"/>
          <w:lang w:val="en-US"/>
        </w:rPr>
        <w:t>1</w:t>
      </w:r>
      <w:r w:rsidRPr="0084570B">
        <w:rPr>
          <w:rFonts w:ascii="Times New Roman" w:eastAsia="Times New Roman" w:hAnsi="Times New Roman" w:cs="Times New Roman"/>
          <w:lang w:val="en-US"/>
        </w:rPr>
        <w:t>, B. Marty</w:t>
      </w:r>
      <w:r w:rsidRPr="0084570B">
        <w:rPr>
          <w:rFonts w:ascii="Times New Roman" w:eastAsia="Times New Roman" w:hAnsi="Times New Roman" w:cs="Times New Roman"/>
          <w:vertAlign w:val="superscript"/>
          <w:lang w:val="en-US"/>
        </w:rPr>
        <w:t>2</w:t>
      </w:r>
      <w:r w:rsidRPr="0084570B">
        <w:rPr>
          <w:rFonts w:ascii="Times New Roman" w:eastAsia="Times New Roman" w:hAnsi="Times New Roman" w:cs="Times New Roman"/>
          <w:lang w:val="en-US"/>
        </w:rPr>
        <w:t>, A.M. Seltzer</w:t>
      </w:r>
      <w:r w:rsidRPr="0084570B">
        <w:rPr>
          <w:rFonts w:ascii="Times New Roman" w:eastAsia="Times New Roman" w:hAnsi="Times New Roman" w:cs="Times New Roman"/>
          <w:vertAlign w:val="superscript"/>
          <w:lang w:val="en-US"/>
        </w:rPr>
        <w:t>1</w:t>
      </w:r>
      <w:r w:rsidRPr="0084570B">
        <w:rPr>
          <w:rFonts w:ascii="Times New Roman" w:eastAsia="Times New Roman" w:hAnsi="Times New Roman" w:cs="Times New Roman"/>
          <w:lang w:val="en-US"/>
        </w:rPr>
        <w:t>.</w:t>
      </w:r>
    </w:p>
    <w:p w14:paraId="5FA2D83A" w14:textId="77777777" w:rsidR="002D5C02" w:rsidRPr="0084570B" w:rsidRDefault="002D5C02" w:rsidP="002D5C02">
      <w:pPr>
        <w:pStyle w:val="Normal1"/>
        <w:spacing w:line="360" w:lineRule="auto"/>
        <w:jc w:val="center"/>
        <w:rPr>
          <w:rFonts w:ascii="Times New Roman" w:eastAsia="Times New Roman" w:hAnsi="Times New Roman" w:cs="Times New Roman"/>
          <w:lang w:val="en-US"/>
        </w:rPr>
      </w:pPr>
    </w:p>
    <w:p w14:paraId="62FF78A8" w14:textId="77777777" w:rsidR="00773913" w:rsidRPr="0084570B" w:rsidRDefault="00773913" w:rsidP="00AA423F">
      <w:pPr>
        <w:jc w:val="center"/>
        <w:rPr>
          <w:rFonts w:ascii="Times New Roman" w:eastAsia="Times New Roman" w:hAnsi="Times New Roman" w:cs="Times New Roman"/>
          <w:b/>
          <w:sz w:val="36"/>
          <w:szCs w:val="34"/>
          <w:lang w:val="en-US"/>
        </w:rPr>
      </w:pPr>
    </w:p>
    <w:p w14:paraId="43233434" w14:textId="77777777" w:rsidR="00AA423F" w:rsidRPr="0084570B" w:rsidRDefault="00AA423F" w:rsidP="00AA423F">
      <w:pPr>
        <w:jc w:val="center"/>
        <w:rPr>
          <w:rFonts w:ascii="Times New Roman" w:eastAsia="Times New Roman" w:hAnsi="Times New Roman" w:cs="Times New Roman"/>
          <w:b/>
          <w:sz w:val="36"/>
          <w:szCs w:val="34"/>
          <w:lang w:val="en-US"/>
        </w:rPr>
      </w:pPr>
      <w:r w:rsidRPr="0084570B">
        <w:rPr>
          <w:rFonts w:ascii="Times New Roman" w:eastAsia="Times New Roman" w:hAnsi="Times New Roman" w:cs="Times New Roman"/>
          <w:b/>
          <w:sz w:val="36"/>
          <w:szCs w:val="34"/>
          <w:lang w:val="en-US"/>
        </w:rPr>
        <w:t>Supplementary Material</w:t>
      </w:r>
    </w:p>
    <w:p w14:paraId="15E667A7" w14:textId="77777777" w:rsidR="00AA423F" w:rsidRPr="0084570B" w:rsidRDefault="00AA423F" w:rsidP="004B398D">
      <w:pPr>
        <w:jc w:val="center"/>
        <w:rPr>
          <w:rFonts w:ascii="Times New Roman" w:eastAsia="Times New Roman" w:hAnsi="Times New Roman" w:cs="Times New Roman"/>
          <w:b/>
          <w:sz w:val="36"/>
          <w:szCs w:val="34"/>
          <w:lang w:val="en-US"/>
        </w:rPr>
      </w:pPr>
    </w:p>
    <w:p w14:paraId="77609E12" w14:textId="0E3054AF" w:rsidR="00AA423F" w:rsidRPr="0084570B" w:rsidRDefault="00AA423F" w:rsidP="00773913">
      <w:pPr>
        <w:spacing w:line="276"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color w:val="222222"/>
          <w:szCs w:val="22"/>
          <w:lang w:val="en-US"/>
        </w:rPr>
        <w:tab/>
      </w:r>
      <w:r w:rsidR="00D971FA" w:rsidRPr="0084570B">
        <w:rPr>
          <w:rFonts w:ascii="Times New Roman" w:eastAsia="Times New Roman" w:hAnsi="Times New Roman" w:cs="Times New Roman"/>
          <w:b/>
          <w:color w:val="222222"/>
          <w:szCs w:val="22"/>
          <w:lang w:val="en-US"/>
        </w:rPr>
        <w:t>SM-1</w:t>
      </w:r>
      <w:r w:rsidRPr="0084570B">
        <w:rPr>
          <w:rFonts w:ascii="Times New Roman" w:eastAsia="Times New Roman" w:hAnsi="Times New Roman" w:cs="Times New Roman"/>
          <w:b/>
          <w:color w:val="222222"/>
          <w:szCs w:val="22"/>
          <w:lang w:val="en-US"/>
        </w:rPr>
        <w:t xml:space="preserve">° </w:t>
      </w:r>
      <w:r w:rsidR="00773913" w:rsidRPr="0084570B">
        <w:rPr>
          <w:rFonts w:ascii="Times New Roman" w:eastAsia="Times New Roman" w:hAnsi="Times New Roman" w:cs="Times New Roman"/>
          <w:b/>
          <w:color w:val="222222"/>
          <w:szCs w:val="22"/>
          <w:lang w:val="en-US"/>
        </w:rPr>
        <w:t>"</w:t>
      </w:r>
      <w:r w:rsidRPr="0084570B">
        <w:rPr>
          <w:rFonts w:ascii="Times New Roman" w:eastAsia="Times New Roman" w:hAnsi="Times New Roman" w:cs="Times New Roman"/>
          <w:b/>
          <w:color w:val="222222"/>
          <w:szCs w:val="22"/>
          <w:lang w:val="en-US"/>
        </w:rPr>
        <w:t>Mass balance Hadean</w:t>
      </w:r>
      <w:r w:rsidR="00773913" w:rsidRPr="0084570B">
        <w:rPr>
          <w:rFonts w:ascii="Times New Roman" w:eastAsia="Times New Roman" w:hAnsi="Times New Roman" w:cs="Times New Roman"/>
          <w:b/>
          <w:color w:val="222222"/>
          <w:szCs w:val="22"/>
          <w:lang w:val="en-US"/>
        </w:rPr>
        <w:t>.xlsx"</w:t>
      </w:r>
      <w:r w:rsidRPr="0084570B">
        <w:rPr>
          <w:rFonts w:ascii="Times New Roman" w:eastAsia="Times New Roman" w:hAnsi="Times New Roman" w:cs="Times New Roman"/>
          <w:b/>
          <w:color w:val="222222"/>
          <w:szCs w:val="22"/>
          <w:lang w:val="en-US"/>
        </w:rPr>
        <w:t xml:space="preserve"> </w:t>
      </w:r>
      <w:r w:rsidR="00773913" w:rsidRPr="0084570B">
        <w:rPr>
          <w:rFonts w:ascii="Times New Roman" w:eastAsia="Times New Roman" w:hAnsi="Times New Roman" w:cs="Times New Roman"/>
          <w:color w:val="222222"/>
          <w:szCs w:val="22"/>
          <w:lang w:val="en-US"/>
        </w:rPr>
        <w:t xml:space="preserve">is an excel </w:t>
      </w:r>
      <w:r w:rsidR="00773913" w:rsidRPr="0084570B">
        <w:rPr>
          <w:rFonts w:ascii="Times New Roman" w:eastAsia="Times New Roman" w:hAnsi="Times New Roman" w:cs="Times New Roman"/>
          <w:szCs w:val="22"/>
          <w:lang w:val="en-US"/>
        </w:rPr>
        <w:t>file that</w:t>
      </w:r>
      <w:r w:rsidR="00773913" w:rsidRPr="0084570B">
        <w:rPr>
          <w:rFonts w:ascii="Times New Roman" w:eastAsia="Times New Roman" w:hAnsi="Times New Roman" w:cs="Times New Roman"/>
          <w:b/>
          <w:szCs w:val="22"/>
          <w:lang w:val="en-US"/>
        </w:rPr>
        <w:t xml:space="preserve"> </w:t>
      </w:r>
      <w:r w:rsidR="00773913" w:rsidRPr="0084570B">
        <w:rPr>
          <w:rFonts w:ascii="Times New Roman" w:eastAsia="Times New Roman" w:hAnsi="Times New Roman" w:cs="Times New Roman"/>
          <w:szCs w:val="22"/>
          <w:lang w:val="en-US"/>
        </w:rPr>
        <w:t xml:space="preserve">presents the mass balance calculation of U partitioning during magma ocean crystallization and computes the ultimate amount of U within the hadean crust. </w:t>
      </w:r>
      <w:r w:rsidR="00773913" w:rsidRPr="0084570B">
        <w:rPr>
          <w:rFonts w:ascii="Times New Roman" w:eastAsia="Times New Roman" w:hAnsi="Times New Roman" w:cs="Times New Roman"/>
          <w:b/>
          <w:szCs w:val="22"/>
          <w:lang w:val="en-US"/>
        </w:rPr>
        <w:t xml:space="preserve"> </w:t>
      </w:r>
    </w:p>
    <w:p w14:paraId="6AE48174" w14:textId="77777777" w:rsidR="00773913" w:rsidRPr="0084570B" w:rsidRDefault="00773913" w:rsidP="00773913">
      <w:pPr>
        <w:spacing w:line="276" w:lineRule="auto"/>
        <w:jc w:val="both"/>
        <w:rPr>
          <w:rFonts w:ascii="Times New Roman" w:eastAsia="Times New Roman" w:hAnsi="Times New Roman" w:cs="Times New Roman"/>
          <w:sz w:val="6"/>
          <w:szCs w:val="4"/>
          <w:lang w:val="en-US"/>
        </w:rPr>
      </w:pPr>
    </w:p>
    <w:p w14:paraId="6115FC60" w14:textId="6F2D638F" w:rsidR="00AA423F" w:rsidRPr="0084570B" w:rsidRDefault="00AA423F" w:rsidP="00AA423F">
      <w:pPr>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color w:val="222222"/>
          <w:szCs w:val="22"/>
          <w:lang w:val="en-US"/>
        </w:rPr>
        <w:tab/>
      </w:r>
      <w:r w:rsidR="00D971FA" w:rsidRPr="0084570B">
        <w:rPr>
          <w:rFonts w:ascii="Times New Roman" w:eastAsia="Times New Roman" w:hAnsi="Times New Roman" w:cs="Times New Roman"/>
          <w:b/>
          <w:color w:val="222222"/>
          <w:szCs w:val="22"/>
          <w:lang w:val="en-US"/>
        </w:rPr>
        <w:t>SM-</w:t>
      </w:r>
      <w:r w:rsidRPr="0084570B">
        <w:rPr>
          <w:rFonts w:ascii="Times New Roman" w:eastAsia="Times New Roman" w:hAnsi="Times New Roman" w:cs="Times New Roman"/>
          <w:b/>
          <w:color w:val="222222"/>
          <w:szCs w:val="22"/>
          <w:lang w:val="en-US"/>
        </w:rPr>
        <w:t>2°</w:t>
      </w:r>
      <w:r w:rsidRPr="0084570B">
        <w:rPr>
          <w:rFonts w:ascii="Times New Roman" w:eastAsia="Times New Roman" w:hAnsi="Times New Roman" w:cs="Times New Roman"/>
          <w:b/>
          <w:szCs w:val="22"/>
          <w:lang w:val="en-US"/>
        </w:rPr>
        <w:t xml:space="preserve"> </w:t>
      </w:r>
      <w:r w:rsidR="00773913" w:rsidRPr="0084570B">
        <w:rPr>
          <w:rFonts w:ascii="Times New Roman" w:eastAsia="Times New Roman" w:hAnsi="Times New Roman" w:cs="Times New Roman"/>
          <w:b/>
          <w:szCs w:val="22"/>
          <w:lang w:val="en-US"/>
        </w:rPr>
        <w:t xml:space="preserve">"Kr-in-CC.xlsx" </w:t>
      </w:r>
      <w:r w:rsidR="00773913" w:rsidRPr="0084570B">
        <w:rPr>
          <w:rFonts w:ascii="Times New Roman" w:eastAsia="Times New Roman" w:hAnsi="Times New Roman" w:cs="Times New Roman"/>
          <w:szCs w:val="22"/>
          <w:lang w:val="en-US"/>
        </w:rPr>
        <w:t>is an excel file that compiles</w:t>
      </w:r>
      <w:r w:rsidRPr="0084570B">
        <w:rPr>
          <w:rFonts w:ascii="Times New Roman" w:eastAsia="Times New Roman" w:hAnsi="Times New Roman" w:cs="Times New Roman"/>
          <w:szCs w:val="22"/>
          <w:lang w:val="en-US"/>
        </w:rPr>
        <w:t xml:space="preserve"> </w:t>
      </w:r>
      <w:r w:rsidR="00773913" w:rsidRPr="0084570B">
        <w:rPr>
          <w:rFonts w:ascii="Times New Roman" w:eastAsia="Times New Roman" w:hAnsi="Times New Roman" w:cs="Times New Roman"/>
          <w:szCs w:val="22"/>
          <w:lang w:val="en-US"/>
        </w:rPr>
        <w:t>available literature</w:t>
      </w:r>
      <w:r w:rsidRPr="0084570B">
        <w:rPr>
          <w:rFonts w:ascii="Times New Roman" w:eastAsia="Times New Roman" w:hAnsi="Times New Roman" w:cs="Times New Roman"/>
          <w:szCs w:val="22"/>
          <w:lang w:val="en-US"/>
        </w:rPr>
        <w:t xml:space="preserve"> data </w:t>
      </w:r>
      <w:r w:rsidR="00773913" w:rsidRPr="0084570B">
        <w:rPr>
          <w:rFonts w:ascii="Times New Roman" w:eastAsia="Times New Roman" w:hAnsi="Times New Roman" w:cs="Times New Roman"/>
          <w:szCs w:val="22"/>
          <w:lang w:val="en-US"/>
        </w:rPr>
        <w:t>for Kr isotopes in carbonaceous chondrites.</w:t>
      </w:r>
    </w:p>
    <w:p w14:paraId="3896941F" w14:textId="3B5168AC" w:rsidR="00AA423F" w:rsidRPr="0084570B" w:rsidRDefault="00AA423F" w:rsidP="00AA423F">
      <w:pPr>
        <w:spacing w:line="360" w:lineRule="auto"/>
        <w:jc w:val="both"/>
        <w:rPr>
          <w:rFonts w:ascii="Times New Roman" w:eastAsia="Times New Roman" w:hAnsi="Times New Roman" w:cs="Times New Roman"/>
          <w:sz w:val="36"/>
          <w:szCs w:val="34"/>
          <w:lang w:val="en-US"/>
        </w:rPr>
      </w:pPr>
      <w:r w:rsidRPr="0084570B">
        <w:rPr>
          <w:rFonts w:ascii="Times New Roman" w:eastAsia="Times New Roman" w:hAnsi="Times New Roman" w:cs="Times New Roman"/>
          <w:b/>
          <w:color w:val="222222"/>
          <w:szCs w:val="22"/>
          <w:lang w:val="en-US"/>
        </w:rPr>
        <w:tab/>
      </w:r>
      <w:r w:rsidR="00D971FA" w:rsidRPr="0084570B">
        <w:rPr>
          <w:rFonts w:ascii="Times New Roman" w:eastAsia="Times New Roman" w:hAnsi="Times New Roman" w:cs="Times New Roman"/>
          <w:b/>
          <w:color w:val="222222"/>
          <w:szCs w:val="22"/>
          <w:lang w:val="en-US"/>
        </w:rPr>
        <w:t>SM-</w:t>
      </w:r>
      <w:r w:rsidRPr="0084570B">
        <w:rPr>
          <w:rFonts w:ascii="Times New Roman" w:eastAsia="Times New Roman" w:hAnsi="Times New Roman" w:cs="Times New Roman"/>
          <w:b/>
          <w:color w:val="222222"/>
          <w:szCs w:val="22"/>
          <w:lang w:val="en-US"/>
        </w:rPr>
        <w:t>3°</w:t>
      </w:r>
      <w:r w:rsidRPr="0084570B">
        <w:rPr>
          <w:rFonts w:ascii="Times New Roman" w:eastAsia="Times New Roman" w:hAnsi="Times New Roman" w:cs="Times New Roman"/>
          <w:b/>
          <w:szCs w:val="22"/>
          <w:lang w:val="en-US"/>
        </w:rPr>
        <w:t xml:space="preserve"> </w:t>
      </w:r>
      <w:r w:rsidR="00773913" w:rsidRPr="0084570B">
        <w:rPr>
          <w:rFonts w:ascii="Times New Roman" w:eastAsia="Times New Roman" w:hAnsi="Times New Roman" w:cs="Times New Roman"/>
          <w:b/>
          <w:szCs w:val="22"/>
          <w:lang w:val="en-US"/>
        </w:rPr>
        <w:t xml:space="preserve">"Mantle_Xe_evolution.py" </w:t>
      </w:r>
      <w:r w:rsidR="00773913" w:rsidRPr="0084570B">
        <w:rPr>
          <w:rFonts w:ascii="Times New Roman" w:eastAsia="Times New Roman" w:hAnsi="Times New Roman" w:cs="Times New Roman"/>
          <w:szCs w:val="22"/>
          <w:lang w:val="en-US"/>
        </w:rPr>
        <w:t>is a python code used</w:t>
      </w:r>
      <w:r w:rsidRPr="0084570B">
        <w:rPr>
          <w:rFonts w:ascii="Times New Roman" w:eastAsia="Times New Roman" w:hAnsi="Times New Roman" w:cs="Times New Roman"/>
          <w:szCs w:val="22"/>
          <w:lang w:val="en-US"/>
        </w:rPr>
        <w:t xml:space="preserve"> for modeling mantle Xe isotope evolution</w:t>
      </w:r>
      <w:r w:rsidR="00773913" w:rsidRPr="0084570B">
        <w:rPr>
          <w:rFonts w:ascii="Times New Roman" w:eastAsia="Times New Roman" w:hAnsi="Times New Roman" w:cs="Times New Roman"/>
          <w:szCs w:val="22"/>
          <w:lang w:val="en-US"/>
        </w:rPr>
        <w:t>.</w:t>
      </w:r>
    </w:p>
    <w:p w14:paraId="03BD2BF4" w14:textId="77777777" w:rsidR="00AA423F" w:rsidRPr="0084570B" w:rsidRDefault="00AA423F" w:rsidP="004B398D">
      <w:pPr>
        <w:jc w:val="center"/>
        <w:rPr>
          <w:rFonts w:ascii="Times New Roman" w:eastAsia="Times New Roman" w:hAnsi="Times New Roman" w:cs="Times New Roman"/>
          <w:b/>
          <w:sz w:val="36"/>
          <w:szCs w:val="34"/>
          <w:lang w:val="en-US"/>
        </w:rPr>
      </w:pPr>
    </w:p>
    <w:p w14:paraId="1A0C2B53" w14:textId="3F36F8B4" w:rsidR="00550287" w:rsidRPr="0084570B" w:rsidRDefault="00840EDE" w:rsidP="004B398D">
      <w:pPr>
        <w:jc w:val="center"/>
        <w:rPr>
          <w:rFonts w:ascii="Times New Roman" w:eastAsia="Times New Roman" w:hAnsi="Times New Roman" w:cs="Times New Roman"/>
          <w:b/>
          <w:sz w:val="36"/>
          <w:szCs w:val="34"/>
          <w:lang w:val="en-US"/>
        </w:rPr>
      </w:pPr>
      <w:r w:rsidRPr="0084570B">
        <w:rPr>
          <w:rFonts w:ascii="Times New Roman" w:eastAsia="Times New Roman" w:hAnsi="Times New Roman" w:cs="Times New Roman"/>
          <w:b/>
          <w:sz w:val="36"/>
          <w:szCs w:val="34"/>
          <w:lang w:val="en-US"/>
        </w:rPr>
        <w:t xml:space="preserve">Supplementary </w:t>
      </w:r>
      <w:r w:rsidR="00161A54" w:rsidRPr="0084570B">
        <w:rPr>
          <w:rFonts w:ascii="Times New Roman" w:eastAsia="Times New Roman" w:hAnsi="Times New Roman" w:cs="Times New Roman"/>
          <w:b/>
          <w:sz w:val="36"/>
          <w:szCs w:val="34"/>
          <w:lang w:val="en-US"/>
        </w:rPr>
        <w:t>Information</w:t>
      </w:r>
    </w:p>
    <w:p w14:paraId="1B646B96" w14:textId="77777777" w:rsidR="00FA2ECF" w:rsidRPr="0084570B" w:rsidRDefault="00FA2ECF" w:rsidP="004B398D">
      <w:pPr>
        <w:jc w:val="center"/>
        <w:rPr>
          <w:rFonts w:ascii="Times New Roman" w:eastAsia="Times New Roman" w:hAnsi="Times New Roman" w:cs="Times New Roman"/>
          <w:b/>
          <w:sz w:val="36"/>
          <w:szCs w:val="34"/>
          <w:lang w:val="en-US"/>
        </w:rPr>
      </w:pPr>
    </w:p>
    <w:p w14:paraId="295D6030" w14:textId="77777777" w:rsidR="00773913" w:rsidRPr="0084570B" w:rsidRDefault="00773913" w:rsidP="004B398D">
      <w:pPr>
        <w:jc w:val="center"/>
        <w:rPr>
          <w:rFonts w:ascii="Times New Roman" w:eastAsia="Times New Roman" w:hAnsi="Times New Roman" w:cs="Times New Roman"/>
          <w:b/>
          <w:sz w:val="36"/>
          <w:szCs w:val="34"/>
          <w:lang w:val="en-US"/>
        </w:rPr>
      </w:pPr>
    </w:p>
    <w:p w14:paraId="24EDCED1" w14:textId="3F5C0E46" w:rsidR="00473D3D" w:rsidRPr="0084570B" w:rsidRDefault="006D1220" w:rsidP="00BF04FA">
      <w:pPr>
        <w:spacing w:line="360" w:lineRule="auto"/>
        <w:jc w:val="both"/>
        <w:rPr>
          <w:rFonts w:ascii="Times New Roman" w:eastAsia="Times New Roman" w:hAnsi="Times New Roman" w:cs="Times New Roman"/>
          <w:b/>
          <w:color w:val="222222"/>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473D3D" w:rsidRPr="0084570B">
        <w:rPr>
          <w:rFonts w:ascii="Times New Roman" w:eastAsia="Times New Roman" w:hAnsi="Times New Roman" w:cs="Times New Roman"/>
          <w:b/>
          <w:color w:val="222222"/>
          <w:szCs w:val="22"/>
          <w:lang w:val="en-US"/>
        </w:rPr>
        <w:t xml:space="preserve">1° </w:t>
      </w:r>
      <w:r w:rsidR="00BF04FA" w:rsidRPr="0084570B">
        <w:rPr>
          <w:rFonts w:ascii="Times New Roman" w:eastAsia="Times New Roman" w:hAnsi="Times New Roman" w:cs="Times New Roman"/>
          <w:b/>
          <w:szCs w:val="22"/>
          <w:lang w:val="en-US"/>
        </w:rPr>
        <w:t>R</w:t>
      </w:r>
      <w:r w:rsidR="00473D3D" w:rsidRPr="0084570B">
        <w:rPr>
          <w:rFonts w:ascii="Times New Roman" w:eastAsia="Times New Roman" w:hAnsi="Times New Roman" w:cs="Times New Roman"/>
          <w:b/>
          <w:szCs w:val="22"/>
          <w:lang w:val="en-US"/>
        </w:rPr>
        <w:t>esults, and comparison with previous methods</w:t>
      </w:r>
    </w:p>
    <w:p w14:paraId="4A3C4FAF" w14:textId="08D49B0D" w:rsidR="00473D3D" w:rsidRPr="0084570B" w:rsidRDefault="006D1220" w:rsidP="006D1220">
      <w:pPr>
        <w:spacing w:line="360" w:lineRule="auto"/>
        <w:jc w:val="both"/>
        <w:rPr>
          <w:rFonts w:ascii="Times New Roman" w:eastAsia="Times New Roman" w:hAnsi="Times New Roman" w:cs="Times New Roman"/>
          <w:b/>
          <w:color w:val="222222"/>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2</w:t>
      </w:r>
      <w:r w:rsidR="00473D3D" w:rsidRPr="0084570B">
        <w:rPr>
          <w:rFonts w:ascii="Times New Roman" w:eastAsia="Times New Roman" w:hAnsi="Times New Roman" w:cs="Times New Roman"/>
          <w:b/>
          <w:color w:val="222222"/>
          <w:szCs w:val="22"/>
          <w:lang w:val="en-US"/>
        </w:rPr>
        <w:t>°</w:t>
      </w:r>
      <w:r w:rsidR="00473D3D" w:rsidRPr="0084570B">
        <w:rPr>
          <w:rFonts w:ascii="Times New Roman" w:eastAsia="Times New Roman" w:hAnsi="Times New Roman" w:cs="Times New Roman"/>
          <w:b/>
          <w:szCs w:val="22"/>
          <w:lang w:val="en-US"/>
        </w:rPr>
        <w:t xml:space="preserve"> </w:t>
      </w:r>
      <w:r w:rsidR="00BF0CCB" w:rsidRPr="0084570B">
        <w:rPr>
          <w:rFonts w:ascii="Times New Roman" w:eastAsia="Times New Roman" w:hAnsi="Times New Roman" w:cs="Times New Roman"/>
          <w:b/>
          <w:szCs w:val="22"/>
          <w:lang w:val="en-US"/>
        </w:rPr>
        <w:t>Identification</w:t>
      </w:r>
      <w:r w:rsidR="00473D3D" w:rsidRPr="0084570B">
        <w:rPr>
          <w:rFonts w:ascii="Times New Roman" w:eastAsia="Times New Roman" w:hAnsi="Times New Roman" w:cs="Times New Roman"/>
          <w:b/>
          <w:szCs w:val="22"/>
          <w:lang w:val="en-US"/>
        </w:rPr>
        <w:t xml:space="preserve"> of a primordial </w:t>
      </w:r>
      <w:r w:rsidR="00BF0CCB" w:rsidRPr="0084570B">
        <w:rPr>
          <w:rFonts w:ascii="Times New Roman" w:eastAsia="Times New Roman" w:hAnsi="Times New Roman" w:cs="Times New Roman"/>
          <w:b/>
          <w:szCs w:val="22"/>
          <w:lang w:val="en-US"/>
        </w:rPr>
        <w:t xml:space="preserve">Kr and </w:t>
      </w:r>
      <w:r w:rsidR="00473D3D" w:rsidRPr="0084570B">
        <w:rPr>
          <w:rFonts w:ascii="Times New Roman" w:eastAsia="Times New Roman" w:hAnsi="Times New Roman" w:cs="Times New Roman"/>
          <w:b/>
          <w:szCs w:val="22"/>
          <w:lang w:val="en-US"/>
        </w:rPr>
        <w:t>Xe component</w:t>
      </w:r>
      <w:r w:rsidR="00BF0CCB" w:rsidRPr="0084570B">
        <w:rPr>
          <w:rFonts w:ascii="Times New Roman" w:eastAsia="Times New Roman" w:hAnsi="Times New Roman" w:cs="Times New Roman"/>
          <w:b/>
          <w:szCs w:val="22"/>
          <w:lang w:val="en-US"/>
        </w:rPr>
        <w:t>s</w:t>
      </w:r>
    </w:p>
    <w:p w14:paraId="0890B111" w14:textId="0626502F" w:rsidR="00473D3D" w:rsidRPr="0084570B" w:rsidRDefault="006D1220" w:rsidP="006D1220">
      <w:pPr>
        <w:spacing w:line="360" w:lineRule="auto"/>
        <w:jc w:val="both"/>
        <w:rPr>
          <w:rFonts w:ascii="Times New Roman" w:eastAsia="Times New Roman" w:hAnsi="Times New Roman" w:cs="Times New Roman"/>
          <w:b/>
          <w:sz w:val="22"/>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3</w:t>
      </w:r>
      <w:r w:rsidR="00473D3D" w:rsidRPr="0084570B">
        <w:rPr>
          <w:rFonts w:ascii="Times New Roman" w:eastAsia="Times New Roman" w:hAnsi="Times New Roman" w:cs="Times New Roman"/>
          <w:b/>
          <w:color w:val="222222"/>
          <w:szCs w:val="22"/>
          <w:lang w:val="en-US"/>
        </w:rPr>
        <w:t>°</w:t>
      </w:r>
      <w:r w:rsidR="00473D3D" w:rsidRPr="0084570B">
        <w:rPr>
          <w:rFonts w:ascii="Times New Roman" w:eastAsia="Times New Roman" w:hAnsi="Times New Roman" w:cs="Times New Roman"/>
          <w:b/>
          <w:szCs w:val="22"/>
          <w:lang w:val="en-US"/>
        </w:rPr>
        <w:t xml:space="preserve"> </w:t>
      </w:r>
      <w:r w:rsidR="00265BDB" w:rsidRPr="0084570B">
        <w:rPr>
          <w:rFonts w:ascii="Times New Roman" w:eastAsia="Times New Roman" w:hAnsi="Times New Roman" w:cs="Times New Roman"/>
          <w:b/>
          <w:szCs w:val="28"/>
          <w:lang w:val="en-US"/>
        </w:rPr>
        <w:t>Noble gas abundance ratio systematics</w:t>
      </w:r>
    </w:p>
    <w:p w14:paraId="42248F7E" w14:textId="71301425" w:rsidR="00473D3D" w:rsidRPr="0084570B" w:rsidRDefault="006D1220" w:rsidP="006D1220">
      <w:pPr>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4</w:t>
      </w:r>
      <w:r w:rsidR="00473D3D" w:rsidRPr="0084570B">
        <w:rPr>
          <w:rFonts w:ascii="Times New Roman" w:eastAsia="Times New Roman" w:hAnsi="Times New Roman" w:cs="Times New Roman"/>
          <w:b/>
          <w:color w:val="222222"/>
          <w:szCs w:val="22"/>
          <w:lang w:val="en-US"/>
        </w:rPr>
        <w:t>°</w:t>
      </w:r>
      <w:r w:rsidR="00473D3D" w:rsidRPr="0084570B">
        <w:rPr>
          <w:rFonts w:ascii="Times New Roman" w:eastAsia="Times New Roman" w:hAnsi="Times New Roman" w:cs="Times New Roman"/>
          <w:b/>
          <w:szCs w:val="22"/>
          <w:lang w:val="en-US"/>
        </w:rPr>
        <w:t xml:space="preserve"> </w:t>
      </w:r>
      <w:r w:rsidR="00265BDB" w:rsidRPr="0084570B">
        <w:rPr>
          <w:rFonts w:ascii="Times New Roman" w:eastAsia="Times New Roman" w:hAnsi="Times New Roman" w:cs="Times New Roman"/>
          <w:b/>
          <w:szCs w:val="22"/>
          <w:lang w:val="en-US"/>
        </w:rPr>
        <w:t>Xe isotope correction for gravitational settling</w:t>
      </w:r>
    </w:p>
    <w:p w14:paraId="3212640E" w14:textId="014C5BD8" w:rsidR="00FA2ECF" w:rsidRPr="0084570B" w:rsidRDefault="00FA2ECF" w:rsidP="006D1220">
      <w:pPr>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5</w:t>
      </w:r>
      <w:r w:rsidRPr="0084570B">
        <w:rPr>
          <w:rFonts w:ascii="Times New Roman" w:eastAsia="Times New Roman" w:hAnsi="Times New Roman" w:cs="Times New Roman"/>
          <w:b/>
          <w:color w:val="222222"/>
          <w:szCs w:val="22"/>
          <w:lang w:val="en-US"/>
        </w:rPr>
        <w:t xml:space="preserve">° </w:t>
      </w:r>
      <w:r w:rsidRPr="0084570B">
        <w:rPr>
          <w:rFonts w:ascii="Times New Roman" w:eastAsia="Times New Roman" w:hAnsi="Times New Roman" w:cs="Times New Roman"/>
          <w:b/>
          <w:szCs w:val="22"/>
          <w:lang w:val="en-US"/>
        </w:rPr>
        <w:t>Monte Carlo deconvolution of Xe isotope signals</w:t>
      </w:r>
    </w:p>
    <w:p w14:paraId="2614AFF8" w14:textId="72614ACB" w:rsidR="00964453" w:rsidRPr="0084570B" w:rsidRDefault="006D1220" w:rsidP="00964453">
      <w:pPr>
        <w:spacing w:line="360" w:lineRule="auto"/>
        <w:jc w:val="both"/>
        <w:rPr>
          <w:rFonts w:ascii="Times New Roman" w:eastAsia="Times New Roman" w:hAnsi="Times New Roman" w:cs="Times New Roman"/>
          <w:b/>
          <w:color w:val="222222"/>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6</w:t>
      </w:r>
      <w:r w:rsidR="00964453" w:rsidRPr="0084570B">
        <w:rPr>
          <w:rFonts w:ascii="Times New Roman" w:eastAsia="Times New Roman" w:hAnsi="Times New Roman" w:cs="Times New Roman"/>
          <w:b/>
          <w:color w:val="222222"/>
          <w:szCs w:val="22"/>
          <w:lang w:val="en-US"/>
        </w:rPr>
        <w:t>°</w:t>
      </w:r>
      <w:r w:rsidR="00964453" w:rsidRPr="0084570B">
        <w:rPr>
          <w:rFonts w:ascii="Times New Roman" w:eastAsia="Times New Roman" w:hAnsi="Times New Roman" w:cs="Times New Roman"/>
          <w:b/>
          <w:szCs w:val="22"/>
          <w:lang w:val="en-US"/>
        </w:rPr>
        <w:t xml:space="preserve"> Numerical model of mantle Xe evolution</w:t>
      </w:r>
    </w:p>
    <w:p w14:paraId="02AF797D" w14:textId="554E734A" w:rsidR="00964453" w:rsidRPr="0084570B" w:rsidRDefault="00964453" w:rsidP="00964453">
      <w:pPr>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7</w:t>
      </w:r>
      <w:r w:rsidRPr="0084570B">
        <w:rPr>
          <w:rFonts w:ascii="Times New Roman" w:eastAsia="Times New Roman" w:hAnsi="Times New Roman" w:cs="Times New Roman"/>
          <w:b/>
          <w:color w:val="222222"/>
          <w:szCs w:val="22"/>
          <w:lang w:val="en-US"/>
        </w:rPr>
        <w:t>°</w:t>
      </w:r>
      <w:r w:rsidRPr="0084570B">
        <w:rPr>
          <w:rFonts w:ascii="Times New Roman" w:eastAsia="Times New Roman" w:hAnsi="Times New Roman" w:cs="Times New Roman"/>
          <w:b/>
          <w:szCs w:val="22"/>
          <w:lang w:val="en-US"/>
        </w:rPr>
        <w:t xml:space="preserve"> Results of the numerical model </w:t>
      </w:r>
    </w:p>
    <w:p w14:paraId="4964FD8F" w14:textId="371BD64A" w:rsidR="00AA423F" w:rsidRPr="0084570B" w:rsidRDefault="00964453" w:rsidP="006D1220">
      <w:pPr>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color w:val="222222"/>
          <w:szCs w:val="22"/>
          <w:lang w:val="en-US"/>
        </w:rPr>
        <w:tab/>
      </w:r>
      <w:r w:rsidR="00773913" w:rsidRPr="0084570B">
        <w:rPr>
          <w:rFonts w:ascii="Times New Roman" w:eastAsia="Times New Roman" w:hAnsi="Times New Roman" w:cs="Times New Roman"/>
          <w:b/>
          <w:color w:val="222222"/>
          <w:szCs w:val="22"/>
          <w:lang w:val="en-US"/>
        </w:rPr>
        <w:t>S</w:t>
      </w:r>
      <w:r w:rsidR="00D971FA" w:rsidRPr="0084570B">
        <w:rPr>
          <w:rFonts w:ascii="Times New Roman" w:eastAsia="Times New Roman" w:hAnsi="Times New Roman" w:cs="Times New Roman"/>
          <w:b/>
          <w:color w:val="222222"/>
          <w:szCs w:val="22"/>
          <w:lang w:val="en-US"/>
        </w:rPr>
        <w:t>I-</w:t>
      </w:r>
      <w:r w:rsidR="00265BDB" w:rsidRPr="0084570B">
        <w:rPr>
          <w:rFonts w:ascii="Times New Roman" w:eastAsia="Times New Roman" w:hAnsi="Times New Roman" w:cs="Times New Roman"/>
          <w:b/>
          <w:color w:val="222222"/>
          <w:szCs w:val="22"/>
          <w:lang w:val="en-US"/>
        </w:rPr>
        <w:t>8</w:t>
      </w:r>
      <w:r w:rsidR="00473D3D" w:rsidRPr="0084570B">
        <w:rPr>
          <w:rFonts w:ascii="Times New Roman" w:eastAsia="Times New Roman" w:hAnsi="Times New Roman" w:cs="Times New Roman"/>
          <w:b/>
          <w:color w:val="222222"/>
          <w:szCs w:val="22"/>
          <w:lang w:val="en-US"/>
        </w:rPr>
        <w:t xml:space="preserve">° </w:t>
      </w:r>
      <w:r w:rsidR="00473D3D" w:rsidRPr="0084570B">
        <w:rPr>
          <w:rFonts w:ascii="Times New Roman" w:eastAsia="Times New Roman" w:hAnsi="Times New Roman" w:cs="Times New Roman"/>
          <w:b/>
          <w:szCs w:val="22"/>
          <w:lang w:val="en-US"/>
        </w:rPr>
        <w:t>Magma ocean crystallization model</w:t>
      </w:r>
    </w:p>
    <w:p w14:paraId="7D6867A7" w14:textId="7E3FE847" w:rsidR="00773913" w:rsidRPr="0084570B" w:rsidRDefault="006D1220" w:rsidP="00773913">
      <w:pPr>
        <w:spacing w:line="360" w:lineRule="auto"/>
        <w:jc w:val="both"/>
        <w:rPr>
          <w:rFonts w:ascii="Times New Roman" w:eastAsia="Times New Roman" w:hAnsi="Times New Roman" w:cs="Times New Roman"/>
          <w:b/>
          <w:color w:val="222222"/>
          <w:szCs w:val="22"/>
          <w:lang w:val="en-US"/>
        </w:rPr>
      </w:pPr>
      <w:r w:rsidRPr="0084570B">
        <w:rPr>
          <w:rFonts w:ascii="Times New Roman" w:eastAsia="Times New Roman" w:hAnsi="Times New Roman" w:cs="Times New Roman"/>
          <w:b/>
          <w:color w:val="222222"/>
          <w:szCs w:val="22"/>
          <w:lang w:val="en-US"/>
        </w:rPr>
        <w:tab/>
      </w:r>
      <w:r w:rsidR="0074365B" w:rsidRPr="0084570B">
        <w:rPr>
          <w:rFonts w:ascii="Times New Roman" w:eastAsia="Times New Roman" w:hAnsi="Times New Roman" w:cs="Times New Roman"/>
          <w:b/>
          <w:szCs w:val="22"/>
          <w:lang w:val="en-US"/>
        </w:rPr>
        <w:t xml:space="preserve"> </w:t>
      </w:r>
      <w:r w:rsidR="00773913" w:rsidRPr="0084570B">
        <w:rPr>
          <w:rFonts w:ascii="Times New Roman" w:eastAsia="Times New Roman" w:hAnsi="Times New Roman" w:cs="Times New Roman"/>
          <w:b/>
          <w:sz w:val="28"/>
          <w:szCs w:val="28"/>
          <w:lang w:val="en-US"/>
        </w:rPr>
        <w:br w:type="page"/>
      </w:r>
    </w:p>
    <w:p w14:paraId="217367AA" w14:textId="34A3F485" w:rsidR="00BF04FA" w:rsidRPr="0084570B" w:rsidRDefault="00BF04FA" w:rsidP="00BF04FA">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 xml:space="preserve">SI-1° </w:t>
      </w:r>
      <w:r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701248" behindDoc="1" locked="0" layoutInCell="1" allowOverlap="1" wp14:anchorId="280EE20E" wp14:editId="5E02EA9B">
                <wp:simplePos x="0" y="0"/>
                <wp:positionH relativeFrom="column">
                  <wp:posOffset>11430</wp:posOffset>
                </wp:positionH>
                <wp:positionV relativeFrom="paragraph">
                  <wp:posOffset>-27840</wp:posOffset>
                </wp:positionV>
                <wp:extent cx="5753735" cy="270510"/>
                <wp:effectExtent l="0" t="0" r="12065" b="8890"/>
                <wp:wrapNone/>
                <wp:docPr id="6" name="Rectangle 6"/>
                <wp:cNvGraphicFramePr/>
                <a:graphic xmlns:a="http://schemas.openxmlformats.org/drawingml/2006/main">
                  <a:graphicData uri="http://schemas.microsoft.com/office/word/2010/wordprocessingShape">
                    <wps:wsp>
                      <wps:cNvSpPr/>
                      <wps:spPr>
                        <a:xfrm>
                          <a:off x="0" y="0"/>
                          <a:ext cx="5753735"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2EF820" id="Rectangle 6" o:spid="_x0000_s1026" style="position:absolute;margin-left:.9pt;margin-top:-2.2pt;width:453.05pt;height:21.3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" fillcolor="#f2dbdb [661]" stroked="f"/>
            </w:pict>
          </mc:Fallback>
        </mc:AlternateContent>
      </w:r>
      <w:r w:rsidRPr="0084570B">
        <w:rPr>
          <w:rFonts w:ascii="Times New Roman" w:eastAsia="Times New Roman" w:hAnsi="Times New Roman" w:cs="Times New Roman"/>
          <w:b/>
          <w:sz w:val="28"/>
          <w:szCs w:val="28"/>
          <w:lang w:val="en-US"/>
        </w:rPr>
        <w:t>Results and comparison with previous methods</w:t>
      </w:r>
    </w:p>
    <w:p w14:paraId="635CBAA0" w14:textId="77777777" w:rsidR="00BF04FA" w:rsidRPr="0084570B" w:rsidRDefault="00BF04FA" w:rsidP="00BF04FA">
      <w:pPr>
        <w:pStyle w:val="Normal1"/>
        <w:spacing w:line="360" w:lineRule="auto"/>
        <w:ind w:firstLine="720"/>
        <w:jc w:val="both"/>
        <w:rPr>
          <w:rFonts w:ascii="Times New Roman" w:eastAsia="Times New Roman" w:hAnsi="Times New Roman" w:cs="Times New Roman"/>
          <w:sz w:val="22"/>
          <w:szCs w:val="22"/>
          <w:lang w:val="en-US"/>
        </w:rPr>
      </w:pPr>
    </w:p>
    <w:p w14:paraId="77706C1B" w14:textId="63044556" w:rsidR="00BF04FA" w:rsidRPr="0084570B" w:rsidRDefault="00BF04FA" w:rsidP="00BF04FA">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 xml:space="preserve">One major difference between this study and previous work is the analytical technique that has been used for noble gas measurements (i.e., dynamic and static mass spectrometry, respectively). </w:t>
      </w:r>
      <w:r w:rsidRPr="0084570B">
        <w:rPr>
          <w:rFonts w:ascii="Times New Roman" w:eastAsia="Times New Roman" w:hAnsi="Times New Roman" w:cs="Times New Roman"/>
          <w:color w:val="222222"/>
          <w:sz w:val="22"/>
          <w:szCs w:val="22"/>
          <w:lang w:val="en-US"/>
        </w:rPr>
        <w:t>Because the DMS method does not require noble gas separation prior to analysis and allows for many comparable measurements of purified sample gas and standard gas of known isotopic composition over the course of an analysis</w:t>
      </w:r>
      <w:r w:rsidRPr="0084570B">
        <w:rPr>
          <w:rFonts w:ascii="Times New Roman" w:eastAsia="Times New Roman" w:hAnsi="Times New Roman" w:cs="Times New Roman"/>
          <w:color w:val="222222"/>
          <w:sz w:val="22"/>
          <w:szCs w:val="22"/>
          <w:lang w:val="en-US"/>
        </w:rPr>
        <w:fldChar w:fldCharType="begin" w:fldLock="1"/>
      </w:r>
      <w:r w:rsidRPr="0084570B">
        <w:rPr>
          <w:rFonts w:ascii="Times New Roman" w:eastAsia="Times New Roman" w:hAnsi="Times New Roman" w:cs="Times New Roman"/>
          <w:color w:val="222222"/>
          <w:sz w:val="22"/>
          <w:szCs w:val="22"/>
          <w:lang w:val="en-US"/>
        </w:rPr>
        <w:instrText>ADDIN CSL_CITATION {"citationItems":[{"id":"ITEM-1","itemData":{"DOI":"10.1016/j.ijms.2022.116873","ISSN":"13873806","abstract":"We describe a new method for the purification, transfer, and analysis of heavy noble gas isotope ratios in water, air, or volcanic gas samples using a dynamic dual-inlet isotope-ratio mass spectrometer (IRMS). IRMS noble gas analysis offers the potential for orders-of-magnitude higher precision than traditional (static) noble gas mass spectrometry. However, due to both inherent IRMS requirements and challenges associated with sample collection and purification, measuring noble gases via IRMS has typically been limited to samples with an air-like elemental composition. Our new method allows for highly accurate and precise measurements of Ar, Kr, and Xe isotope ratios via IRMS, independent of sample composition, thereby opening the door to air, water, or volcanic gas analyses all made with the same technique. This approach exploits the fact that purified heavy noble gas samples are dominated by 40Ar, such that matching 40Ar ion beams between sample and reference gas streams results in pressure balancing. We further introduce new techniques for precisely quantifying and correcting for (i) Kr and Xe isotope non-linearity and matrix effects, (ii) interference of the low energy 40Ar tail on 36Ar and 38Ar ion beams, and (iii) the impact of short-term background fluctuations on trace Xe isotope measurements. We also present results from adsorption-desorption experiments with multiple adsorbent materials across a range of temperatures. For adsorption on silica gel, we find small equilibrium isotopic fractionation of Kr (εeq = −0.37 ± 0.04‰ amu−1, ±2 SE) and Xe (εeq = −0.06 ± 0.02‰ amu−1, ±2 SE) that may be relevant to studies of terrestrial Xe isotope signatures. We demonstrate that adsorption and desorption of heavy noble gases on silica gel at 77 K and 303 K, respectively, is highly reproducible and thus constitutes a viable and efficient method for transferring gases without reliance on cryostats or liquid helium.","author":[{"dropping-particle":"","family":"Seltzer","given":"Alan M.","non-dropping-particle":"","parse-names":false,"suffix":""},{"dropping-particle":"V.","family":"Bekaert","given":"David","non-dropping-particle":"","parse-names":false,"suffix":""}],"container-title":"International Journal of Mass Spectrometry","id":"ITEM-1","issued":{"date-parts":[["2022"]]},"page":"116873","publisher":"Elsevier B.V.","title":"A unified method for measuring noble gas isotope ratios in air, water, and volcanic gases via dynamic mass spectrometry","type":"article-journal","volume":"478"},"uris":["http://www.mendeley.com/documents/?uuid=dc6d6a16-300f-46fb-a510-086b1529bcd4"]}],"mendeley":{"formattedCitation":"&lt;sup&gt;8&lt;/sup&gt;","plainTextFormattedCitation":"8","previouslyFormattedCitation":"&lt;sup&gt;8&lt;/sup&gt;"},"properties":{"noteIndex":0},"schema":"https://github.com/citation-style-language/schema/raw/master/csl-citation.json"}</w:instrText>
      </w:r>
      <w:r w:rsidRPr="0084570B">
        <w:rPr>
          <w:rFonts w:ascii="Times New Roman" w:eastAsia="Times New Roman" w:hAnsi="Times New Roman" w:cs="Times New Roman"/>
          <w:color w:val="222222"/>
          <w:sz w:val="22"/>
          <w:szCs w:val="22"/>
          <w:lang w:val="en-US"/>
        </w:rPr>
        <w:fldChar w:fldCharType="separate"/>
      </w:r>
      <w:r w:rsidRPr="0084570B">
        <w:rPr>
          <w:rFonts w:ascii="Times New Roman" w:eastAsia="Times New Roman" w:hAnsi="Times New Roman" w:cs="Times New Roman"/>
          <w:noProof/>
          <w:color w:val="222222"/>
          <w:sz w:val="22"/>
          <w:szCs w:val="22"/>
          <w:vertAlign w:val="superscript"/>
          <w:lang w:val="en-US"/>
        </w:rPr>
        <w:t>8</w:t>
      </w:r>
      <w:r w:rsidRPr="0084570B">
        <w:rPr>
          <w:rFonts w:ascii="Times New Roman" w:eastAsia="Times New Roman" w:hAnsi="Times New Roman" w:cs="Times New Roman"/>
          <w:color w:val="222222"/>
          <w:sz w:val="22"/>
          <w:szCs w:val="22"/>
          <w:lang w:val="en-US"/>
        </w:rPr>
        <w:fldChar w:fldCharType="end"/>
      </w:r>
      <w:r w:rsidRPr="0084570B">
        <w:rPr>
          <w:rFonts w:ascii="Times New Roman" w:eastAsia="Times New Roman" w:hAnsi="Times New Roman" w:cs="Times New Roman"/>
          <w:color w:val="222222"/>
          <w:sz w:val="22"/>
          <w:szCs w:val="22"/>
          <w:lang w:val="en-US"/>
        </w:rPr>
        <w:t>, it is ideally suited to provide accurate and unbiased isotopic ratio determinations.</w:t>
      </w:r>
      <w:r w:rsidRPr="0084570B">
        <w:rPr>
          <w:rFonts w:ascii="Times New Roman" w:eastAsia="Times New Roman" w:hAnsi="Times New Roman" w:cs="Times New Roman"/>
          <w:sz w:val="22"/>
          <w:szCs w:val="22"/>
          <w:lang w:val="en-US"/>
        </w:rPr>
        <w:t xml:space="preserve"> At present, the reason why noble gas analyses of </w:t>
      </w:r>
      <w:r w:rsidRPr="0084570B">
        <w:rPr>
          <w:rFonts w:ascii="Times New Roman" w:eastAsia="Gungsuh" w:hAnsi="Times New Roman" w:cs="Times New Roman"/>
          <w:sz w:val="22"/>
          <w:szCs w:val="22"/>
          <w:lang w:val="en-US"/>
        </w:rPr>
        <w:t xml:space="preserve">popping rock 2∏D43 – considered to best represent the convecting mantle source composition – via </w:t>
      </w:r>
      <w:r w:rsidRPr="0084570B">
        <w:rPr>
          <w:rFonts w:ascii="Times New Roman" w:eastAsia="Times New Roman" w:hAnsi="Times New Roman" w:cs="Times New Roman"/>
          <w:sz w:val="22"/>
          <w:szCs w:val="22"/>
          <w:lang w:val="en-US"/>
        </w:rPr>
        <w:t xml:space="preserve">static mass spectrometry </w:t>
      </w:r>
      <w:r w:rsidRPr="0084570B">
        <w:rPr>
          <w:rFonts w:ascii="Times New Roman" w:eastAsia="Gungsuh" w:hAnsi="Times New Roman" w:cs="Times New Roman"/>
          <w:sz w:val="22"/>
          <w:szCs w:val="22"/>
          <w:lang w:val="en-US"/>
        </w:rPr>
        <w:t xml:space="preserve">have yielded </w:t>
      </w:r>
      <w:r w:rsidRPr="0084570B">
        <w:rPr>
          <w:rFonts w:ascii="Times New Roman" w:eastAsia="Times New Roman" w:hAnsi="Times New Roman" w:cs="Times New Roman"/>
          <w:sz w:val="22"/>
          <w:szCs w:val="22"/>
          <w:lang w:val="en-US"/>
        </w:rPr>
        <w:t xml:space="preserve">inconsistent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TF</w:t>
      </w:r>
      <w:r w:rsidRPr="0084570B">
        <w:rPr>
          <w:rFonts w:ascii="Times New Roman" w:eastAsia="Times New Roman" w:hAnsi="Times New Roman" w:cs="Times New Roman"/>
          <w:sz w:val="22"/>
          <w:szCs w:val="22"/>
          <w:lang w:val="en-US"/>
        </w:rPr>
        <w:t xml:space="preserve"> estimates</w:t>
      </w:r>
      <w:r w:rsidRPr="0084570B">
        <w:rPr>
          <w:rFonts w:ascii="Times New Roman" w:eastAsia="Gungsuh" w:hAnsi="Times New Roman" w:cs="Times New Roman"/>
          <w:sz w:val="22"/>
          <w:szCs w:val="22"/>
          <w:lang w:val="en-US"/>
        </w:rPr>
        <w:fldChar w:fldCharType="begin" w:fldLock="1"/>
      </w:r>
      <w:r w:rsidRPr="0084570B">
        <w:rPr>
          <w:rFonts w:ascii="Times New Roman" w:eastAsia="Gungsuh"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Gungsuh" w:hAnsi="Times New Roman" w:cs="Times New Roman"/>
          <w:sz w:val="22"/>
          <w:szCs w:val="22"/>
          <w:lang w:val="en-US"/>
        </w:rPr>
        <w:fldChar w:fldCharType="separate"/>
      </w:r>
      <w:r w:rsidRPr="0084570B">
        <w:rPr>
          <w:rFonts w:ascii="Times New Roman" w:eastAsia="Gungsuh" w:hAnsi="Times New Roman" w:cs="Times New Roman"/>
          <w:noProof/>
          <w:sz w:val="22"/>
          <w:szCs w:val="22"/>
          <w:vertAlign w:val="superscript"/>
          <w:lang w:val="en-US"/>
        </w:rPr>
        <w:t>6</w:t>
      </w:r>
      <w:r w:rsidRPr="0084570B">
        <w:rPr>
          <w:rFonts w:ascii="Times New Roman" w:eastAsia="Gungsuh" w:hAnsi="Times New Roman" w:cs="Times New Roman"/>
          <w:sz w:val="22"/>
          <w:szCs w:val="22"/>
          <w:lang w:val="en-US"/>
        </w:rPr>
        <w:fldChar w:fldCharType="end"/>
      </w:r>
      <w:r w:rsidRPr="0084570B">
        <w:rPr>
          <w:rFonts w:ascii="Times New Roman" w:eastAsia="Gungsuh" w:hAnsi="Times New Roman" w:cs="Times New Roman"/>
          <w:sz w:val="22"/>
          <w:szCs w:val="22"/>
          <w:vertAlign w:val="superscript"/>
          <w:lang w:val="en-US"/>
        </w:rPr>
        <w:t>,</w:t>
      </w:r>
      <w:r w:rsidRPr="0084570B">
        <w:rPr>
          <w:rFonts w:ascii="Times New Roman" w:eastAsia="Gungsuh" w:hAnsi="Times New Roman" w:cs="Times New Roman"/>
          <w:sz w:val="22"/>
          <w:szCs w:val="22"/>
          <w:lang w:val="en-US"/>
        </w:rPr>
        <w:fldChar w:fldCharType="begin" w:fldLock="1"/>
      </w:r>
      <w:r w:rsidR="00DB5D30" w:rsidRPr="0084570B">
        <w:rPr>
          <w:rFonts w:ascii="Times New Roman" w:eastAsia="Gungsuh" w:hAnsi="Times New Roman" w:cs="Times New Roman"/>
          <w:sz w:val="22"/>
          <w:szCs w:val="22"/>
          <w:lang w:val="en-US"/>
        </w:rPr>
        <w:instrText>ADDIN CSL_CITATION {"citationItems":[{"id":"ITEM-1","itemData":{"DOI":"10.7185/geochemlet.1833","ISSN":"24103403","abstract":"Noble gases serve as unique tracers of the origin and evolution of Earth's volatile reservoirs owing to their inert nature and contribution from extinct and extant radioactivities. However, noble gases are low in abundance relative to many other elements, particularly in the Earth's mantle. Additionally, mantle-derived samples show large post-eruptive atmospheric contamination, rendering the determination of the primary mantle composition challenging. The sources of mantle krypton and xenon remain debated due to their partially resolvable excess, if any, relative to the atmosphere. Atmospheric noble gases also appear to be recycled into the mantle via subduction, progressively overprinting the initial mantle signature. Here we develop a new protocol to accumulate non-contaminated mantle-derived xenon, in particular the low abundant 124-126-128Xe. The results show the highest excesses in 124-126-128Xe ever measured in the mantle relative to the atmosphere and point toward a chondritic origin for mantle xenon. The fissiogenic isotopes 131-132-134-136Xe allow the onset of efficient xenon recycling in the mantle to be constrained at around 3 Gyr ago, implying that volatile recycling before 3 Ga would have been negligible.","author":[{"dropping-particle":"","family":"Péron","given":"S.","non-dropping-particle":"","parse-names":false,"suffix":""},{"dropping-particle":"","family":"Moreira","given":"M.","non-dropping-particle":"","parse-names":false,"suffix":""}],"container-title":"Geochemical Perspectives Letters","id":"ITEM-1","issued":{"date-parts":[["2018"]]},"page":"21-25","title":"Onset of volatile recycling into the mantle determined by xenon anomalies","type":"article-journal","volume":"9"},"uris":["http://www.mendeley.com/documents/?uuid=674acf9a-5aca-44b5-bf2c-70f6853c1502"]}],"mendeley":{"formattedCitation":"&lt;sup&gt;15&lt;/sup&gt;","plainTextFormattedCitation":"15","previouslyFormattedCitation":"&lt;sup&gt;15&lt;/sup&gt;"},"properties":{"noteIndex":0},"schema":"https://github.com/citation-style-language/schema/raw/master/csl-citation.json"}</w:instrText>
      </w:r>
      <w:r w:rsidRPr="0084570B">
        <w:rPr>
          <w:rFonts w:ascii="Times New Roman" w:eastAsia="Gungsuh" w:hAnsi="Times New Roman" w:cs="Times New Roman"/>
          <w:sz w:val="22"/>
          <w:szCs w:val="22"/>
          <w:lang w:val="en-US"/>
        </w:rPr>
        <w:fldChar w:fldCharType="separate"/>
      </w:r>
      <w:r w:rsidR="00DB5D30" w:rsidRPr="0084570B">
        <w:rPr>
          <w:rFonts w:ascii="Times New Roman" w:eastAsia="Gungsuh" w:hAnsi="Times New Roman" w:cs="Times New Roman"/>
          <w:noProof/>
          <w:sz w:val="22"/>
          <w:szCs w:val="22"/>
          <w:vertAlign w:val="superscript"/>
          <w:lang w:val="en-US"/>
        </w:rPr>
        <w:t>15</w:t>
      </w:r>
      <w:r w:rsidRPr="0084570B">
        <w:rPr>
          <w:rFonts w:ascii="Times New Roman" w:eastAsia="Gungsuh"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Figure S1</w:t>
      </w:r>
      <w:r w:rsidRPr="0084570B">
        <w:rPr>
          <w:rFonts w:ascii="Times New Roman" w:eastAsia="Times New Roman" w:hAnsi="Times New Roman" w:cs="Times New Roman"/>
          <w:sz w:val="22"/>
          <w:szCs w:val="22"/>
          <w:lang w:val="en-US"/>
        </w:rPr>
        <w:t xml:space="preserve">) remains unknown. The enhanced precision and accuracy of DMS measurements relative to static mass spectrometry (e.g., </w:t>
      </w:r>
      <w:r w:rsidRPr="0084570B">
        <w:rPr>
          <w:rFonts w:ascii="Times New Roman" w:eastAsia="Times New Roman" w:hAnsi="Times New Roman" w:cs="Times New Roman"/>
          <w:b/>
          <w:sz w:val="22"/>
          <w:szCs w:val="22"/>
          <w:lang w:val="en-US"/>
        </w:rPr>
        <w:t>Figure 1</w:t>
      </w:r>
      <w:r w:rsidRPr="0084570B">
        <w:rPr>
          <w:rFonts w:ascii="Times New Roman" w:eastAsia="Times New Roman" w:hAnsi="Times New Roman" w:cs="Times New Roman"/>
          <w:sz w:val="22"/>
          <w:szCs w:val="22"/>
          <w:lang w:val="en-US"/>
        </w:rPr>
        <w:t>) suggests that DMS data presented in this study may provide the most accurate description of the convecting mantle composition</w:t>
      </w:r>
      <w:r w:rsidRPr="0084570B">
        <w:rPr>
          <w:rFonts w:ascii="Times New Roman" w:eastAsia="Times New Roman" w:hAnsi="Times New Roman" w:cs="Times New Roman"/>
          <w:sz w:val="22"/>
          <w:szCs w:val="22"/>
          <w:lang w:val="en-US"/>
        </w:rPr>
        <w:fldChar w:fldCharType="begin" w:fldLock="1"/>
      </w:r>
      <w:r w:rsidR="00A249A4">
        <w:rPr>
          <w:rFonts w:ascii="Times New Roman" w:eastAsia="Times New Roman" w:hAnsi="Times New Roman" w:cs="Times New Roman"/>
          <w:sz w:val="22"/>
          <w:szCs w:val="22"/>
          <w:lang w:val="en-US"/>
        </w:rPr>
        <w:instrText>ADDIN CSL_CITATION {"citationItems":[{"id":"ITEM-1","itemData":{"DOI":"10.1016/0012-821X(94)90240-2","ISSN":"0012821X","abstract":"The 0.5 Ma history of the origin and evolution of Mount Etna, Sicily has been investigated by analysing the isotopic composition of He, Ar, O, Sr and Nd in 21 selected lava samples. The near constancy of the isotopic compositions of oxygen (δ18O = 5.4 ± 0.3‰) and of helium trapped in olivine phenocrysts (6.7 ± 0.4 Ra) is interpreted as evidence of a single mantle source, despite drastic petrological changes during the volcano's history. He analyses performed by crushing cogenetic pyroxene and olivine phenocrysts show a tendency to lower 3He4He ratios in pyroxenes. This is best explained by crystallization of pyroxenes at a depth shallower than that of olivines and/or by exchange of helium trapped in pyroxenes with atmospheric or radiogenic He before eruption. 87Sr86Sr ratios of recent lavas tend to increase with time and to correlate with Rb Th ratios, and, for historical lavas, these variations are tentatively attributed to shallow selective contamination from underlying sediments. Based on the similarity of the 3He4He ratios at Etna to those of European mantle xenoliths [1], we propose that the 'baseline' geochemical signature of isotopic tracers at Etna reflects the composition of the subcontinental mantle. Comparison to other southern Italian active volcanoes (Etna, Vulcano Ischia, Campi Flegrei, Vesuvius) shows gradual dilution of the predominantly mantle Etnean end member by more radiogenic Sr and He and material with higher δ18O and C3He, which is reasonably explained by the progressively important influence of subducted continental crust. © 1994.","author":[{"dropping-particle":"","family":"Marty","given":"Bernard","non-dropping-particle":"","parse-names":false,"suffix":""},{"dropping-particle":"","family":"Trull","given":"Thomas","non-dropping-particle":"","parse-names":false,"suffix":""},{"dropping-particle":"","family":"Lussiez","given":"Patricia","non-dropping-particle":"","parse-names":false,"suffix":""},{"dropping-particle":"","family":"Basile","given":"Isabelle","non-dropping-particle":"","parse-names":false,"suffix":""},{"dropping-particle":"","family":"Tanguy","given":"Jean Claude","non-dropping-particle":"","parse-names":false,"suffix":""}],"container-title":"Earth and Planetary Science Letters","id":"ITEM-1","issue":"1-3","issued":{"date-parts":[["1994"]]},"page":"23-39","title":"He, Ar, O, Sr and Nd isotope constraints on the origin and evolution of Mount Etna magmatism","type":"article-journal","volume":"126"},"uris":["http://www.mendeley.com/documents/?uuid=ca741747-1b12-4e0c-b578-861b97653e91"]}],"mendeley":{"formattedCitation":"&lt;sup&gt;63&lt;/sup&gt;","plainTextFormattedCitation":"63","previouslyFormattedCitation":"&lt;sup&gt;63&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63</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A249A4">
        <w:rPr>
          <w:rFonts w:ascii="Times New Roman" w:eastAsia="Times New Roman" w:hAnsi="Times New Roman" w:cs="Times New Roman"/>
          <w:sz w:val="22"/>
          <w:szCs w:val="22"/>
          <w:lang w:val="en-US"/>
        </w:rPr>
        <w:instrText>ADDIN CSL_CITATION {"citationItems":[{"id":"ITEM-1","itemData":{"DOI":"10.1016/s0012-821x(97)00161-1","ISSN":"0012821X","abstract":"Noble gas elemental and isotopic compositions were determined for five CO2-CH4 samples collected around Etna, Sicily, to investigate the geochemical features of the mantle beneath the volcano. The samples contain mantle-derived noble gases. The measured helium isotopic ratios (3He/4He) vary between 5.9 and 6.4 times atmospheric ratio (Ra = 1.4 × 10-6), which are comparable to the ratios of olivines (6.1-8.2 Ra) in the lavas of the same volcano [1]. Neon in the samples is enriched in both 20Ne and 21Ne (20Ne/22Ne 9.95-10.7, 21Ne/22Ne 0.030-0.037), indicating derivation from the mantle. The δ(20Ne/22Ne)/δ(21Ne/ 22Ne) values are identical with that of mid-ocean ridge basalts (MORB), indicating a similarity in the time-integrated (U/Ne) ratio between the Etnean magma source and the depleted upper mantle (MORB source). Argon in the samples has 40Ar/36Ar ratios up to of 1800, which are higher than in atmosphere. These ratios are positively correlated with the 20Ne/22Ne ratios, indicating a mantle origin of the radiogenic argon. Compared with olivines from the Etnean lavas [1], the argon in our natural gas samples is less contaminated by atmospheric argon. Two samples from a CO2 well show small but resolvable excess of 129Xe and 134,136Xe. The volcanic rocks of Etna, ranging from tholeiites to alkaline, are enriched in incompatible elements. Nd, Sr and Pb isotopes of the volcanic rocks indicate that the magma source is isotopically heterogeneous and contain a component with high Sr, Pb and low Nd isotopic ratios derived from a mantle region which has been enriched in incompatible elements for a few million years [2,3,4] relative to the depleted upper mantle. The helium isotopic ratios of the gas samples are lower than those of MORB and are consistent with geochemical signatures of the solid elements in the Etnean volcanic rocks. However, the observed MORB-type neon is on a MORB correlation array without accumulation of nucleogenic Ne. This apparent decoupling may be explained by a recent mixing of the depleted upper mantle (MORB source) with fluid enriched in both incompatible elements and radiogenic 4He. When the fluid was formed with a small degree of partial melting, fractionation of radiogenic 4He from nucleogenic 21Ne could have occurred because of smaller partition coefficient of He than Ne. © 1997 Elsevier Science B.V.","author":[{"dropping-particle":"","family":"Nakai","given":"Shun'ichi","non-dropping-particle":"","parse-names":false,"suffix":""},{"dropping-particle":"","family":"Wakita","given":"Hiroshi","non-dropping-particle":"","parse-names":false,"suffix":""},{"dropping-particle":"","family":"Nuccio","given":"Mario P.","non-dropping-particle":"","parse-names":false,"suffix":""},{"dropping-particle":"","family":"Italiano","given":"Franco","non-dropping-particle":"","parse-names":false,"suffix":""}],"container-title":"Earth and Planetary Science Letters","id":"ITEM-1","issue":"1-2","issued":{"date-parts":[["1997"]]},"page":"57-66","title":"MORB-type neon in an enriched mantle beneath Etna, Sicily","type":"article-journal","volume":"153"},"uris":["http://www.mendeley.com/documents/?uuid=513c2fd6-4a31-4495-9392-cea9c3d0a74f"]}],"mendeley":{"formattedCitation":"&lt;sup&gt;24&lt;/sup&gt;","plainTextFormattedCitation":"24","previouslyFormattedCitation":"&lt;sup&gt;24&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24</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A249A4">
        <w:rPr>
          <w:rFonts w:ascii="Times New Roman" w:eastAsia="Times New Roman" w:hAnsi="Times New Roman" w:cs="Times New Roman"/>
          <w:sz w:val="22"/>
          <w:szCs w:val="22"/>
          <w:lang w:val="en-US"/>
        </w:rPr>
        <w:instrText>ADDIN CSL_CITATION {"citationItems":[{"id":"ITEM-1","itemData":{"DOI":"10.1029/2002GL015463","ISSN":"00948276","author":[{"dropping-particle":"","family":"Caracausi","given":"A.","non-dropping-particle":"","parse-names":false,"suffix":""},{"dropping-particle":"","family":"Favara","given":"R.","non-dropping-particle":"","parse-names":false,"suffix":""},{"dropping-particle":"","family":"Giammanco","given":"S.","non-dropping-particle":"","parse-names":false,"suffix":""},{"dropping-particle":"","family":"Italiano","given":"F.","non-dropping-particle":"","parse-names":false,"suffix":""},{"dropping-particle":"","family":"Paonita","given":"A.","non-dropping-particle":"","parse-names":false,"suffix":""},{"dropping-particle":"","family":"Pecoraino","given":"G.","non-dropping-particle":"","parse-names":false,"suffix":""},{"dropping-particle":"","family":"Rizzo","given":"A.","non-dropping-particle":"","parse-names":false,"suffix":""},{"dropping-particle":"","family":"Nuccio","given":"P. M.","non-dropping-particle":"","parse-names":false,"suffix":""}],"container-title":"Geophysical Research Letters","id":"ITEM-1","issue":"2","issued":{"date-parts":[["2003"]]},"page":"1057","title":"Mount Etna: Geochemical signals of magma ascent and unusually extensive plumbing system","type":"article-journal","volume":"30"},"uris":["http://www.mendeley.com/documents/?uuid=381b6c37-e398-4039-b14d-6bc6ebecde5a"]}],"mendeley":{"formattedCitation":"&lt;sup&gt;60&lt;/sup&gt;","plainTextFormattedCitation":"60","previouslyFormattedCitation":"&lt;sup&gt;60&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60</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w:t>
      </w:r>
    </w:p>
    <w:p w14:paraId="2EF03BCD" w14:textId="77777777" w:rsidR="00BF04FA" w:rsidRPr="0084570B" w:rsidRDefault="00BF04FA" w:rsidP="00BF04FA">
      <w:pPr>
        <w:pStyle w:val="Normal1"/>
        <w:spacing w:line="360" w:lineRule="auto"/>
        <w:jc w:val="both"/>
        <w:rPr>
          <w:rFonts w:ascii="Times New Roman" w:eastAsia="Times New Roman" w:hAnsi="Times New Roman" w:cs="Times New Roman"/>
          <w:sz w:val="22"/>
          <w:szCs w:val="22"/>
          <w:lang w:val="en-US"/>
        </w:rPr>
      </w:pPr>
    </w:p>
    <w:p w14:paraId="5132E1D7" w14:textId="77777777" w:rsidR="00BF04FA" w:rsidRPr="0084570B" w:rsidRDefault="00BF04FA" w:rsidP="00BF04FA">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b/>
          <w:sz w:val="22"/>
          <w:szCs w:val="22"/>
          <w:lang w:val="en-US"/>
        </w:rPr>
        <w:t xml:space="preserve">Figure S1 </w:t>
      </w:r>
      <w:r w:rsidRPr="0084570B">
        <w:rPr>
          <w:rFonts w:ascii="Times New Roman" w:eastAsia="Times New Roman" w:hAnsi="Times New Roman" w:cs="Times New Roman"/>
          <w:sz w:val="22"/>
          <w:szCs w:val="22"/>
          <w:lang w:val="en-US"/>
        </w:rPr>
        <w:t>and</w:t>
      </w:r>
      <w:r w:rsidRPr="0084570B">
        <w:rPr>
          <w:rFonts w:ascii="Times New Roman" w:eastAsia="Times New Roman" w:hAnsi="Times New Roman" w:cs="Times New Roman"/>
          <w:b/>
          <w:sz w:val="22"/>
          <w:szCs w:val="22"/>
          <w:lang w:val="en-US"/>
        </w:rPr>
        <w:t xml:space="preserve"> S2</w:t>
      </w:r>
      <w:r w:rsidRPr="0084570B">
        <w:rPr>
          <w:rFonts w:ascii="Times New Roman" w:eastAsia="Times New Roman" w:hAnsi="Times New Roman" w:cs="Times New Roman"/>
          <w:sz w:val="22"/>
          <w:szCs w:val="22"/>
          <w:lang w:val="en-US"/>
        </w:rPr>
        <w:t xml:space="preserve"> present a compilation of </w:t>
      </w:r>
      <w:r w:rsidRPr="0084570B">
        <w:rPr>
          <w:rStyle w:val="Emphasis"/>
          <w:rFonts w:ascii="Times New Roman" w:eastAsia="Times New Roman" w:hAnsi="Times New Roman" w:cs="Times New Roman"/>
          <w:i w:val="0"/>
          <w:sz w:val="22"/>
          <w:szCs w:val="22"/>
          <w:lang w:val="en-US"/>
        </w:rPr>
        <w:t>Xe isotope</w:t>
      </w:r>
      <w:r w:rsidRPr="0084570B">
        <w:rPr>
          <w:rFonts w:ascii="Times New Roman" w:eastAsia="Times New Roman" w:hAnsi="Times New Roman" w:cs="Times New Roman"/>
          <w:sz w:val="22"/>
          <w:szCs w:val="22"/>
          <w:lang w:val="en-US"/>
        </w:rPr>
        <w:t xml:space="preserve"> systematics for previously published (static mass spectrometry) mantle noble gas data and dynamic mass spectrometry data reported in this study for Mt. Etna and Eifel. </w:t>
      </w:r>
      <w:r w:rsidRPr="0084570B">
        <w:rPr>
          <w:rFonts w:ascii="Times New Roman" w:eastAsia="Times New Roman" w:hAnsi="Times New Roman" w:cs="Times New Roman"/>
          <w:b/>
          <w:sz w:val="22"/>
          <w:szCs w:val="22"/>
          <w:lang w:val="en-US"/>
        </w:rPr>
        <w:t>Figure S1</w:t>
      </w:r>
      <w:r w:rsidRPr="0084570B">
        <w:rPr>
          <w:rFonts w:ascii="Times New Roman" w:eastAsia="Times New Roman" w:hAnsi="Times New Roman" w:cs="Times New Roman"/>
          <w:sz w:val="22"/>
          <w:szCs w:val="22"/>
          <w:lang w:val="en-US"/>
        </w:rPr>
        <w:t xml:space="preserve"> presents a comparison of these data with the isotopic trends for </w:t>
      </w:r>
      <w:r w:rsidRPr="0084570B">
        <w:rPr>
          <w:rFonts w:ascii="Times New Roman" w:eastAsia="Times New Roman" w:hAnsi="Times New Roman" w:cs="Times New Roman"/>
          <w:sz w:val="22"/>
          <w:szCs w:val="22"/>
          <w:vertAlign w:val="superscript"/>
          <w:lang w:val="en-US"/>
        </w:rPr>
        <w:t>238</w:t>
      </w:r>
      <w:r w:rsidRPr="0084570B">
        <w:rPr>
          <w:rFonts w:ascii="Times New Roman" w:eastAsia="Times New Roman" w:hAnsi="Times New Roman" w:cs="Times New Roman"/>
          <w:sz w:val="22"/>
          <w:szCs w:val="22"/>
          <w:lang w:val="en-US"/>
        </w:rPr>
        <w:t xml:space="preserve">U and </w:t>
      </w:r>
      <w:r w:rsidRPr="0084570B">
        <w:rPr>
          <w:rFonts w:ascii="Times New Roman" w:eastAsia="Times New Roman" w:hAnsi="Times New Roman" w:cs="Times New Roman"/>
          <w:sz w:val="22"/>
          <w:szCs w:val="22"/>
          <w:vertAlign w:val="superscript"/>
          <w:lang w:val="en-US"/>
        </w:rPr>
        <w:t>244</w:t>
      </w:r>
      <w:r w:rsidRPr="0084570B">
        <w:rPr>
          <w:rFonts w:ascii="Times New Roman" w:eastAsia="Times New Roman" w:hAnsi="Times New Roman" w:cs="Times New Roman"/>
          <w:sz w:val="22"/>
          <w:szCs w:val="22"/>
          <w:lang w:val="en-US"/>
        </w:rPr>
        <w:t>Pu fission, thus highlighting the vast improvement in precision and accuracy compared to traditional static mass spectrometry techniques</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Figure S2</w:t>
      </w:r>
      <w:r w:rsidRPr="0084570B">
        <w:rPr>
          <w:rFonts w:ascii="Times New Roman" w:eastAsia="Times New Roman" w:hAnsi="Times New Roman" w:cs="Times New Roman"/>
          <w:sz w:val="22"/>
          <w:szCs w:val="22"/>
          <w:lang w:val="en-US"/>
        </w:rPr>
        <w:t xml:space="preserve"> presents the classical </w:t>
      </w:r>
      <w:r w:rsidRPr="0084570B">
        <w:rPr>
          <w:rStyle w:val="Emphasis"/>
          <w:rFonts w:ascii="Times New Roman" w:eastAsia="Times New Roman" w:hAnsi="Times New Roman" w:cs="Times New Roman"/>
          <w:i w:val="0"/>
          <w:sz w:val="22"/>
          <w:szCs w:val="22"/>
          <w:lang w:val="en-US"/>
        </w:rPr>
        <w:t>δ</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air</w:t>
      </w:r>
      <w:r w:rsidRPr="0084570B">
        <w:rPr>
          <w:rFonts w:ascii="Times New Roman" w:eastAsia="Times New Roman" w:hAnsi="Times New Roman" w:cs="Times New Roman"/>
          <w:sz w:val="22"/>
          <w:szCs w:val="22"/>
          <w:lang w:val="en-US"/>
        </w:rPr>
        <w:t xml:space="preserve"> vs. </w:t>
      </w:r>
      <w:r w:rsidRPr="0084570B">
        <w:rPr>
          <w:rStyle w:val="Emphasis"/>
          <w:rFonts w:ascii="Times New Roman" w:eastAsia="Times New Roman" w:hAnsi="Times New Roman" w:cs="Times New Roman"/>
          <w:i w:val="0"/>
          <w:sz w:val="22"/>
          <w:szCs w:val="22"/>
          <w:lang w:val="en-US"/>
        </w:rPr>
        <w:t>δ</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air</w:t>
      </w:r>
      <w:r w:rsidRPr="0084570B">
        <w:rPr>
          <w:rFonts w:ascii="Times New Roman" w:eastAsia="Times New Roman" w:hAnsi="Times New Roman" w:cs="Times New Roman"/>
          <w:sz w:val="22"/>
          <w:szCs w:val="22"/>
          <w:lang w:val="en-US"/>
        </w:rPr>
        <w:t xml:space="preserve"> plot, which has been used to argue that small Xe isotopic differences between OIB and MORB mantle sources cannot be related solely through recycling atmospheric Xe or by adding fissiogenic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 to MORB Xe</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{"citationItems":[{"id":"ITEM-1","itemData":{"DOI":"10.1038/nature11141","ISSN":"00280836","abstract":"The isotopes 129Xe, produced from the radioactive decay of extinct 129 I, and 136Xe, produced from extinct 244 Pu and extant 238U, have provided important constraints on early mantle outgassing and volatile loss from Earth. The low ratios of radiogenic to non-radiogenic xenon (129Xe/130Xe) in ocean island basalts (OIBs) compared with mid-ocean-ridge basalts (MORBs) have been used as evidence for the existence of a relatively undegassed primitive deep-mantle reservoir. However, the low 129Xe/ 130Xe ratios in OIBs have also been attributed to mixing between subducted atmospheric Xe and MORB Xe, which obviates the need for a less degassed deep-mantle reservoir. Here I present new noble gas (He, Ne, Ar, Xe) measurements from an Icelandic OIB that reveal differences in elemental abundances and 20 Ne/22Ne ratios between the Iceland mantle plume and the MORB source. These observations show that the lower 129Xe/130Xe ratios in OIBs are due to a lower I/Xe ratio in the OIB mantle source and cannot be explained solely by mixing atmospheric Xe with MORB-type Xe. Because 129 I became extinct about 100 million years after the formation of the Solar System, OIB and MORB mantle sources must have differentiated by 4.45 billion years ago and subsequent mixing must have been limited. The Iceland plume source also has a higher proportion of Pu-to U-derived fission Xe, requiring the plume source to be less degassed than MORBs, a conclusion that is independent of noble gas concentrations and the partitioning behaviour of the noble gases with respect to their radiogenic parents. Overall, these results show that Earth's mantle accreted volatiles from at least two separate sources and that neither the Moon-forming impact nor 4.45 billion years of mantle convection has erased the signature of Earth's heterogeneous accretion and early differentiation. © 2012 Macmillan Publishers Limited.","author":[{"dropping-particle":"","family":"Mukhopadhyay","given":"Sujoy","non-dropping-particle":"","parse-names":false,"suffix":""}],"container-title":"Nature","id":"ITEM-1","issue":"7401","issued":{"date-parts":[["2012"]]},"page":"101-104","publisher":"Nature Publishing Group","title":"Early differentiation and volatile accretion recorded in deep-mantle neon and xenon","type":"article-journal","volume":"486"},"uris":["http://www.mendeley.com/documents/?uuid=074ef3a8-fddf-4888-bef8-1e7e4b851597"]}],"mendeley":{"formattedCitation":"&lt;sup&gt;4&lt;/sup&gt;","plainTextFormattedCitation":"4","previouslyFormattedCitation":"&lt;sup&gt;4&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4</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However, the recent finding that popping rock and Iceland plume data overlap in this isotopic space</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casts doubt on the interpretation that these small differences truly reflect primordial heterogeneities, and calls for a critical improvement in our analytical accuracy – as now enabled by DMS measurements (</w:t>
      </w:r>
      <w:r w:rsidRPr="0084570B">
        <w:rPr>
          <w:rFonts w:ascii="Times New Roman" w:eastAsia="Times New Roman" w:hAnsi="Times New Roman" w:cs="Times New Roman"/>
          <w:b/>
          <w:sz w:val="22"/>
          <w:szCs w:val="22"/>
          <w:lang w:val="en-US"/>
        </w:rPr>
        <w:t>Figure S2</w:t>
      </w:r>
      <w:r w:rsidRPr="0084570B">
        <w:rPr>
          <w:rFonts w:ascii="Times New Roman" w:eastAsia="Times New Roman" w:hAnsi="Times New Roman" w:cs="Times New Roman"/>
          <w:sz w:val="22"/>
          <w:szCs w:val="22"/>
          <w:lang w:val="en-US"/>
        </w:rPr>
        <w:t>).</w:t>
      </w:r>
    </w:p>
    <w:p w14:paraId="5D1F9DAB" w14:textId="55C9E09D" w:rsidR="000849FC" w:rsidRPr="0084570B" w:rsidRDefault="000232E8" w:rsidP="00D310D8">
      <w:pPr>
        <w:pStyle w:val="Normal1"/>
        <w:spacing w:line="360" w:lineRule="auto"/>
        <w:jc w:val="both"/>
        <w:rPr>
          <w:rFonts w:ascii="Times New Roman" w:eastAsia="Times New Roman" w:hAnsi="Times New Roman" w:cs="Times New Roman"/>
          <w:sz w:val="22"/>
          <w:szCs w:val="22"/>
          <w:lang w:val="en-US"/>
        </w:rPr>
      </w:pPr>
      <w:r w:rsidRPr="0084570B">
        <w:rPr>
          <w:rFonts w:ascii="Times New Roman" w:hAnsi="Times New Roman" w:cs="Times New Roman"/>
          <w:lang w:val="en-US"/>
        </w:rPr>
        <w:br w:type="page"/>
      </w:r>
    </w:p>
    <w:tbl>
      <w:tblPr>
        <w:tblW w:w="9874" w:type="dxa"/>
        <w:jc w:val="center"/>
        <w:tblCellMar>
          <w:left w:w="70" w:type="dxa"/>
          <w:right w:w="70" w:type="dxa"/>
        </w:tblCellMar>
        <w:tblLook w:val="04A0" w:firstRow="1" w:lastRow="0" w:firstColumn="1" w:lastColumn="0" w:noHBand="0" w:noVBand="1"/>
      </w:tblPr>
      <w:tblGrid>
        <w:gridCol w:w="1107"/>
        <w:gridCol w:w="1121"/>
        <w:gridCol w:w="1156"/>
        <w:gridCol w:w="1060"/>
        <w:gridCol w:w="1156"/>
        <w:gridCol w:w="1060"/>
        <w:gridCol w:w="1597"/>
        <w:gridCol w:w="1617"/>
      </w:tblGrid>
      <w:tr w:rsidR="002D5C02" w:rsidRPr="0084570B" w14:paraId="798E98E0" w14:textId="77777777" w:rsidTr="00332966">
        <w:trPr>
          <w:trHeight w:val="280"/>
          <w:jc w:val="center"/>
        </w:trPr>
        <w:tc>
          <w:tcPr>
            <w:tcW w:w="1107" w:type="dxa"/>
            <w:vMerge w:val="restart"/>
            <w:tcBorders>
              <w:left w:val="nil"/>
              <w:right w:val="nil"/>
            </w:tcBorders>
            <w:vAlign w:val="center"/>
          </w:tcPr>
          <w:p w14:paraId="1C5E75B8" w14:textId="77777777" w:rsidR="002D5C02" w:rsidRPr="0084570B" w:rsidRDefault="002D5C02" w:rsidP="00332966">
            <w:pPr>
              <w:jc w:val="center"/>
              <w:rPr>
                <w:rFonts w:ascii="Times New Roman" w:eastAsia="Times New Roman" w:hAnsi="Times New Roman" w:cs="Times New Roman"/>
                <w:b/>
                <w:sz w:val="20"/>
                <w:szCs w:val="22"/>
                <w:lang w:val="en-US"/>
              </w:rPr>
            </w:pPr>
          </w:p>
          <w:p w14:paraId="6ED6C3B8"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(a)</w:t>
            </w:r>
          </w:p>
        </w:tc>
        <w:tc>
          <w:tcPr>
            <w:tcW w:w="1121" w:type="dxa"/>
            <w:tcBorders>
              <w:left w:val="nil"/>
              <w:right w:val="nil"/>
            </w:tcBorders>
            <w:vAlign w:val="center"/>
          </w:tcPr>
          <w:p w14:paraId="401F6CAB"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Sample</w:t>
            </w:r>
          </w:p>
        </w:tc>
        <w:tc>
          <w:tcPr>
            <w:tcW w:w="1156" w:type="dxa"/>
            <w:tcBorders>
              <w:top w:val="single" w:sz="4" w:space="0" w:color="auto"/>
              <w:left w:val="nil"/>
              <w:bottom w:val="nil"/>
              <w:right w:val="nil"/>
            </w:tcBorders>
            <w:shd w:val="clear" w:color="auto" w:fill="auto"/>
            <w:noWrap/>
            <w:vAlign w:val="center"/>
            <w:hideMark/>
          </w:tcPr>
          <w:p w14:paraId="1098BBA8"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vertAlign w:val="superscript"/>
                <w:lang w:val="en-US"/>
              </w:rPr>
              <w:t>40</w:t>
            </w:r>
            <w:r w:rsidRPr="0084570B">
              <w:rPr>
                <w:rFonts w:ascii="Times New Roman" w:eastAsia="Times New Roman" w:hAnsi="Times New Roman" w:cs="Times New Roman"/>
                <w:b/>
                <w:sz w:val="20"/>
                <w:szCs w:val="22"/>
                <w:lang w:val="en-US"/>
              </w:rPr>
              <w:t>Ar/</w:t>
            </w:r>
            <w:r w:rsidRPr="0084570B">
              <w:rPr>
                <w:rFonts w:ascii="Times New Roman" w:eastAsia="Times New Roman" w:hAnsi="Times New Roman" w:cs="Times New Roman"/>
                <w:b/>
                <w:sz w:val="20"/>
                <w:szCs w:val="22"/>
                <w:vertAlign w:val="superscript"/>
                <w:lang w:val="en-US"/>
              </w:rPr>
              <w:t>36</w:t>
            </w:r>
            <w:r w:rsidRPr="0084570B">
              <w:rPr>
                <w:rFonts w:ascii="Times New Roman" w:eastAsia="Times New Roman" w:hAnsi="Times New Roman" w:cs="Times New Roman"/>
                <w:b/>
                <w:sz w:val="20"/>
                <w:szCs w:val="22"/>
                <w:lang w:val="en-US"/>
              </w:rPr>
              <w:t>Ar</w:t>
            </w:r>
          </w:p>
        </w:tc>
        <w:tc>
          <w:tcPr>
            <w:tcW w:w="1060" w:type="dxa"/>
            <w:tcBorders>
              <w:top w:val="single" w:sz="4" w:space="0" w:color="auto"/>
              <w:left w:val="nil"/>
              <w:bottom w:val="nil"/>
              <w:right w:val="nil"/>
            </w:tcBorders>
            <w:shd w:val="clear" w:color="auto" w:fill="auto"/>
            <w:noWrap/>
            <w:vAlign w:val="center"/>
            <w:hideMark/>
          </w:tcPr>
          <w:p w14:paraId="4E63E636"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±1σ</w:t>
            </w:r>
          </w:p>
        </w:tc>
        <w:tc>
          <w:tcPr>
            <w:tcW w:w="1156" w:type="dxa"/>
            <w:tcBorders>
              <w:top w:val="single" w:sz="4" w:space="0" w:color="auto"/>
              <w:left w:val="nil"/>
              <w:bottom w:val="nil"/>
              <w:right w:val="nil"/>
            </w:tcBorders>
            <w:shd w:val="clear" w:color="auto" w:fill="auto"/>
            <w:noWrap/>
            <w:vAlign w:val="center"/>
          </w:tcPr>
          <w:p w14:paraId="698378B6"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 xml:space="preserve"> 84</w:t>
            </w:r>
            <w:r w:rsidRPr="0084570B">
              <w:rPr>
                <w:rFonts w:ascii="Times New Roman" w:eastAsia="Times New Roman" w:hAnsi="Times New Roman" w:cs="Times New Roman"/>
                <w:b/>
                <w:sz w:val="20"/>
                <w:szCs w:val="22"/>
                <w:lang w:val="en-US"/>
              </w:rPr>
              <w:t>Kr/</w:t>
            </w:r>
            <w:r w:rsidRPr="0084570B">
              <w:rPr>
                <w:rFonts w:ascii="Times New Roman" w:eastAsia="Times New Roman" w:hAnsi="Times New Roman" w:cs="Times New Roman"/>
                <w:b/>
                <w:sz w:val="20"/>
                <w:szCs w:val="22"/>
                <w:vertAlign w:val="superscript"/>
                <w:lang w:val="en-US"/>
              </w:rPr>
              <w:t>36</w:t>
            </w:r>
            <w:r w:rsidRPr="0084570B">
              <w:rPr>
                <w:rFonts w:ascii="Times New Roman" w:eastAsia="Times New Roman" w:hAnsi="Times New Roman" w:cs="Times New Roman"/>
                <w:b/>
                <w:sz w:val="20"/>
                <w:szCs w:val="22"/>
                <w:lang w:val="en-US"/>
              </w:rPr>
              <w:t>Ar</w:t>
            </w:r>
          </w:p>
        </w:tc>
        <w:tc>
          <w:tcPr>
            <w:tcW w:w="1060" w:type="dxa"/>
            <w:tcBorders>
              <w:top w:val="single" w:sz="4" w:space="0" w:color="auto"/>
              <w:left w:val="nil"/>
              <w:bottom w:val="nil"/>
              <w:right w:val="nil"/>
            </w:tcBorders>
            <w:shd w:val="clear" w:color="auto" w:fill="auto"/>
            <w:noWrap/>
            <w:vAlign w:val="center"/>
          </w:tcPr>
          <w:p w14:paraId="73BAC8D0" w14:textId="77777777" w:rsidR="002D5C02" w:rsidRPr="0084570B" w:rsidRDefault="002D5C02" w:rsidP="00332966">
            <w:pPr>
              <w:jc w:val="center"/>
              <w:rPr>
                <w:rFonts w:ascii="Times New Roman" w:eastAsia="Times New Roman" w:hAnsi="Times New Roman" w:cs="Times New Roman"/>
                <w:b/>
                <w:sz w:val="20"/>
                <w:szCs w:val="22"/>
                <w:lang w:val="en-US"/>
              </w:rPr>
            </w:pPr>
          </w:p>
        </w:tc>
        <w:tc>
          <w:tcPr>
            <w:tcW w:w="1597" w:type="dxa"/>
            <w:tcBorders>
              <w:top w:val="single" w:sz="4" w:space="0" w:color="auto"/>
              <w:left w:val="nil"/>
              <w:bottom w:val="nil"/>
              <w:right w:val="nil"/>
            </w:tcBorders>
            <w:shd w:val="clear" w:color="auto" w:fill="auto"/>
            <w:noWrap/>
            <w:vAlign w:val="center"/>
          </w:tcPr>
          <w:p w14:paraId="5FB6C693"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 xml:space="preserve"> 132</w:t>
            </w:r>
            <w:r w:rsidRPr="0084570B">
              <w:rPr>
                <w:rFonts w:ascii="Times New Roman" w:eastAsia="Times New Roman" w:hAnsi="Times New Roman" w:cs="Times New Roman"/>
                <w:b/>
                <w:sz w:val="20"/>
                <w:szCs w:val="22"/>
                <w:lang w:val="en-US"/>
              </w:rPr>
              <w:t>Xe/</w:t>
            </w:r>
            <w:r w:rsidRPr="0084570B">
              <w:rPr>
                <w:rFonts w:ascii="Times New Roman" w:eastAsia="Times New Roman" w:hAnsi="Times New Roman" w:cs="Times New Roman"/>
                <w:b/>
                <w:sz w:val="20"/>
                <w:szCs w:val="22"/>
                <w:vertAlign w:val="superscript"/>
                <w:lang w:val="en-US"/>
              </w:rPr>
              <w:t>36</w:t>
            </w:r>
            <w:r w:rsidRPr="0084570B">
              <w:rPr>
                <w:rFonts w:ascii="Times New Roman" w:eastAsia="Times New Roman" w:hAnsi="Times New Roman" w:cs="Times New Roman"/>
                <w:b/>
                <w:sz w:val="20"/>
                <w:szCs w:val="22"/>
                <w:lang w:val="en-US"/>
              </w:rPr>
              <w:t>Ar</w:t>
            </w:r>
          </w:p>
        </w:tc>
        <w:tc>
          <w:tcPr>
            <w:tcW w:w="1617" w:type="dxa"/>
            <w:tcBorders>
              <w:top w:val="single" w:sz="4" w:space="0" w:color="auto"/>
              <w:left w:val="nil"/>
              <w:bottom w:val="nil"/>
              <w:right w:val="nil"/>
            </w:tcBorders>
            <w:shd w:val="clear" w:color="auto" w:fill="auto"/>
            <w:noWrap/>
            <w:vAlign w:val="center"/>
          </w:tcPr>
          <w:p w14:paraId="01ECEEB7" w14:textId="77777777" w:rsidR="002D5C02" w:rsidRPr="0084570B" w:rsidRDefault="002D5C02" w:rsidP="00332966">
            <w:pPr>
              <w:jc w:val="center"/>
              <w:rPr>
                <w:rFonts w:ascii="Times New Roman" w:eastAsia="Times New Roman" w:hAnsi="Times New Roman" w:cs="Times New Roman"/>
                <w:b/>
                <w:sz w:val="20"/>
                <w:szCs w:val="22"/>
                <w:lang w:val="en-US"/>
              </w:rPr>
            </w:pPr>
          </w:p>
        </w:tc>
      </w:tr>
      <w:tr w:rsidR="002D5C02" w:rsidRPr="0084570B" w14:paraId="104D91AE" w14:textId="77777777" w:rsidTr="00332966">
        <w:trPr>
          <w:trHeight w:val="280"/>
          <w:jc w:val="center"/>
        </w:trPr>
        <w:tc>
          <w:tcPr>
            <w:tcW w:w="1107" w:type="dxa"/>
            <w:vMerge/>
            <w:tcBorders>
              <w:left w:val="nil"/>
              <w:right w:val="nil"/>
            </w:tcBorders>
            <w:vAlign w:val="center"/>
          </w:tcPr>
          <w:p w14:paraId="6E8BC4A2"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030363FB" w14:textId="77777777" w:rsidR="002D5C02" w:rsidRPr="0084570B" w:rsidRDefault="002D5C02" w:rsidP="00332966">
            <w:pPr>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Mt. Etna </w:t>
            </w:r>
            <w:r w:rsidRPr="0084570B">
              <w:rPr>
                <w:rFonts w:ascii="Times New Roman" w:eastAsia="Times New Roman" w:hAnsi="Times New Roman" w:cs="Times New Roman"/>
                <w:b/>
                <w:sz w:val="22"/>
                <w:szCs w:val="22"/>
                <w:lang w:val="en-US"/>
              </w:rPr>
              <w:t>1</w:t>
            </w:r>
          </w:p>
        </w:tc>
        <w:tc>
          <w:tcPr>
            <w:tcW w:w="1156" w:type="dxa"/>
            <w:tcBorders>
              <w:top w:val="nil"/>
              <w:left w:val="nil"/>
              <w:bottom w:val="nil"/>
              <w:right w:val="nil"/>
            </w:tcBorders>
            <w:shd w:val="clear" w:color="auto" w:fill="auto"/>
            <w:noWrap/>
            <w:vAlign w:val="bottom"/>
            <w:hideMark/>
          </w:tcPr>
          <w:p w14:paraId="341F41AB" w14:textId="77777777" w:rsidR="002D5C02" w:rsidRPr="0084570B" w:rsidRDefault="002D5C02" w:rsidP="00332966">
            <w:pPr>
              <w:jc w:val="center"/>
              <w:rPr>
                <w:rFonts w:ascii="Times New Roman" w:eastAsia="Times New Roman" w:hAnsi="Times New Roman" w:cs="Times New Roman"/>
                <w:sz w:val="22"/>
                <w:szCs w:val="22"/>
                <w:lang w:val="en-US"/>
              </w:rPr>
            </w:pPr>
            <w:r w:rsidRPr="0084570B">
              <w:rPr>
                <w:rFonts w:ascii="Times New Roman" w:hAnsi="Times New Roman" w:cs="Times New Roman"/>
                <w:color w:val="000000"/>
                <w:sz w:val="22"/>
                <w:szCs w:val="22"/>
                <w:lang w:val="en-US"/>
              </w:rPr>
              <w:t>1880</w:t>
            </w:r>
          </w:p>
        </w:tc>
        <w:tc>
          <w:tcPr>
            <w:tcW w:w="1060" w:type="dxa"/>
            <w:tcBorders>
              <w:top w:val="nil"/>
              <w:left w:val="nil"/>
              <w:bottom w:val="nil"/>
              <w:right w:val="nil"/>
            </w:tcBorders>
            <w:shd w:val="clear" w:color="auto" w:fill="auto"/>
            <w:noWrap/>
            <w:vAlign w:val="bottom"/>
            <w:hideMark/>
          </w:tcPr>
          <w:p w14:paraId="2E26FA6B" w14:textId="77777777" w:rsidR="002D5C02" w:rsidRPr="0084570B" w:rsidRDefault="002D5C02" w:rsidP="00332966">
            <w:pPr>
              <w:jc w:val="center"/>
              <w:rPr>
                <w:rFonts w:ascii="Times New Roman" w:eastAsia="Times New Roman" w:hAnsi="Times New Roman" w:cs="Times New Roman"/>
                <w:sz w:val="22"/>
                <w:szCs w:val="22"/>
                <w:lang w:val="en-US"/>
              </w:rPr>
            </w:pPr>
            <w:r w:rsidRPr="0084570B">
              <w:rPr>
                <w:rFonts w:ascii="Times New Roman" w:hAnsi="Times New Roman" w:cs="Times New Roman"/>
                <w:color w:val="000000"/>
                <w:sz w:val="22"/>
                <w:szCs w:val="22"/>
                <w:lang w:val="en-US"/>
              </w:rPr>
              <w:t>21</w:t>
            </w:r>
          </w:p>
        </w:tc>
        <w:tc>
          <w:tcPr>
            <w:tcW w:w="1156" w:type="dxa"/>
            <w:tcBorders>
              <w:top w:val="nil"/>
              <w:left w:val="nil"/>
              <w:bottom w:val="nil"/>
              <w:right w:val="nil"/>
            </w:tcBorders>
            <w:shd w:val="clear" w:color="auto" w:fill="auto"/>
            <w:noWrap/>
            <w:vAlign w:val="center"/>
          </w:tcPr>
          <w:p w14:paraId="28619551"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876.7</w:t>
            </w:r>
          </w:p>
        </w:tc>
        <w:tc>
          <w:tcPr>
            <w:tcW w:w="1060" w:type="dxa"/>
            <w:tcBorders>
              <w:top w:val="nil"/>
              <w:left w:val="nil"/>
              <w:bottom w:val="nil"/>
              <w:right w:val="nil"/>
            </w:tcBorders>
            <w:shd w:val="clear" w:color="auto" w:fill="auto"/>
            <w:noWrap/>
            <w:vAlign w:val="center"/>
          </w:tcPr>
          <w:p w14:paraId="42AA11FA"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2.9</w:t>
            </w:r>
          </w:p>
        </w:tc>
        <w:tc>
          <w:tcPr>
            <w:tcW w:w="1597" w:type="dxa"/>
            <w:tcBorders>
              <w:top w:val="nil"/>
              <w:left w:val="nil"/>
              <w:bottom w:val="nil"/>
              <w:right w:val="nil"/>
            </w:tcBorders>
            <w:shd w:val="clear" w:color="auto" w:fill="auto"/>
            <w:noWrap/>
            <w:vAlign w:val="center"/>
          </w:tcPr>
          <w:p w14:paraId="11807D96"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2886.1</w:t>
            </w:r>
          </w:p>
        </w:tc>
        <w:tc>
          <w:tcPr>
            <w:tcW w:w="1617" w:type="dxa"/>
            <w:tcBorders>
              <w:top w:val="nil"/>
              <w:left w:val="nil"/>
              <w:bottom w:val="nil"/>
              <w:right w:val="nil"/>
            </w:tcBorders>
            <w:shd w:val="clear" w:color="auto" w:fill="auto"/>
            <w:noWrap/>
            <w:vAlign w:val="center"/>
          </w:tcPr>
          <w:p w14:paraId="095EAE3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12.574</w:t>
            </w:r>
          </w:p>
        </w:tc>
      </w:tr>
      <w:tr w:rsidR="002D5C02" w:rsidRPr="0084570B" w14:paraId="303180BC" w14:textId="77777777" w:rsidTr="00332966">
        <w:trPr>
          <w:trHeight w:val="280"/>
          <w:jc w:val="center"/>
        </w:trPr>
        <w:tc>
          <w:tcPr>
            <w:tcW w:w="1107" w:type="dxa"/>
            <w:vMerge/>
            <w:tcBorders>
              <w:left w:val="nil"/>
              <w:right w:val="nil"/>
            </w:tcBorders>
            <w:vAlign w:val="center"/>
          </w:tcPr>
          <w:p w14:paraId="0ADA67B4"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77C90D4C" w14:textId="77777777" w:rsidR="002D5C02" w:rsidRPr="0084570B" w:rsidRDefault="002D5C02" w:rsidP="00332966">
            <w:pPr>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Mt. Etna </w:t>
            </w:r>
            <w:r w:rsidRPr="0084570B">
              <w:rPr>
                <w:rFonts w:ascii="Times New Roman" w:eastAsia="Times New Roman" w:hAnsi="Times New Roman" w:cs="Times New Roman"/>
                <w:b/>
                <w:sz w:val="22"/>
                <w:szCs w:val="22"/>
                <w:lang w:val="en-US"/>
              </w:rPr>
              <w:t>2</w:t>
            </w:r>
          </w:p>
        </w:tc>
        <w:tc>
          <w:tcPr>
            <w:tcW w:w="1156" w:type="dxa"/>
            <w:tcBorders>
              <w:top w:val="nil"/>
              <w:left w:val="nil"/>
              <w:bottom w:val="nil"/>
              <w:right w:val="nil"/>
            </w:tcBorders>
            <w:shd w:val="clear" w:color="auto" w:fill="auto"/>
            <w:noWrap/>
            <w:vAlign w:val="bottom"/>
            <w:hideMark/>
          </w:tcPr>
          <w:p w14:paraId="7710238D" w14:textId="77777777" w:rsidR="002D5C02" w:rsidRPr="0084570B" w:rsidRDefault="002D5C02" w:rsidP="00332966">
            <w:pPr>
              <w:jc w:val="center"/>
              <w:rPr>
                <w:rFonts w:ascii="Times New Roman" w:eastAsia="Times New Roman" w:hAnsi="Times New Roman" w:cs="Times New Roman"/>
                <w:sz w:val="22"/>
                <w:szCs w:val="22"/>
                <w:lang w:val="en-US"/>
              </w:rPr>
            </w:pPr>
            <w:r w:rsidRPr="0084570B">
              <w:rPr>
                <w:rFonts w:ascii="Times New Roman" w:hAnsi="Times New Roman" w:cs="Times New Roman"/>
                <w:color w:val="000000"/>
                <w:sz w:val="22"/>
                <w:szCs w:val="22"/>
                <w:lang w:val="en-US"/>
              </w:rPr>
              <w:t>1910</w:t>
            </w:r>
          </w:p>
        </w:tc>
        <w:tc>
          <w:tcPr>
            <w:tcW w:w="1060" w:type="dxa"/>
            <w:tcBorders>
              <w:top w:val="nil"/>
              <w:left w:val="nil"/>
              <w:bottom w:val="nil"/>
              <w:right w:val="nil"/>
            </w:tcBorders>
            <w:shd w:val="clear" w:color="auto" w:fill="auto"/>
            <w:noWrap/>
            <w:vAlign w:val="bottom"/>
            <w:hideMark/>
          </w:tcPr>
          <w:p w14:paraId="4130DDAC" w14:textId="77777777" w:rsidR="002D5C02" w:rsidRPr="0084570B" w:rsidRDefault="002D5C02" w:rsidP="00332966">
            <w:pPr>
              <w:jc w:val="center"/>
              <w:rPr>
                <w:rFonts w:ascii="Times New Roman" w:eastAsia="Times New Roman" w:hAnsi="Times New Roman" w:cs="Times New Roman"/>
                <w:sz w:val="22"/>
                <w:szCs w:val="22"/>
                <w:lang w:val="en-US"/>
              </w:rPr>
            </w:pPr>
            <w:r w:rsidRPr="0084570B">
              <w:rPr>
                <w:rFonts w:ascii="Times New Roman" w:hAnsi="Times New Roman" w:cs="Times New Roman"/>
                <w:color w:val="000000"/>
                <w:sz w:val="22"/>
                <w:szCs w:val="22"/>
                <w:lang w:val="en-US"/>
              </w:rPr>
              <w:t>21</w:t>
            </w:r>
          </w:p>
        </w:tc>
        <w:tc>
          <w:tcPr>
            <w:tcW w:w="1156" w:type="dxa"/>
            <w:tcBorders>
              <w:top w:val="nil"/>
              <w:left w:val="nil"/>
              <w:bottom w:val="nil"/>
              <w:right w:val="nil"/>
            </w:tcBorders>
            <w:shd w:val="clear" w:color="auto" w:fill="auto"/>
            <w:noWrap/>
            <w:vAlign w:val="center"/>
          </w:tcPr>
          <w:p w14:paraId="0AB4D64C"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875.2</w:t>
            </w:r>
          </w:p>
        </w:tc>
        <w:tc>
          <w:tcPr>
            <w:tcW w:w="1060" w:type="dxa"/>
            <w:tcBorders>
              <w:top w:val="nil"/>
              <w:left w:val="nil"/>
              <w:bottom w:val="nil"/>
              <w:right w:val="nil"/>
            </w:tcBorders>
            <w:shd w:val="clear" w:color="auto" w:fill="auto"/>
            <w:noWrap/>
            <w:vAlign w:val="center"/>
          </w:tcPr>
          <w:p w14:paraId="568DC7AC"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2.9</w:t>
            </w:r>
          </w:p>
        </w:tc>
        <w:tc>
          <w:tcPr>
            <w:tcW w:w="1597" w:type="dxa"/>
            <w:tcBorders>
              <w:top w:val="nil"/>
              <w:left w:val="nil"/>
              <w:bottom w:val="nil"/>
              <w:right w:val="nil"/>
            </w:tcBorders>
            <w:shd w:val="clear" w:color="auto" w:fill="auto"/>
            <w:noWrap/>
            <w:vAlign w:val="center"/>
          </w:tcPr>
          <w:p w14:paraId="1831F5D1"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2878.1</w:t>
            </w:r>
          </w:p>
        </w:tc>
        <w:tc>
          <w:tcPr>
            <w:tcW w:w="1617" w:type="dxa"/>
            <w:tcBorders>
              <w:top w:val="nil"/>
              <w:left w:val="nil"/>
              <w:bottom w:val="nil"/>
              <w:right w:val="nil"/>
            </w:tcBorders>
            <w:shd w:val="clear" w:color="auto" w:fill="auto"/>
            <w:noWrap/>
            <w:vAlign w:val="center"/>
          </w:tcPr>
          <w:p w14:paraId="4FB00EB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12.581</w:t>
            </w:r>
          </w:p>
        </w:tc>
      </w:tr>
      <w:tr w:rsidR="002D5C02" w:rsidRPr="0084570B" w14:paraId="52D04AD3" w14:textId="77777777" w:rsidTr="00332966">
        <w:trPr>
          <w:trHeight w:val="280"/>
          <w:jc w:val="center"/>
        </w:trPr>
        <w:tc>
          <w:tcPr>
            <w:tcW w:w="1107" w:type="dxa"/>
            <w:vMerge/>
            <w:tcBorders>
              <w:left w:val="nil"/>
              <w:right w:val="nil"/>
            </w:tcBorders>
            <w:vAlign w:val="center"/>
          </w:tcPr>
          <w:p w14:paraId="7624889B"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72999A1E"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3</w:t>
            </w:r>
          </w:p>
        </w:tc>
        <w:tc>
          <w:tcPr>
            <w:tcW w:w="1156" w:type="dxa"/>
            <w:tcBorders>
              <w:top w:val="nil"/>
              <w:left w:val="nil"/>
              <w:right w:val="nil"/>
            </w:tcBorders>
            <w:shd w:val="clear" w:color="auto" w:fill="auto"/>
            <w:noWrap/>
            <w:vAlign w:val="bottom"/>
            <w:hideMark/>
          </w:tcPr>
          <w:p w14:paraId="09BA5BD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hAnsi="Times New Roman" w:cs="Times New Roman"/>
                <w:color w:val="000000"/>
                <w:sz w:val="20"/>
                <w:szCs w:val="22"/>
                <w:lang w:val="en-US"/>
              </w:rPr>
              <w:t>1920</w:t>
            </w:r>
          </w:p>
        </w:tc>
        <w:tc>
          <w:tcPr>
            <w:tcW w:w="1060" w:type="dxa"/>
            <w:tcBorders>
              <w:top w:val="nil"/>
              <w:left w:val="nil"/>
              <w:right w:val="nil"/>
            </w:tcBorders>
            <w:shd w:val="clear" w:color="auto" w:fill="auto"/>
            <w:noWrap/>
            <w:vAlign w:val="bottom"/>
            <w:hideMark/>
          </w:tcPr>
          <w:p w14:paraId="4D6168EC"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21</w:t>
            </w:r>
          </w:p>
        </w:tc>
        <w:tc>
          <w:tcPr>
            <w:tcW w:w="1156" w:type="dxa"/>
            <w:tcBorders>
              <w:top w:val="nil"/>
              <w:left w:val="nil"/>
              <w:right w:val="nil"/>
            </w:tcBorders>
            <w:shd w:val="clear" w:color="auto" w:fill="auto"/>
            <w:noWrap/>
            <w:vAlign w:val="center"/>
          </w:tcPr>
          <w:p w14:paraId="2D02F336"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868.9</w:t>
            </w:r>
          </w:p>
        </w:tc>
        <w:tc>
          <w:tcPr>
            <w:tcW w:w="1060" w:type="dxa"/>
            <w:tcBorders>
              <w:top w:val="nil"/>
              <w:left w:val="nil"/>
              <w:right w:val="nil"/>
            </w:tcBorders>
            <w:shd w:val="clear" w:color="auto" w:fill="auto"/>
            <w:noWrap/>
            <w:vAlign w:val="center"/>
          </w:tcPr>
          <w:p w14:paraId="65393169"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2.9</w:t>
            </w:r>
          </w:p>
        </w:tc>
        <w:tc>
          <w:tcPr>
            <w:tcW w:w="1597" w:type="dxa"/>
            <w:tcBorders>
              <w:top w:val="nil"/>
              <w:left w:val="nil"/>
              <w:right w:val="nil"/>
            </w:tcBorders>
            <w:shd w:val="clear" w:color="auto" w:fill="auto"/>
            <w:noWrap/>
            <w:vAlign w:val="center"/>
          </w:tcPr>
          <w:p w14:paraId="5E297E55"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2863.8</w:t>
            </w:r>
          </w:p>
        </w:tc>
        <w:tc>
          <w:tcPr>
            <w:tcW w:w="1617" w:type="dxa"/>
            <w:tcBorders>
              <w:top w:val="nil"/>
              <w:left w:val="nil"/>
              <w:right w:val="nil"/>
            </w:tcBorders>
            <w:shd w:val="clear" w:color="auto" w:fill="auto"/>
            <w:noWrap/>
            <w:vAlign w:val="center"/>
          </w:tcPr>
          <w:p w14:paraId="78E0600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12.587</w:t>
            </w:r>
          </w:p>
        </w:tc>
      </w:tr>
      <w:tr w:rsidR="002D5C02" w:rsidRPr="0084570B" w14:paraId="6B79122B" w14:textId="77777777" w:rsidTr="00332966">
        <w:trPr>
          <w:trHeight w:val="280"/>
          <w:jc w:val="center"/>
        </w:trPr>
        <w:tc>
          <w:tcPr>
            <w:tcW w:w="1107" w:type="dxa"/>
            <w:tcBorders>
              <w:left w:val="nil"/>
              <w:right w:val="nil"/>
            </w:tcBorders>
            <w:vAlign w:val="center"/>
          </w:tcPr>
          <w:p w14:paraId="1BD364AF"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17CA53DC"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Eifel</w:t>
            </w:r>
          </w:p>
        </w:tc>
        <w:tc>
          <w:tcPr>
            <w:tcW w:w="1156" w:type="dxa"/>
            <w:tcBorders>
              <w:top w:val="nil"/>
              <w:left w:val="nil"/>
              <w:right w:val="nil"/>
            </w:tcBorders>
            <w:shd w:val="clear" w:color="auto" w:fill="auto"/>
            <w:noWrap/>
            <w:vAlign w:val="bottom"/>
          </w:tcPr>
          <w:p w14:paraId="47FFE0EF" w14:textId="77777777" w:rsidR="002D5C02" w:rsidRPr="0084570B" w:rsidRDefault="002D5C02" w:rsidP="00332966">
            <w:pPr>
              <w:jc w:val="center"/>
              <w:rPr>
                <w:rFonts w:ascii="Times New Roman" w:hAnsi="Times New Roman" w:cs="Times New Roman"/>
                <w:color w:val="000000"/>
                <w:sz w:val="20"/>
                <w:szCs w:val="22"/>
                <w:lang w:val="en-US"/>
              </w:rPr>
            </w:pPr>
            <w:r w:rsidRPr="0084570B">
              <w:rPr>
                <w:rFonts w:ascii="Times New Roman" w:hAnsi="Times New Roman" w:cs="Times New Roman"/>
                <w:color w:val="000000"/>
                <w:sz w:val="20"/>
                <w:szCs w:val="22"/>
                <w:lang w:val="en-US"/>
              </w:rPr>
              <w:t>10,177</w:t>
            </w:r>
          </w:p>
        </w:tc>
        <w:tc>
          <w:tcPr>
            <w:tcW w:w="1060" w:type="dxa"/>
            <w:tcBorders>
              <w:top w:val="nil"/>
              <w:left w:val="nil"/>
              <w:right w:val="nil"/>
            </w:tcBorders>
            <w:shd w:val="clear" w:color="auto" w:fill="auto"/>
            <w:noWrap/>
            <w:vAlign w:val="bottom"/>
          </w:tcPr>
          <w:p w14:paraId="3E650BA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112</w:t>
            </w:r>
          </w:p>
        </w:tc>
        <w:tc>
          <w:tcPr>
            <w:tcW w:w="1156" w:type="dxa"/>
            <w:tcBorders>
              <w:top w:val="nil"/>
              <w:left w:val="nil"/>
              <w:right w:val="nil"/>
            </w:tcBorders>
            <w:shd w:val="clear" w:color="auto" w:fill="auto"/>
            <w:noWrap/>
            <w:vAlign w:val="center"/>
          </w:tcPr>
          <w:p w14:paraId="457C4BC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557.0</w:t>
            </w:r>
          </w:p>
        </w:tc>
        <w:tc>
          <w:tcPr>
            <w:tcW w:w="1060" w:type="dxa"/>
            <w:tcBorders>
              <w:top w:val="nil"/>
              <w:left w:val="nil"/>
              <w:right w:val="nil"/>
            </w:tcBorders>
            <w:shd w:val="clear" w:color="auto" w:fill="auto"/>
            <w:noWrap/>
            <w:vAlign w:val="center"/>
          </w:tcPr>
          <w:p w14:paraId="4C72CEEE"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597" w:type="dxa"/>
            <w:tcBorders>
              <w:top w:val="nil"/>
              <w:left w:val="nil"/>
              <w:right w:val="nil"/>
            </w:tcBorders>
            <w:shd w:val="clear" w:color="auto" w:fill="auto"/>
            <w:noWrap/>
            <w:vAlign w:val="center"/>
          </w:tcPr>
          <w:p w14:paraId="6B79538E"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2433.8</w:t>
            </w:r>
          </w:p>
        </w:tc>
        <w:tc>
          <w:tcPr>
            <w:tcW w:w="1617" w:type="dxa"/>
            <w:tcBorders>
              <w:top w:val="nil"/>
              <w:left w:val="nil"/>
              <w:right w:val="nil"/>
            </w:tcBorders>
            <w:shd w:val="clear" w:color="auto" w:fill="auto"/>
            <w:noWrap/>
            <w:vAlign w:val="center"/>
          </w:tcPr>
          <w:p w14:paraId="28875949" w14:textId="77777777" w:rsidR="002D5C02" w:rsidRPr="0084570B" w:rsidRDefault="002D5C02" w:rsidP="00332966">
            <w:pPr>
              <w:jc w:val="center"/>
              <w:rPr>
                <w:rFonts w:ascii="Times New Roman" w:eastAsia="Times New Roman" w:hAnsi="Times New Roman" w:cs="Times New Roman"/>
                <w:sz w:val="20"/>
                <w:szCs w:val="22"/>
                <w:lang w:val="en-US"/>
              </w:rPr>
            </w:pPr>
          </w:p>
        </w:tc>
      </w:tr>
      <w:tr w:rsidR="002D5C02" w:rsidRPr="0084570B" w14:paraId="6278E224" w14:textId="77777777" w:rsidTr="00332966">
        <w:trPr>
          <w:trHeight w:val="280"/>
          <w:jc w:val="center"/>
        </w:trPr>
        <w:tc>
          <w:tcPr>
            <w:tcW w:w="1107" w:type="dxa"/>
            <w:tcBorders>
              <w:left w:val="nil"/>
              <w:right w:val="nil"/>
            </w:tcBorders>
            <w:vAlign w:val="center"/>
          </w:tcPr>
          <w:p w14:paraId="1EBAF4DC"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05504B81"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left w:val="nil"/>
              <w:bottom w:val="single" w:sz="4" w:space="0" w:color="auto"/>
              <w:right w:val="nil"/>
            </w:tcBorders>
            <w:shd w:val="clear" w:color="auto" w:fill="auto"/>
            <w:noWrap/>
            <w:vAlign w:val="center"/>
          </w:tcPr>
          <w:p w14:paraId="746D5473"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060" w:type="dxa"/>
            <w:tcBorders>
              <w:left w:val="nil"/>
              <w:bottom w:val="single" w:sz="4" w:space="0" w:color="auto"/>
              <w:right w:val="nil"/>
            </w:tcBorders>
            <w:shd w:val="clear" w:color="auto" w:fill="auto"/>
            <w:noWrap/>
            <w:vAlign w:val="center"/>
          </w:tcPr>
          <w:p w14:paraId="214DAFA6"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left w:val="nil"/>
              <w:bottom w:val="single" w:sz="4" w:space="0" w:color="auto"/>
              <w:right w:val="nil"/>
            </w:tcBorders>
            <w:shd w:val="clear" w:color="auto" w:fill="auto"/>
            <w:noWrap/>
            <w:vAlign w:val="center"/>
          </w:tcPr>
          <w:p w14:paraId="3C582E2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060" w:type="dxa"/>
            <w:tcBorders>
              <w:left w:val="nil"/>
              <w:bottom w:val="single" w:sz="4" w:space="0" w:color="auto"/>
              <w:right w:val="nil"/>
            </w:tcBorders>
            <w:shd w:val="clear" w:color="auto" w:fill="auto"/>
            <w:noWrap/>
            <w:vAlign w:val="center"/>
          </w:tcPr>
          <w:p w14:paraId="1DEE4BA8"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597" w:type="dxa"/>
            <w:tcBorders>
              <w:left w:val="nil"/>
              <w:bottom w:val="single" w:sz="4" w:space="0" w:color="auto"/>
              <w:right w:val="nil"/>
            </w:tcBorders>
            <w:shd w:val="clear" w:color="auto" w:fill="auto"/>
            <w:noWrap/>
            <w:vAlign w:val="center"/>
          </w:tcPr>
          <w:p w14:paraId="59D9313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617" w:type="dxa"/>
            <w:tcBorders>
              <w:left w:val="nil"/>
              <w:bottom w:val="single" w:sz="4" w:space="0" w:color="auto"/>
              <w:right w:val="nil"/>
            </w:tcBorders>
            <w:shd w:val="clear" w:color="auto" w:fill="auto"/>
            <w:noWrap/>
            <w:vAlign w:val="center"/>
          </w:tcPr>
          <w:p w14:paraId="7C40F160" w14:textId="77777777" w:rsidR="002D5C02" w:rsidRPr="0084570B" w:rsidRDefault="002D5C02" w:rsidP="00332966">
            <w:pPr>
              <w:jc w:val="center"/>
              <w:rPr>
                <w:rFonts w:ascii="Times New Roman" w:eastAsia="Times New Roman" w:hAnsi="Times New Roman" w:cs="Times New Roman"/>
                <w:sz w:val="20"/>
                <w:szCs w:val="22"/>
                <w:lang w:val="en-US"/>
              </w:rPr>
            </w:pPr>
          </w:p>
        </w:tc>
      </w:tr>
      <w:tr w:rsidR="002D5C02" w:rsidRPr="0084570B" w14:paraId="703DC3F6" w14:textId="77777777" w:rsidTr="00332966">
        <w:trPr>
          <w:trHeight w:val="280"/>
          <w:jc w:val="center"/>
        </w:trPr>
        <w:tc>
          <w:tcPr>
            <w:tcW w:w="1107" w:type="dxa"/>
            <w:vMerge w:val="restart"/>
            <w:tcBorders>
              <w:right w:val="nil"/>
            </w:tcBorders>
            <w:vAlign w:val="center"/>
          </w:tcPr>
          <w:p w14:paraId="52885911"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(b)</w:t>
            </w:r>
          </w:p>
        </w:tc>
        <w:tc>
          <w:tcPr>
            <w:tcW w:w="1121" w:type="dxa"/>
            <w:tcBorders>
              <w:left w:val="nil"/>
              <w:right w:val="nil"/>
            </w:tcBorders>
            <w:vAlign w:val="center"/>
          </w:tcPr>
          <w:p w14:paraId="53CDC0C9" w14:textId="77777777" w:rsidR="002D5C02" w:rsidRPr="0084570B" w:rsidRDefault="002D5C02" w:rsidP="00332966">
            <w:pPr>
              <w:jc w:val="center"/>
              <w:rPr>
                <w:rFonts w:ascii="Times New Roman" w:eastAsia="Times New Roman" w:hAnsi="Times New Roman" w:cs="Times New Roman"/>
                <w:b/>
                <w:sz w:val="20"/>
                <w:szCs w:val="22"/>
                <w:vertAlign w:val="superscript"/>
                <w:lang w:val="en-US"/>
              </w:rPr>
            </w:pPr>
          </w:p>
        </w:tc>
        <w:tc>
          <w:tcPr>
            <w:tcW w:w="1156" w:type="dxa"/>
            <w:tcBorders>
              <w:top w:val="single" w:sz="4" w:space="0" w:color="auto"/>
              <w:left w:val="nil"/>
              <w:bottom w:val="nil"/>
              <w:right w:val="nil"/>
            </w:tcBorders>
            <w:shd w:val="clear" w:color="auto" w:fill="auto"/>
            <w:noWrap/>
            <w:vAlign w:val="center"/>
            <w:hideMark/>
          </w:tcPr>
          <w:p w14:paraId="1769B02B"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82</w:t>
            </w:r>
            <w:r w:rsidRPr="0084570B">
              <w:rPr>
                <w:rFonts w:ascii="Times New Roman" w:eastAsia="Times New Roman" w:hAnsi="Times New Roman" w:cs="Times New Roman"/>
                <w:b/>
                <w:sz w:val="20"/>
                <w:szCs w:val="22"/>
                <w:lang w:val="en-US"/>
              </w:rPr>
              <w:t>Kr/</w:t>
            </w:r>
            <w:r w:rsidRPr="0084570B">
              <w:rPr>
                <w:rFonts w:ascii="Times New Roman" w:eastAsia="Times New Roman" w:hAnsi="Times New Roman" w:cs="Times New Roman"/>
                <w:b/>
                <w:sz w:val="20"/>
                <w:szCs w:val="22"/>
                <w:vertAlign w:val="superscript"/>
                <w:lang w:val="en-US"/>
              </w:rPr>
              <w:t>84</w:t>
            </w:r>
            <w:r w:rsidRPr="0084570B">
              <w:rPr>
                <w:rFonts w:ascii="Times New Roman" w:eastAsia="Times New Roman" w:hAnsi="Times New Roman" w:cs="Times New Roman"/>
                <w:b/>
                <w:sz w:val="20"/>
                <w:szCs w:val="22"/>
                <w:lang w:val="en-US"/>
              </w:rPr>
              <w:t>Kr</w:t>
            </w:r>
          </w:p>
        </w:tc>
        <w:tc>
          <w:tcPr>
            <w:tcW w:w="1060" w:type="dxa"/>
            <w:tcBorders>
              <w:top w:val="single" w:sz="4" w:space="0" w:color="auto"/>
              <w:left w:val="nil"/>
              <w:bottom w:val="nil"/>
              <w:right w:val="nil"/>
            </w:tcBorders>
            <w:shd w:val="clear" w:color="auto" w:fill="auto"/>
            <w:noWrap/>
            <w:vAlign w:val="center"/>
            <w:hideMark/>
          </w:tcPr>
          <w:p w14:paraId="4C983098"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±1σ</w:t>
            </w:r>
          </w:p>
        </w:tc>
        <w:tc>
          <w:tcPr>
            <w:tcW w:w="1156" w:type="dxa"/>
            <w:tcBorders>
              <w:top w:val="single" w:sz="4" w:space="0" w:color="auto"/>
              <w:left w:val="nil"/>
              <w:bottom w:val="nil"/>
              <w:right w:val="nil"/>
            </w:tcBorders>
            <w:shd w:val="clear" w:color="auto" w:fill="auto"/>
            <w:noWrap/>
            <w:vAlign w:val="center"/>
            <w:hideMark/>
          </w:tcPr>
          <w:p w14:paraId="058D224C"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86</w:t>
            </w:r>
            <w:r w:rsidRPr="0084570B">
              <w:rPr>
                <w:rFonts w:ascii="Times New Roman" w:eastAsia="Times New Roman" w:hAnsi="Times New Roman" w:cs="Times New Roman"/>
                <w:b/>
                <w:sz w:val="20"/>
                <w:szCs w:val="22"/>
                <w:lang w:val="en-US"/>
              </w:rPr>
              <w:t>Kr/</w:t>
            </w:r>
            <w:r w:rsidRPr="0084570B">
              <w:rPr>
                <w:rFonts w:ascii="Times New Roman" w:eastAsia="Times New Roman" w:hAnsi="Times New Roman" w:cs="Times New Roman"/>
                <w:b/>
                <w:sz w:val="20"/>
                <w:szCs w:val="22"/>
                <w:vertAlign w:val="superscript"/>
                <w:lang w:val="en-US"/>
              </w:rPr>
              <w:t>84</w:t>
            </w:r>
            <w:r w:rsidRPr="0084570B">
              <w:rPr>
                <w:rFonts w:ascii="Times New Roman" w:eastAsia="Times New Roman" w:hAnsi="Times New Roman" w:cs="Times New Roman"/>
                <w:b/>
                <w:sz w:val="20"/>
                <w:szCs w:val="22"/>
                <w:lang w:val="en-US"/>
              </w:rPr>
              <w:t>Kr</w:t>
            </w:r>
          </w:p>
        </w:tc>
        <w:tc>
          <w:tcPr>
            <w:tcW w:w="1060" w:type="dxa"/>
            <w:tcBorders>
              <w:top w:val="single" w:sz="4" w:space="0" w:color="auto"/>
              <w:left w:val="nil"/>
              <w:bottom w:val="nil"/>
              <w:right w:val="nil"/>
            </w:tcBorders>
            <w:shd w:val="clear" w:color="auto" w:fill="auto"/>
            <w:noWrap/>
            <w:vAlign w:val="center"/>
            <w:hideMark/>
          </w:tcPr>
          <w:p w14:paraId="12696061"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±1σ</w:t>
            </w:r>
          </w:p>
        </w:tc>
        <w:tc>
          <w:tcPr>
            <w:tcW w:w="1597" w:type="dxa"/>
            <w:tcBorders>
              <w:top w:val="single" w:sz="4" w:space="0" w:color="auto"/>
              <w:left w:val="nil"/>
              <w:bottom w:val="nil"/>
              <w:right w:val="nil"/>
            </w:tcBorders>
            <w:shd w:val="clear" w:color="auto" w:fill="auto"/>
            <w:noWrap/>
            <w:vAlign w:val="center"/>
            <w:hideMark/>
          </w:tcPr>
          <w:p w14:paraId="6FA32780"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86</w:t>
            </w:r>
            <w:r w:rsidRPr="0084570B">
              <w:rPr>
                <w:rFonts w:ascii="Times New Roman" w:eastAsia="Times New Roman" w:hAnsi="Times New Roman" w:cs="Times New Roman"/>
                <w:b/>
                <w:sz w:val="20"/>
                <w:szCs w:val="22"/>
                <w:lang w:val="en-US"/>
              </w:rPr>
              <w:t>Kr/</w:t>
            </w:r>
            <w:r w:rsidRPr="0084570B">
              <w:rPr>
                <w:rFonts w:ascii="Times New Roman" w:eastAsia="Times New Roman" w:hAnsi="Times New Roman" w:cs="Times New Roman"/>
                <w:b/>
                <w:sz w:val="20"/>
                <w:szCs w:val="22"/>
                <w:vertAlign w:val="superscript"/>
                <w:lang w:val="en-US"/>
              </w:rPr>
              <w:t>82</w:t>
            </w:r>
            <w:r w:rsidRPr="0084570B">
              <w:rPr>
                <w:rFonts w:ascii="Times New Roman" w:eastAsia="Times New Roman" w:hAnsi="Times New Roman" w:cs="Times New Roman"/>
                <w:b/>
                <w:sz w:val="20"/>
                <w:szCs w:val="22"/>
                <w:lang w:val="en-US"/>
              </w:rPr>
              <w:t>Kr</w:t>
            </w:r>
          </w:p>
        </w:tc>
        <w:tc>
          <w:tcPr>
            <w:tcW w:w="1617" w:type="dxa"/>
            <w:tcBorders>
              <w:top w:val="single" w:sz="4" w:space="0" w:color="auto"/>
              <w:left w:val="nil"/>
              <w:bottom w:val="nil"/>
              <w:right w:val="nil"/>
            </w:tcBorders>
            <w:shd w:val="clear" w:color="auto" w:fill="auto"/>
            <w:noWrap/>
            <w:vAlign w:val="center"/>
            <w:hideMark/>
          </w:tcPr>
          <w:p w14:paraId="612F5787"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0"/>
                <w:szCs w:val="22"/>
                <w:lang w:val="en-US"/>
              </w:rPr>
              <w:t>±1σ</w:t>
            </w:r>
          </w:p>
        </w:tc>
      </w:tr>
      <w:tr w:rsidR="002D5C02" w:rsidRPr="0084570B" w14:paraId="071ACF4A" w14:textId="77777777" w:rsidTr="00332966">
        <w:trPr>
          <w:trHeight w:val="280"/>
          <w:jc w:val="center"/>
        </w:trPr>
        <w:tc>
          <w:tcPr>
            <w:tcW w:w="1107" w:type="dxa"/>
            <w:vMerge/>
            <w:tcBorders>
              <w:right w:val="nil"/>
            </w:tcBorders>
            <w:vAlign w:val="center"/>
          </w:tcPr>
          <w:p w14:paraId="0C93A01E"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16725A2B"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1</w:t>
            </w:r>
          </w:p>
        </w:tc>
        <w:tc>
          <w:tcPr>
            <w:tcW w:w="1156" w:type="dxa"/>
            <w:tcBorders>
              <w:top w:val="nil"/>
              <w:left w:val="nil"/>
              <w:bottom w:val="nil"/>
              <w:right w:val="nil"/>
            </w:tcBorders>
            <w:shd w:val="clear" w:color="auto" w:fill="auto"/>
            <w:noWrap/>
            <w:vAlign w:val="center"/>
            <w:hideMark/>
          </w:tcPr>
          <w:p w14:paraId="3BF9F119"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-0.182</w:t>
            </w:r>
          </w:p>
        </w:tc>
        <w:tc>
          <w:tcPr>
            <w:tcW w:w="1060" w:type="dxa"/>
            <w:tcBorders>
              <w:top w:val="nil"/>
              <w:left w:val="nil"/>
              <w:bottom w:val="nil"/>
              <w:right w:val="nil"/>
            </w:tcBorders>
            <w:shd w:val="clear" w:color="auto" w:fill="auto"/>
            <w:noWrap/>
            <w:vAlign w:val="center"/>
            <w:hideMark/>
          </w:tcPr>
          <w:p w14:paraId="7EA31EE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0.088</w:t>
            </w:r>
          </w:p>
        </w:tc>
        <w:tc>
          <w:tcPr>
            <w:tcW w:w="1156" w:type="dxa"/>
            <w:tcBorders>
              <w:top w:val="nil"/>
              <w:left w:val="nil"/>
              <w:bottom w:val="nil"/>
              <w:right w:val="nil"/>
            </w:tcBorders>
            <w:shd w:val="clear" w:color="auto" w:fill="auto"/>
            <w:noWrap/>
            <w:vAlign w:val="center"/>
            <w:hideMark/>
          </w:tcPr>
          <w:p w14:paraId="52E46C9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0.406</w:t>
            </w:r>
          </w:p>
        </w:tc>
        <w:tc>
          <w:tcPr>
            <w:tcW w:w="1060" w:type="dxa"/>
            <w:tcBorders>
              <w:top w:val="nil"/>
              <w:left w:val="nil"/>
              <w:bottom w:val="nil"/>
              <w:right w:val="nil"/>
            </w:tcBorders>
            <w:shd w:val="clear" w:color="auto" w:fill="auto"/>
            <w:noWrap/>
            <w:vAlign w:val="center"/>
            <w:hideMark/>
          </w:tcPr>
          <w:p w14:paraId="2025AD7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0.075</w:t>
            </w:r>
          </w:p>
        </w:tc>
        <w:tc>
          <w:tcPr>
            <w:tcW w:w="1597" w:type="dxa"/>
            <w:tcBorders>
              <w:top w:val="nil"/>
              <w:left w:val="nil"/>
              <w:bottom w:val="nil"/>
              <w:right w:val="nil"/>
            </w:tcBorders>
            <w:shd w:val="clear" w:color="auto" w:fill="auto"/>
            <w:noWrap/>
            <w:vAlign w:val="center"/>
            <w:hideMark/>
          </w:tcPr>
          <w:p w14:paraId="607BE626"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0.589</w:t>
            </w:r>
          </w:p>
        </w:tc>
        <w:tc>
          <w:tcPr>
            <w:tcW w:w="1617" w:type="dxa"/>
            <w:tcBorders>
              <w:top w:val="nil"/>
              <w:left w:val="nil"/>
              <w:bottom w:val="nil"/>
              <w:right w:val="nil"/>
            </w:tcBorders>
            <w:shd w:val="clear" w:color="auto" w:fill="auto"/>
            <w:noWrap/>
            <w:vAlign w:val="center"/>
            <w:hideMark/>
          </w:tcPr>
          <w:p w14:paraId="0C3923B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0.106</w:t>
            </w:r>
          </w:p>
        </w:tc>
      </w:tr>
      <w:tr w:rsidR="002D5C02" w:rsidRPr="0084570B" w14:paraId="21CBF032" w14:textId="77777777" w:rsidTr="00332966">
        <w:trPr>
          <w:trHeight w:val="280"/>
          <w:jc w:val="center"/>
        </w:trPr>
        <w:tc>
          <w:tcPr>
            <w:tcW w:w="1107" w:type="dxa"/>
            <w:vMerge/>
            <w:tcBorders>
              <w:right w:val="nil"/>
            </w:tcBorders>
            <w:vAlign w:val="center"/>
          </w:tcPr>
          <w:p w14:paraId="2A8EEDC6"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48449EFE"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2</w:t>
            </w:r>
          </w:p>
        </w:tc>
        <w:tc>
          <w:tcPr>
            <w:tcW w:w="1156" w:type="dxa"/>
            <w:tcBorders>
              <w:top w:val="nil"/>
              <w:left w:val="nil"/>
              <w:bottom w:val="nil"/>
              <w:right w:val="nil"/>
            </w:tcBorders>
            <w:shd w:val="clear" w:color="auto" w:fill="auto"/>
            <w:noWrap/>
            <w:vAlign w:val="center"/>
            <w:hideMark/>
          </w:tcPr>
          <w:p w14:paraId="0B945CDB"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-0.302</w:t>
            </w:r>
          </w:p>
        </w:tc>
        <w:tc>
          <w:tcPr>
            <w:tcW w:w="1060" w:type="dxa"/>
            <w:tcBorders>
              <w:top w:val="nil"/>
              <w:left w:val="nil"/>
              <w:bottom w:val="nil"/>
              <w:right w:val="nil"/>
            </w:tcBorders>
            <w:shd w:val="clear" w:color="auto" w:fill="auto"/>
            <w:noWrap/>
            <w:vAlign w:val="center"/>
            <w:hideMark/>
          </w:tcPr>
          <w:p w14:paraId="55BAE43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0.090</w:t>
            </w:r>
          </w:p>
        </w:tc>
        <w:tc>
          <w:tcPr>
            <w:tcW w:w="1156" w:type="dxa"/>
            <w:tcBorders>
              <w:top w:val="nil"/>
              <w:left w:val="nil"/>
              <w:bottom w:val="nil"/>
              <w:right w:val="nil"/>
            </w:tcBorders>
            <w:shd w:val="clear" w:color="auto" w:fill="auto"/>
            <w:noWrap/>
            <w:vAlign w:val="center"/>
            <w:hideMark/>
          </w:tcPr>
          <w:p w14:paraId="7DD22E0D"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0.420</w:t>
            </w:r>
          </w:p>
        </w:tc>
        <w:tc>
          <w:tcPr>
            <w:tcW w:w="1060" w:type="dxa"/>
            <w:tcBorders>
              <w:top w:val="nil"/>
              <w:left w:val="nil"/>
              <w:bottom w:val="nil"/>
              <w:right w:val="nil"/>
            </w:tcBorders>
            <w:shd w:val="clear" w:color="auto" w:fill="auto"/>
            <w:noWrap/>
            <w:vAlign w:val="center"/>
            <w:hideMark/>
          </w:tcPr>
          <w:p w14:paraId="033DB6A4"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0.076</w:t>
            </w:r>
          </w:p>
        </w:tc>
        <w:tc>
          <w:tcPr>
            <w:tcW w:w="1597" w:type="dxa"/>
            <w:tcBorders>
              <w:top w:val="nil"/>
              <w:left w:val="nil"/>
              <w:bottom w:val="nil"/>
              <w:right w:val="nil"/>
            </w:tcBorders>
            <w:shd w:val="clear" w:color="auto" w:fill="auto"/>
            <w:noWrap/>
            <w:vAlign w:val="center"/>
            <w:hideMark/>
          </w:tcPr>
          <w:p w14:paraId="7194664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0.723</w:t>
            </w:r>
          </w:p>
        </w:tc>
        <w:tc>
          <w:tcPr>
            <w:tcW w:w="1617" w:type="dxa"/>
            <w:tcBorders>
              <w:top w:val="nil"/>
              <w:left w:val="nil"/>
              <w:bottom w:val="nil"/>
              <w:right w:val="nil"/>
            </w:tcBorders>
            <w:shd w:val="clear" w:color="auto" w:fill="auto"/>
            <w:noWrap/>
            <w:vAlign w:val="center"/>
            <w:hideMark/>
          </w:tcPr>
          <w:p w14:paraId="652399B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0.108</w:t>
            </w:r>
          </w:p>
        </w:tc>
      </w:tr>
      <w:tr w:rsidR="002D5C02" w:rsidRPr="0084570B" w14:paraId="7123BE40" w14:textId="77777777" w:rsidTr="00332966">
        <w:trPr>
          <w:trHeight w:val="280"/>
          <w:jc w:val="center"/>
        </w:trPr>
        <w:tc>
          <w:tcPr>
            <w:tcW w:w="1107" w:type="dxa"/>
            <w:vMerge/>
            <w:tcBorders>
              <w:right w:val="nil"/>
            </w:tcBorders>
            <w:vAlign w:val="center"/>
          </w:tcPr>
          <w:p w14:paraId="27CA804A"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1EA84D5C"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3</w:t>
            </w:r>
          </w:p>
        </w:tc>
        <w:tc>
          <w:tcPr>
            <w:tcW w:w="1156" w:type="dxa"/>
            <w:tcBorders>
              <w:top w:val="nil"/>
              <w:left w:val="nil"/>
              <w:right w:val="nil"/>
            </w:tcBorders>
            <w:shd w:val="clear" w:color="auto" w:fill="auto"/>
            <w:noWrap/>
            <w:vAlign w:val="center"/>
            <w:hideMark/>
          </w:tcPr>
          <w:p w14:paraId="39AC77EC"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-0.206</w:t>
            </w:r>
          </w:p>
        </w:tc>
        <w:tc>
          <w:tcPr>
            <w:tcW w:w="1060" w:type="dxa"/>
            <w:tcBorders>
              <w:top w:val="nil"/>
              <w:left w:val="nil"/>
              <w:right w:val="nil"/>
            </w:tcBorders>
            <w:shd w:val="clear" w:color="auto" w:fill="auto"/>
            <w:noWrap/>
            <w:vAlign w:val="center"/>
            <w:hideMark/>
          </w:tcPr>
          <w:p w14:paraId="288166BD"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0.091</w:t>
            </w:r>
          </w:p>
        </w:tc>
        <w:tc>
          <w:tcPr>
            <w:tcW w:w="1156" w:type="dxa"/>
            <w:tcBorders>
              <w:top w:val="nil"/>
              <w:left w:val="nil"/>
              <w:right w:val="nil"/>
            </w:tcBorders>
            <w:shd w:val="clear" w:color="auto" w:fill="auto"/>
            <w:noWrap/>
            <w:vAlign w:val="center"/>
            <w:hideMark/>
          </w:tcPr>
          <w:p w14:paraId="074F178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0.453</w:t>
            </w:r>
          </w:p>
        </w:tc>
        <w:tc>
          <w:tcPr>
            <w:tcW w:w="1060" w:type="dxa"/>
            <w:tcBorders>
              <w:top w:val="nil"/>
              <w:left w:val="nil"/>
              <w:right w:val="nil"/>
            </w:tcBorders>
            <w:shd w:val="clear" w:color="auto" w:fill="auto"/>
            <w:noWrap/>
            <w:vAlign w:val="center"/>
            <w:hideMark/>
          </w:tcPr>
          <w:p w14:paraId="0045AE92"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0.077</w:t>
            </w:r>
          </w:p>
        </w:tc>
        <w:tc>
          <w:tcPr>
            <w:tcW w:w="1597" w:type="dxa"/>
            <w:tcBorders>
              <w:top w:val="nil"/>
              <w:left w:val="nil"/>
              <w:right w:val="nil"/>
            </w:tcBorders>
            <w:shd w:val="clear" w:color="auto" w:fill="auto"/>
            <w:noWrap/>
            <w:vAlign w:val="center"/>
            <w:hideMark/>
          </w:tcPr>
          <w:p w14:paraId="0C46D07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0.659</w:t>
            </w:r>
          </w:p>
        </w:tc>
        <w:tc>
          <w:tcPr>
            <w:tcW w:w="1617" w:type="dxa"/>
            <w:tcBorders>
              <w:top w:val="nil"/>
              <w:left w:val="nil"/>
              <w:right w:val="nil"/>
            </w:tcBorders>
            <w:shd w:val="clear" w:color="auto" w:fill="auto"/>
            <w:noWrap/>
            <w:vAlign w:val="center"/>
            <w:hideMark/>
          </w:tcPr>
          <w:p w14:paraId="13B7116A"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0.109</w:t>
            </w:r>
          </w:p>
        </w:tc>
      </w:tr>
      <w:tr w:rsidR="002D5C02" w:rsidRPr="0084570B" w14:paraId="0312BC6B" w14:textId="77777777" w:rsidTr="00332966">
        <w:trPr>
          <w:trHeight w:val="280"/>
          <w:jc w:val="center"/>
        </w:trPr>
        <w:tc>
          <w:tcPr>
            <w:tcW w:w="1107" w:type="dxa"/>
            <w:tcBorders>
              <w:right w:val="nil"/>
            </w:tcBorders>
            <w:vAlign w:val="center"/>
          </w:tcPr>
          <w:p w14:paraId="03469B65"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46C4306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0"/>
                <w:szCs w:val="22"/>
                <w:lang w:val="en-US"/>
              </w:rPr>
              <w:t>Eifel</w:t>
            </w:r>
          </w:p>
        </w:tc>
        <w:tc>
          <w:tcPr>
            <w:tcW w:w="1156" w:type="dxa"/>
            <w:tcBorders>
              <w:top w:val="nil"/>
              <w:left w:val="nil"/>
              <w:right w:val="nil"/>
            </w:tcBorders>
            <w:shd w:val="clear" w:color="auto" w:fill="auto"/>
            <w:noWrap/>
            <w:vAlign w:val="center"/>
          </w:tcPr>
          <w:p w14:paraId="6F81E0E5"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-0.193</w:t>
            </w:r>
          </w:p>
        </w:tc>
        <w:tc>
          <w:tcPr>
            <w:tcW w:w="1060" w:type="dxa"/>
            <w:tcBorders>
              <w:top w:val="nil"/>
              <w:left w:val="nil"/>
              <w:right w:val="nil"/>
            </w:tcBorders>
            <w:shd w:val="clear" w:color="auto" w:fill="auto"/>
            <w:noWrap/>
            <w:vAlign w:val="center"/>
          </w:tcPr>
          <w:p w14:paraId="649D9D3C"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top w:val="nil"/>
              <w:left w:val="nil"/>
              <w:right w:val="nil"/>
            </w:tcBorders>
            <w:shd w:val="clear" w:color="auto" w:fill="auto"/>
            <w:noWrap/>
            <w:vAlign w:val="center"/>
          </w:tcPr>
          <w:p w14:paraId="0DA6044E"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-0.136</w:t>
            </w:r>
          </w:p>
        </w:tc>
        <w:tc>
          <w:tcPr>
            <w:tcW w:w="1060" w:type="dxa"/>
            <w:tcBorders>
              <w:top w:val="nil"/>
              <w:left w:val="nil"/>
              <w:right w:val="nil"/>
            </w:tcBorders>
            <w:shd w:val="clear" w:color="auto" w:fill="auto"/>
            <w:noWrap/>
            <w:vAlign w:val="center"/>
          </w:tcPr>
          <w:p w14:paraId="34FFE154"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597" w:type="dxa"/>
            <w:tcBorders>
              <w:top w:val="nil"/>
              <w:left w:val="nil"/>
              <w:right w:val="nil"/>
            </w:tcBorders>
            <w:shd w:val="clear" w:color="auto" w:fill="auto"/>
            <w:noWrap/>
            <w:vAlign w:val="center"/>
          </w:tcPr>
          <w:p w14:paraId="577427CF"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0.057</w:t>
            </w:r>
          </w:p>
        </w:tc>
        <w:tc>
          <w:tcPr>
            <w:tcW w:w="1617" w:type="dxa"/>
            <w:tcBorders>
              <w:top w:val="nil"/>
              <w:left w:val="nil"/>
              <w:right w:val="nil"/>
            </w:tcBorders>
            <w:shd w:val="clear" w:color="auto" w:fill="auto"/>
            <w:noWrap/>
            <w:vAlign w:val="center"/>
          </w:tcPr>
          <w:p w14:paraId="1E28174E" w14:textId="77777777" w:rsidR="002D5C02" w:rsidRPr="0084570B" w:rsidRDefault="002D5C02" w:rsidP="00332966">
            <w:pPr>
              <w:jc w:val="center"/>
              <w:rPr>
                <w:rFonts w:ascii="Times New Roman" w:eastAsia="Times New Roman" w:hAnsi="Times New Roman" w:cs="Times New Roman"/>
                <w:sz w:val="20"/>
                <w:szCs w:val="22"/>
                <w:lang w:val="en-US"/>
              </w:rPr>
            </w:pPr>
          </w:p>
        </w:tc>
      </w:tr>
      <w:tr w:rsidR="002D5C02" w:rsidRPr="0084570B" w14:paraId="22876B35" w14:textId="77777777" w:rsidTr="00332966">
        <w:trPr>
          <w:trHeight w:val="280"/>
          <w:jc w:val="center"/>
        </w:trPr>
        <w:tc>
          <w:tcPr>
            <w:tcW w:w="1107" w:type="dxa"/>
            <w:tcBorders>
              <w:right w:val="nil"/>
            </w:tcBorders>
            <w:vAlign w:val="center"/>
          </w:tcPr>
          <w:p w14:paraId="00D3076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3ACEB1B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left w:val="nil"/>
              <w:bottom w:val="single" w:sz="4" w:space="0" w:color="auto"/>
              <w:right w:val="nil"/>
            </w:tcBorders>
            <w:shd w:val="clear" w:color="auto" w:fill="auto"/>
            <w:noWrap/>
            <w:vAlign w:val="center"/>
          </w:tcPr>
          <w:p w14:paraId="2683862C"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060" w:type="dxa"/>
            <w:tcBorders>
              <w:left w:val="nil"/>
              <w:bottom w:val="single" w:sz="4" w:space="0" w:color="auto"/>
              <w:right w:val="nil"/>
            </w:tcBorders>
            <w:shd w:val="clear" w:color="auto" w:fill="auto"/>
            <w:noWrap/>
            <w:vAlign w:val="center"/>
          </w:tcPr>
          <w:p w14:paraId="1EBF1988"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left w:val="nil"/>
              <w:bottom w:val="single" w:sz="4" w:space="0" w:color="auto"/>
              <w:right w:val="nil"/>
            </w:tcBorders>
            <w:shd w:val="clear" w:color="auto" w:fill="auto"/>
            <w:noWrap/>
            <w:vAlign w:val="center"/>
          </w:tcPr>
          <w:p w14:paraId="24433E31"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060" w:type="dxa"/>
            <w:tcBorders>
              <w:left w:val="nil"/>
              <w:bottom w:val="single" w:sz="4" w:space="0" w:color="auto"/>
              <w:right w:val="nil"/>
            </w:tcBorders>
            <w:shd w:val="clear" w:color="auto" w:fill="auto"/>
            <w:noWrap/>
            <w:vAlign w:val="center"/>
          </w:tcPr>
          <w:p w14:paraId="42B591BA"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597" w:type="dxa"/>
            <w:tcBorders>
              <w:left w:val="nil"/>
              <w:bottom w:val="single" w:sz="4" w:space="0" w:color="auto"/>
              <w:right w:val="nil"/>
            </w:tcBorders>
            <w:shd w:val="clear" w:color="auto" w:fill="auto"/>
            <w:noWrap/>
            <w:vAlign w:val="center"/>
          </w:tcPr>
          <w:p w14:paraId="4AA461B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617" w:type="dxa"/>
            <w:tcBorders>
              <w:left w:val="nil"/>
              <w:bottom w:val="single" w:sz="4" w:space="0" w:color="auto"/>
              <w:right w:val="nil"/>
            </w:tcBorders>
            <w:shd w:val="clear" w:color="auto" w:fill="auto"/>
            <w:noWrap/>
            <w:vAlign w:val="center"/>
          </w:tcPr>
          <w:p w14:paraId="1F4483F7" w14:textId="77777777" w:rsidR="002D5C02" w:rsidRPr="0084570B" w:rsidRDefault="002D5C02" w:rsidP="00332966">
            <w:pPr>
              <w:jc w:val="center"/>
              <w:rPr>
                <w:rFonts w:ascii="Times New Roman" w:eastAsia="Times New Roman" w:hAnsi="Times New Roman" w:cs="Times New Roman"/>
                <w:sz w:val="20"/>
                <w:szCs w:val="22"/>
                <w:lang w:val="en-US"/>
              </w:rPr>
            </w:pPr>
          </w:p>
        </w:tc>
      </w:tr>
      <w:tr w:rsidR="002D5C02" w:rsidRPr="0084570B" w14:paraId="2F525B72" w14:textId="77777777" w:rsidTr="00332966">
        <w:trPr>
          <w:trHeight w:val="280"/>
          <w:jc w:val="center"/>
        </w:trPr>
        <w:tc>
          <w:tcPr>
            <w:tcW w:w="1107" w:type="dxa"/>
            <w:vMerge w:val="restart"/>
            <w:tcBorders>
              <w:left w:val="nil"/>
              <w:right w:val="nil"/>
            </w:tcBorders>
            <w:vAlign w:val="center"/>
          </w:tcPr>
          <w:p w14:paraId="402886E0" w14:textId="77777777" w:rsidR="002D5C02" w:rsidRPr="0084570B" w:rsidRDefault="002D5C02" w:rsidP="00332966">
            <w:pPr>
              <w:jc w:val="center"/>
              <w:rPr>
                <w:rFonts w:ascii="Times New Roman" w:eastAsia="Times New Roman" w:hAnsi="Times New Roman" w:cs="Times New Roman"/>
                <w:b/>
                <w:sz w:val="20"/>
                <w:szCs w:val="22"/>
                <w:vertAlign w:val="superscript"/>
                <w:lang w:val="en-US"/>
              </w:rPr>
            </w:pPr>
            <w:r w:rsidRPr="0084570B">
              <w:rPr>
                <w:rFonts w:ascii="Times New Roman" w:eastAsia="Times New Roman" w:hAnsi="Times New Roman" w:cs="Times New Roman"/>
                <w:b/>
                <w:sz w:val="20"/>
                <w:szCs w:val="22"/>
                <w:lang w:val="en-US"/>
              </w:rPr>
              <w:t>(c)</w:t>
            </w:r>
          </w:p>
        </w:tc>
        <w:tc>
          <w:tcPr>
            <w:tcW w:w="1121" w:type="dxa"/>
            <w:tcBorders>
              <w:left w:val="nil"/>
              <w:right w:val="nil"/>
            </w:tcBorders>
            <w:vAlign w:val="center"/>
          </w:tcPr>
          <w:p w14:paraId="6DCB292C" w14:textId="77777777" w:rsidR="002D5C02" w:rsidRPr="0084570B" w:rsidRDefault="002D5C02" w:rsidP="00332966">
            <w:pPr>
              <w:jc w:val="center"/>
              <w:rPr>
                <w:rFonts w:ascii="Times New Roman" w:eastAsia="Times New Roman" w:hAnsi="Times New Roman" w:cs="Times New Roman"/>
                <w:b/>
                <w:sz w:val="20"/>
                <w:szCs w:val="22"/>
                <w:vertAlign w:val="superscript"/>
                <w:lang w:val="en-US"/>
              </w:rPr>
            </w:pPr>
          </w:p>
        </w:tc>
        <w:tc>
          <w:tcPr>
            <w:tcW w:w="1156" w:type="dxa"/>
            <w:tcBorders>
              <w:top w:val="single" w:sz="4" w:space="0" w:color="auto"/>
              <w:left w:val="nil"/>
              <w:bottom w:val="nil"/>
              <w:right w:val="nil"/>
            </w:tcBorders>
            <w:shd w:val="clear" w:color="auto" w:fill="auto"/>
            <w:noWrap/>
            <w:vAlign w:val="center"/>
            <w:hideMark/>
          </w:tcPr>
          <w:p w14:paraId="25F7691C"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128</w:t>
            </w:r>
            <w:r w:rsidRPr="0084570B">
              <w:rPr>
                <w:rFonts w:ascii="Times New Roman" w:eastAsia="Times New Roman" w:hAnsi="Times New Roman" w:cs="Times New Roman"/>
                <w:b/>
                <w:sz w:val="20"/>
                <w:szCs w:val="22"/>
                <w:lang w:val="en-US"/>
              </w:rPr>
              <w:t>Xe/</w:t>
            </w:r>
            <w:r w:rsidRPr="0084570B">
              <w:rPr>
                <w:rFonts w:ascii="Times New Roman" w:eastAsia="Times New Roman" w:hAnsi="Times New Roman" w:cs="Times New Roman"/>
                <w:b/>
                <w:sz w:val="20"/>
                <w:szCs w:val="22"/>
                <w:vertAlign w:val="superscript"/>
                <w:lang w:val="en-US"/>
              </w:rPr>
              <w:t>130</w:t>
            </w:r>
            <w:r w:rsidRPr="0084570B">
              <w:rPr>
                <w:rFonts w:ascii="Times New Roman" w:eastAsia="Times New Roman" w:hAnsi="Times New Roman" w:cs="Times New Roman"/>
                <w:b/>
                <w:sz w:val="20"/>
                <w:szCs w:val="22"/>
                <w:lang w:val="en-US"/>
              </w:rPr>
              <w:t>Xe</w:t>
            </w:r>
          </w:p>
        </w:tc>
        <w:tc>
          <w:tcPr>
            <w:tcW w:w="1060" w:type="dxa"/>
            <w:tcBorders>
              <w:top w:val="single" w:sz="4" w:space="0" w:color="auto"/>
              <w:left w:val="nil"/>
              <w:bottom w:val="nil"/>
              <w:right w:val="nil"/>
            </w:tcBorders>
            <w:shd w:val="clear" w:color="auto" w:fill="auto"/>
            <w:noWrap/>
            <w:vAlign w:val="center"/>
            <w:hideMark/>
          </w:tcPr>
          <w:p w14:paraId="1F880ED9"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±1σ</w:t>
            </w:r>
          </w:p>
        </w:tc>
        <w:tc>
          <w:tcPr>
            <w:tcW w:w="1156" w:type="dxa"/>
            <w:tcBorders>
              <w:top w:val="single" w:sz="4" w:space="0" w:color="auto"/>
              <w:left w:val="nil"/>
              <w:bottom w:val="nil"/>
              <w:right w:val="nil"/>
            </w:tcBorders>
            <w:shd w:val="clear" w:color="auto" w:fill="auto"/>
            <w:noWrap/>
            <w:vAlign w:val="center"/>
            <w:hideMark/>
          </w:tcPr>
          <w:p w14:paraId="41AE4CBC"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129</w:t>
            </w:r>
            <w:r w:rsidRPr="0084570B">
              <w:rPr>
                <w:rFonts w:ascii="Times New Roman" w:eastAsia="Times New Roman" w:hAnsi="Times New Roman" w:cs="Times New Roman"/>
                <w:b/>
                <w:sz w:val="20"/>
                <w:szCs w:val="22"/>
                <w:lang w:val="en-US"/>
              </w:rPr>
              <w:t>Xe/</w:t>
            </w:r>
            <w:r w:rsidRPr="0084570B">
              <w:rPr>
                <w:rFonts w:ascii="Times New Roman" w:eastAsia="Times New Roman" w:hAnsi="Times New Roman" w:cs="Times New Roman"/>
                <w:b/>
                <w:sz w:val="20"/>
                <w:szCs w:val="22"/>
                <w:vertAlign w:val="superscript"/>
                <w:lang w:val="en-US"/>
              </w:rPr>
              <w:t>130</w:t>
            </w:r>
            <w:r w:rsidRPr="0084570B">
              <w:rPr>
                <w:rFonts w:ascii="Times New Roman" w:eastAsia="Times New Roman" w:hAnsi="Times New Roman" w:cs="Times New Roman"/>
                <w:b/>
                <w:sz w:val="20"/>
                <w:szCs w:val="22"/>
                <w:lang w:val="en-US"/>
              </w:rPr>
              <w:t>Xe</w:t>
            </w:r>
          </w:p>
        </w:tc>
        <w:tc>
          <w:tcPr>
            <w:tcW w:w="1060" w:type="dxa"/>
            <w:tcBorders>
              <w:top w:val="single" w:sz="4" w:space="0" w:color="auto"/>
              <w:left w:val="nil"/>
              <w:bottom w:val="nil"/>
              <w:right w:val="nil"/>
            </w:tcBorders>
            <w:shd w:val="clear" w:color="auto" w:fill="auto"/>
            <w:noWrap/>
            <w:vAlign w:val="center"/>
            <w:hideMark/>
          </w:tcPr>
          <w:p w14:paraId="56C2A116"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±1σ</w:t>
            </w:r>
          </w:p>
        </w:tc>
        <w:tc>
          <w:tcPr>
            <w:tcW w:w="1597" w:type="dxa"/>
            <w:tcBorders>
              <w:top w:val="single" w:sz="4" w:space="0" w:color="auto"/>
              <w:left w:val="nil"/>
              <w:bottom w:val="nil"/>
              <w:right w:val="nil"/>
            </w:tcBorders>
            <w:shd w:val="clear" w:color="auto" w:fill="auto"/>
            <w:noWrap/>
            <w:vAlign w:val="center"/>
            <w:hideMark/>
          </w:tcPr>
          <w:p w14:paraId="03AAAC34"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δ</w:t>
            </w:r>
            <w:r w:rsidRPr="0084570B">
              <w:rPr>
                <w:rFonts w:ascii="Times New Roman" w:eastAsia="Times New Roman" w:hAnsi="Times New Roman" w:cs="Times New Roman"/>
                <w:b/>
                <w:sz w:val="20"/>
                <w:szCs w:val="22"/>
                <w:vertAlign w:val="superscript"/>
                <w:lang w:val="en-US"/>
              </w:rPr>
              <w:t>131</w:t>
            </w:r>
            <w:r w:rsidRPr="0084570B">
              <w:rPr>
                <w:rFonts w:ascii="Times New Roman" w:eastAsia="Times New Roman" w:hAnsi="Times New Roman" w:cs="Times New Roman"/>
                <w:b/>
                <w:sz w:val="20"/>
                <w:szCs w:val="22"/>
                <w:lang w:val="en-US"/>
              </w:rPr>
              <w:t>Xe/</w:t>
            </w:r>
            <w:r w:rsidRPr="0084570B">
              <w:rPr>
                <w:rFonts w:ascii="Times New Roman" w:eastAsia="Times New Roman" w:hAnsi="Times New Roman" w:cs="Times New Roman"/>
                <w:b/>
                <w:sz w:val="20"/>
                <w:szCs w:val="22"/>
                <w:vertAlign w:val="superscript"/>
                <w:lang w:val="en-US"/>
              </w:rPr>
              <w:t>130</w:t>
            </w:r>
            <w:r w:rsidRPr="0084570B">
              <w:rPr>
                <w:rFonts w:ascii="Times New Roman" w:eastAsia="Times New Roman" w:hAnsi="Times New Roman" w:cs="Times New Roman"/>
                <w:b/>
                <w:sz w:val="20"/>
                <w:szCs w:val="22"/>
                <w:lang w:val="en-US"/>
              </w:rPr>
              <w:t>Xe</w:t>
            </w:r>
          </w:p>
        </w:tc>
        <w:tc>
          <w:tcPr>
            <w:tcW w:w="1617" w:type="dxa"/>
            <w:tcBorders>
              <w:top w:val="single" w:sz="4" w:space="0" w:color="auto"/>
              <w:left w:val="nil"/>
              <w:bottom w:val="nil"/>
              <w:right w:val="nil"/>
            </w:tcBorders>
            <w:shd w:val="clear" w:color="auto" w:fill="auto"/>
            <w:noWrap/>
            <w:vAlign w:val="center"/>
            <w:hideMark/>
          </w:tcPr>
          <w:p w14:paraId="459CE6E3" w14:textId="77777777" w:rsidR="002D5C02" w:rsidRPr="0084570B" w:rsidRDefault="002D5C02" w:rsidP="00332966">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±1σ</w:t>
            </w:r>
          </w:p>
        </w:tc>
      </w:tr>
      <w:tr w:rsidR="002D5C02" w:rsidRPr="0084570B" w14:paraId="7556E6CB" w14:textId="77777777" w:rsidTr="00332966">
        <w:trPr>
          <w:trHeight w:val="280"/>
          <w:jc w:val="center"/>
        </w:trPr>
        <w:tc>
          <w:tcPr>
            <w:tcW w:w="1107" w:type="dxa"/>
            <w:vMerge/>
            <w:tcBorders>
              <w:left w:val="nil"/>
              <w:right w:val="nil"/>
            </w:tcBorders>
            <w:vAlign w:val="center"/>
          </w:tcPr>
          <w:p w14:paraId="058AFB1C"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3FD01AB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1</w:t>
            </w:r>
          </w:p>
        </w:tc>
        <w:tc>
          <w:tcPr>
            <w:tcW w:w="1156" w:type="dxa"/>
            <w:tcBorders>
              <w:top w:val="nil"/>
              <w:left w:val="nil"/>
              <w:bottom w:val="nil"/>
              <w:right w:val="nil"/>
            </w:tcBorders>
            <w:shd w:val="clear" w:color="auto" w:fill="auto"/>
            <w:noWrap/>
            <w:vAlign w:val="center"/>
            <w:hideMark/>
          </w:tcPr>
          <w:p w14:paraId="2D9DCB81"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0.048</w:t>
            </w:r>
          </w:p>
        </w:tc>
        <w:tc>
          <w:tcPr>
            <w:tcW w:w="1060" w:type="dxa"/>
            <w:tcBorders>
              <w:top w:val="nil"/>
              <w:left w:val="nil"/>
              <w:bottom w:val="nil"/>
              <w:right w:val="nil"/>
            </w:tcBorders>
            <w:shd w:val="clear" w:color="auto" w:fill="auto"/>
            <w:noWrap/>
            <w:vAlign w:val="center"/>
            <w:hideMark/>
          </w:tcPr>
          <w:p w14:paraId="1994D25B"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0.322</w:t>
            </w:r>
          </w:p>
        </w:tc>
        <w:tc>
          <w:tcPr>
            <w:tcW w:w="1156" w:type="dxa"/>
            <w:tcBorders>
              <w:top w:val="nil"/>
              <w:left w:val="nil"/>
              <w:bottom w:val="nil"/>
              <w:right w:val="nil"/>
            </w:tcBorders>
            <w:shd w:val="clear" w:color="auto" w:fill="auto"/>
            <w:noWrap/>
            <w:vAlign w:val="center"/>
            <w:hideMark/>
          </w:tcPr>
          <w:p w14:paraId="7D56B34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11.279</w:t>
            </w:r>
          </w:p>
        </w:tc>
        <w:tc>
          <w:tcPr>
            <w:tcW w:w="1060" w:type="dxa"/>
            <w:tcBorders>
              <w:top w:val="nil"/>
              <w:left w:val="nil"/>
              <w:bottom w:val="nil"/>
              <w:right w:val="nil"/>
            </w:tcBorders>
            <w:shd w:val="clear" w:color="auto" w:fill="auto"/>
            <w:noWrap/>
            <w:vAlign w:val="center"/>
            <w:hideMark/>
          </w:tcPr>
          <w:p w14:paraId="0228191D"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0.116</w:t>
            </w:r>
          </w:p>
        </w:tc>
        <w:tc>
          <w:tcPr>
            <w:tcW w:w="1597" w:type="dxa"/>
            <w:tcBorders>
              <w:top w:val="nil"/>
              <w:left w:val="nil"/>
              <w:bottom w:val="nil"/>
              <w:right w:val="nil"/>
            </w:tcBorders>
            <w:shd w:val="clear" w:color="auto" w:fill="auto"/>
            <w:noWrap/>
            <w:vAlign w:val="center"/>
            <w:hideMark/>
          </w:tcPr>
          <w:p w14:paraId="5758261B"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0.427</w:t>
            </w:r>
          </w:p>
        </w:tc>
        <w:tc>
          <w:tcPr>
            <w:tcW w:w="1617" w:type="dxa"/>
            <w:tcBorders>
              <w:top w:val="nil"/>
              <w:left w:val="nil"/>
              <w:bottom w:val="nil"/>
              <w:right w:val="nil"/>
            </w:tcBorders>
            <w:shd w:val="clear" w:color="auto" w:fill="auto"/>
            <w:noWrap/>
            <w:vAlign w:val="center"/>
            <w:hideMark/>
          </w:tcPr>
          <w:p w14:paraId="6BBAB8F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0.131</w:t>
            </w:r>
          </w:p>
        </w:tc>
      </w:tr>
      <w:tr w:rsidR="002D5C02" w:rsidRPr="0084570B" w14:paraId="32778820" w14:textId="77777777" w:rsidTr="00332966">
        <w:trPr>
          <w:trHeight w:val="280"/>
          <w:jc w:val="center"/>
        </w:trPr>
        <w:tc>
          <w:tcPr>
            <w:tcW w:w="1107" w:type="dxa"/>
            <w:vMerge/>
            <w:tcBorders>
              <w:left w:val="nil"/>
              <w:right w:val="nil"/>
            </w:tcBorders>
            <w:vAlign w:val="center"/>
          </w:tcPr>
          <w:p w14:paraId="21E0FEBF"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4F99A8BF"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2</w:t>
            </w:r>
          </w:p>
        </w:tc>
        <w:tc>
          <w:tcPr>
            <w:tcW w:w="1156" w:type="dxa"/>
            <w:tcBorders>
              <w:top w:val="nil"/>
              <w:left w:val="nil"/>
              <w:bottom w:val="nil"/>
              <w:right w:val="nil"/>
            </w:tcBorders>
            <w:shd w:val="clear" w:color="auto" w:fill="auto"/>
            <w:noWrap/>
            <w:vAlign w:val="center"/>
            <w:hideMark/>
          </w:tcPr>
          <w:p w14:paraId="54EB8C8A"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-0.315</w:t>
            </w:r>
          </w:p>
        </w:tc>
        <w:tc>
          <w:tcPr>
            <w:tcW w:w="1060" w:type="dxa"/>
            <w:tcBorders>
              <w:top w:val="nil"/>
              <w:left w:val="nil"/>
              <w:bottom w:val="nil"/>
              <w:right w:val="nil"/>
            </w:tcBorders>
            <w:shd w:val="clear" w:color="auto" w:fill="auto"/>
            <w:noWrap/>
            <w:vAlign w:val="center"/>
            <w:hideMark/>
          </w:tcPr>
          <w:p w14:paraId="6B7B6C36"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0.325</w:t>
            </w:r>
          </w:p>
        </w:tc>
        <w:tc>
          <w:tcPr>
            <w:tcW w:w="1156" w:type="dxa"/>
            <w:tcBorders>
              <w:top w:val="nil"/>
              <w:left w:val="nil"/>
              <w:bottom w:val="nil"/>
              <w:right w:val="nil"/>
            </w:tcBorders>
            <w:shd w:val="clear" w:color="auto" w:fill="auto"/>
            <w:noWrap/>
            <w:vAlign w:val="center"/>
            <w:hideMark/>
          </w:tcPr>
          <w:p w14:paraId="78F34AE6"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11.254</w:t>
            </w:r>
          </w:p>
        </w:tc>
        <w:tc>
          <w:tcPr>
            <w:tcW w:w="1060" w:type="dxa"/>
            <w:tcBorders>
              <w:top w:val="nil"/>
              <w:left w:val="nil"/>
              <w:bottom w:val="nil"/>
              <w:right w:val="nil"/>
            </w:tcBorders>
            <w:shd w:val="clear" w:color="auto" w:fill="auto"/>
            <w:noWrap/>
            <w:vAlign w:val="center"/>
            <w:hideMark/>
          </w:tcPr>
          <w:p w14:paraId="288D605A"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0.118</w:t>
            </w:r>
          </w:p>
        </w:tc>
        <w:tc>
          <w:tcPr>
            <w:tcW w:w="1597" w:type="dxa"/>
            <w:tcBorders>
              <w:top w:val="nil"/>
              <w:left w:val="nil"/>
              <w:bottom w:val="nil"/>
              <w:right w:val="nil"/>
            </w:tcBorders>
            <w:shd w:val="clear" w:color="auto" w:fill="auto"/>
            <w:noWrap/>
            <w:vAlign w:val="center"/>
            <w:hideMark/>
          </w:tcPr>
          <w:p w14:paraId="52B62DD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0.174</w:t>
            </w:r>
          </w:p>
        </w:tc>
        <w:tc>
          <w:tcPr>
            <w:tcW w:w="1617" w:type="dxa"/>
            <w:tcBorders>
              <w:top w:val="nil"/>
              <w:left w:val="nil"/>
              <w:bottom w:val="nil"/>
              <w:right w:val="nil"/>
            </w:tcBorders>
            <w:shd w:val="clear" w:color="auto" w:fill="auto"/>
            <w:noWrap/>
            <w:vAlign w:val="center"/>
            <w:hideMark/>
          </w:tcPr>
          <w:p w14:paraId="32098672"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0.133</w:t>
            </w:r>
          </w:p>
        </w:tc>
      </w:tr>
      <w:tr w:rsidR="002D5C02" w:rsidRPr="0084570B" w14:paraId="0350775A" w14:textId="77777777" w:rsidTr="00332966">
        <w:trPr>
          <w:trHeight w:val="280"/>
          <w:jc w:val="center"/>
        </w:trPr>
        <w:tc>
          <w:tcPr>
            <w:tcW w:w="1107" w:type="dxa"/>
            <w:vMerge/>
            <w:tcBorders>
              <w:left w:val="nil"/>
              <w:right w:val="nil"/>
            </w:tcBorders>
            <w:vAlign w:val="center"/>
          </w:tcPr>
          <w:p w14:paraId="2EADFCC2"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63C65CBD"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3</w:t>
            </w:r>
          </w:p>
        </w:tc>
        <w:tc>
          <w:tcPr>
            <w:tcW w:w="1156" w:type="dxa"/>
            <w:tcBorders>
              <w:top w:val="nil"/>
              <w:left w:val="nil"/>
              <w:bottom w:val="nil"/>
              <w:right w:val="nil"/>
            </w:tcBorders>
            <w:shd w:val="clear" w:color="auto" w:fill="auto"/>
            <w:noWrap/>
            <w:vAlign w:val="center"/>
            <w:hideMark/>
          </w:tcPr>
          <w:p w14:paraId="4BE0BCB0"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0.042</w:t>
            </w:r>
          </w:p>
        </w:tc>
        <w:tc>
          <w:tcPr>
            <w:tcW w:w="1060" w:type="dxa"/>
            <w:tcBorders>
              <w:top w:val="nil"/>
              <w:left w:val="nil"/>
              <w:bottom w:val="nil"/>
              <w:right w:val="nil"/>
            </w:tcBorders>
            <w:shd w:val="clear" w:color="auto" w:fill="auto"/>
            <w:noWrap/>
            <w:vAlign w:val="center"/>
            <w:hideMark/>
          </w:tcPr>
          <w:p w14:paraId="07B399B6"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0.327</w:t>
            </w:r>
          </w:p>
        </w:tc>
        <w:tc>
          <w:tcPr>
            <w:tcW w:w="1156" w:type="dxa"/>
            <w:tcBorders>
              <w:top w:val="nil"/>
              <w:left w:val="nil"/>
              <w:bottom w:val="nil"/>
              <w:right w:val="nil"/>
            </w:tcBorders>
            <w:shd w:val="clear" w:color="auto" w:fill="auto"/>
            <w:noWrap/>
            <w:vAlign w:val="center"/>
            <w:hideMark/>
          </w:tcPr>
          <w:p w14:paraId="101C9291"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11.502</w:t>
            </w:r>
          </w:p>
        </w:tc>
        <w:tc>
          <w:tcPr>
            <w:tcW w:w="1060" w:type="dxa"/>
            <w:tcBorders>
              <w:top w:val="nil"/>
              <w:left w:val="nil"/>
              <w:bottom w:val="nil"/>
              <w:right w:val="nil"/>
            </w:tcBorders>
            <w:shd w:val="clear" w:color="auto" w:fill="auto"/>
            <w:noWrap/>
            <w:vAlign w:val="center"/>
            <w:hideMark/>
          </w:tcPr>
          <w:p w14:paraId="332F880A"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0.118</w:t>
            </w:r>
          </w:p>
        </w:tc>
        <w:tc>
          <w:tcPr>
            <w:tcW w:w="1597" w:type="dxa"/>
            <w:tcBorders>
              <w:top w:val="nil"/>
              <w:left w:val="nil"/>
              <w:bottom w:val="nil"/>
              <w:right w:val="nil"/>
            </w:tcBorders>
            <w:shd w:val="clear" w:color="auto" w:fill="auto"/>
            <w:noWrap/>
            <w:vAlign w:val="center"/>
            <w:hideMark/>
          </w:tcPr>
          <w:p w14:paraId="4182A66C"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0.335</w:t>
            </w:r>
          </w:p>
        </w:tc>
        <w:tc>
          <w:tcPr>
            <w:tcW w:w="1617" w:type="dxa"/>
            <w:tcBorders>
              <w:top w:val="nil"/>
              <w:left w:val="nil"/>
              <w:bottom w:val="nil"/>
              <w:right w:val="nil"/>
            </w:tcBorders>
            <w:shd w:val="clear" w:color="auto" w:fill="auto"/>
            <w:noWrap/>
            <w:vAlign w:val="center"/>
            <w:hideMark/>
          </w:tcPr>
          <w:p w14:paraId="4C375F51"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0.134</w:t>
            </w:r>
          </w:p>
        </w:tc>
      </w:tr>
      <w:tr w:rsidR="002D5C02" w:rsidRPr="0084570B" w14:paraId="6137B8B9" w14:textId="77777777" w:rsidTr="00332966">
        <w:trPr>
          <w:trHeight w:val="280"/>
          <w:jc w:val="center"/>
        </w:trPr>
        <w:tc>
          <w:tcPr>
            <w:tcW w:w="1107" w:type="dxa"/>
            <w:vMerge/>
            <w:tcBorders>
              <w:left w:val="nil"/>
              <w:right w:val="nil"/>
            </w:tcBorders>
            <w:vAlign w:val="center"/>
          </w:tcPr>
          <w:p w14:paraId="40FF71C4"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22BC3D48"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0"/>
                <w:szCs w:val="22"/>
                <w:lang w:val="en-US"/>
              </w:rPr>
              <w:t>Eifel</w:t>
            </w:r>
          </w:p>
        </w:tc>
        <w:tc>
          <w:tcPr>
            <w:tcW w:w="1156" w:type="dxa"/>
            <w:tcBorders>
              <w:top w:val="nil"/>
              <w:left w:val="nil"/>
              <w:bottom w:val="nil"/>
              <w:right w:val="nil"/>
            </w:tcBorders>
            <w:shd w:val="clear" w:color="auto" w:fill="auto"/>
            <w:noWrap/>
            <w:vAlign w:val="bottom"/>
          </w:tcPr>
          <w:p w14:paraId="2A87ABCE"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1.523</w:t>
            </w:r>
          </w:p>
        </w:tc>
        <w:tc>
          <w:tcPr>
            <w:tcW w:w="1060" w:type="dxa"/>
            <w:tcBorders>
              <w:top w:val="nil"/>
              <w:left w:val="nil"/>
              <w:bottom w:val="nil"/>
              <w:right w:val="nil"/>
            </w:tcBorders>
            <w:shd w:val="clear" w:color="auto" w:fill="auto"/>
            <w:noWrap/>
            <w:vAlign w:val="bottom"/>
          </w:tcPr>
          <w:p w14:paraId="31D6BD9A"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0.896</w:t>
            </w:r>
          </w:p>
        </w:tc>
        <w:tc>
          <w:tcPr>
            <w:tcW w:w="1156" w:type="dxa"/>
            <w:tcBorders>
              <w:top w:val="nil"/>
              <w:left w:val="nil"/>
              <w:bottom w:val="nil"/>
              <w:right w:val="nil"/>
            </w:tcBorders>
            <w:shd w:val="clear" w:color="auto" w:fill="auto"/>
            <w:noWrap/>
            <w:vAlign w:val="bottom"/>
          </w:tcPr>
          <w:p w14:paraId="16348687"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71.510</w:t>
            </w:r>
          </w:p>
        </w:tc>
        <w:tc>
          <w:tcPr>
            <w:tcW w:w="1060" w:type="dxa"/>
            <w:tcBorders>
              <w:top w:val="nil"/>
              <w:left w:val="nil"/>
              <w:bottom w:val="nil"/>
              <w:right w:val="nil"/>
            </w:tcBorders>
            <w:shd w:val="clear" w:color="auto" w:fill="auto"/>
            <w:noWrap/>
            <w:vAlign w:val="bottom"/>
          </w:tcPr>
          <w:p w14:paraId="7819AAC1"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0.514</w:t>
            </w:r>
          </w:p>
        </w:tc>
        <w:tc>
          <w:tcPr>
            <w:tcW w:w="1597" w:type="dxa"/>
            <w:tcBorders>
              <w:top w:val="nil"/>
              <w:left w:val="nil"/>
              <w:bottom w:val="nil"/>
              <w:right w:val="nil"/>
            </w:tcBorders>
            <w:shd w:val="clear" w:color="auto" w:fill="auto"/>
            <w:noWrap/>
            <w:vAlign w:val="bottom"/>
          </w:tcPr>
          <w:p w14:paraId="0BB8936B"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2.148</w:t>
            </w:r>
          </w:p>
        </w:tc>
        <w:tc>
          <w:tcPr>
            <w:tcW w:w="1617" w:type="dxa"/>
            <w:tcBorders>
              <w:top w:val="nil"/>
              <w:left w:val="nil"/>
              <w:bottom w:val="nil"/>
              <w:right w:val="nil"/>
            </w:tcBorders>
            <w:shd w:val="clear" w:color="auto" w:fill="auto"/>
            <w:noWrap/>
            <w:vAlign w:val="bottom"/>
          </w:tcPr>
          <w:p w14:paraId="42FC3987"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0.632</w:t>
            </w:r>
          </w:p>
        </w:tc>
      </w:tr>
      <w:tr w:rsidR="002D5C02" w:rsidRPr="0084570B" w14:paraId="1AD22F29" w14:textId="77777777" w:rsidTr="00332966">
        <w:trPr>
          <w:trHeight w:val="280"/>
          <w:jc w:val="center"/>
        </w:trPr>
        <w:tc>
          <w:tcPr>
            <w:tcW w:w="1107" w:type="dxa"/>
            <w:vMerge/>
            <w:tcBorders>
              <w:left w:val="nil"/>
              <w:right w:val="nil"/>
            </w:tcBorders>
            <w:vAlign w:val="center"/>
          </w:tcPr>
          <w:p w14:paraId="31B67264"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3F4F305C"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top w:val="nil"/>
              <w:left w:val="nil"/>
              <w:bottom w:val="nil"/>
              <w:right w:val="nil"/>
            </w:tcBorders>
            <w:shd w:val="clear" w:color="auto" w:fill="auto"/>
            <w:noWrap/>
            <w:vAlign w:val="center"/>
            <w:hideMark/>
          </w:tcPr>
          <w:p w14:paraId="5BFEFE94" w14:textId="77777777" w:rsidR="002D5C02" w:rsidRPr="0084570B" w:rsidRDefault="002D5C02" w:rsidP="00332966">
            <w:pPr>
              <w:jc w:val="center"/>
              <w:rPr>
                <w:rFonts w:ascii="Times New Roman" w:eastAsia="Times New Roman" w:hAnsi="Times New Roman" w:cs="Times New Roman"/>
                <w:sz w:val="20"/>
                <w:szCs w:val="20"/>
                <w:lang w:val="en-US"/>
              </w:rPr>
            </w:pPr>
          </w:p>
        </w:tc>
        <w:tc>
          <w:tcPr>
            <w:tcW w:w="1060" w:type="dxa"/>
            <w:tcBorders>
              <w:top w:val="nil"/>
              <w:left w:val="nil"/>
              <w:bottom w:val="nil"/>
              <w:right w:val="nil"/>
            </w:tcBorders>
            <w:shd w:val="clear" w:color="auto" w:fill="auto"/>
            <w:noWrap/>
            <w:vAlign w:val="center"/>
            <w:hideMark/>
          </w:tcPr>
          <w:p w14:paraId="607966B4" w14:textId="77777777" w:rsidR="002D5C02" w:rsidRPr="0084570B" w:rsidRDefault="002D5C02" w:rsidP="00332966">
            <w:pPr>
              <w:jc w:val="center"/>
              <w:rPr>
                <w:rFonts w:ascii="Times New Roman" w:eastAsia="Times New Roman" w:hAnsi="Times New Roman" w:cs="Times New Roman"/>
                <w:sz w:val="20"/>
                <w:szCs w:val="20"/>
                <w:lang w:val="en-US"/>
              </w:rPr>
            </w:pPr>
          </w:p>
        </w:tc>
        <w:tc>
          <w:tcPr>
            <w:tcW w:w="1156" w:type="dxa"/>
            <w:tcBorders>
              <w:top w:val="nil"/>
              <w:left w:val="nil"/>
              <w:bottom w:val="nil"/>
              <w:right w:val="nil"/>
            </w:tcBorders>
            <w:shd w:val="clear" w:color="auto" w:fill="auto"/>
            <w:noWrap/>
            <w:vAlign w:val="center"/>
            <w:hideMark/>
          </w:tcPr>
          <w:p w14:paraId="2C65F9A8" w14:textId="77777777" w:rsidR="002D5C02" w:rsidRPr="0084570B" w:rsidRDefault="002D5C02" w:rsidP="00332966">
            <w:pPr>
              <w:jc w:val="center"/>
              <w:rPr>
                <w:rFonts w:ascii="Times New Roman" w:eastAsia="Times New Roman" w:hAnsi="Times New Roman" w:cs="Times New Roman"/>
                <w:sz w:val="20"/>
                <w:szCs w:val="20"/>
                <w:lang w:val="en-US"/>
              </w:rPr>
            </w:pPr>
          </w:p>
        </w:tc>
        <w:tc>
          <w:tcPr>
            <w:tcW w:w="1060" w:type="dxa"/>
            <w:tcBorders>
              <w:top w:val="nil"/>
              <w:left w:val="nil"/>
              <w:bottom w:val="nil"/>
              <w:right w:val="nil"/>
            </w:tcBorders>
            <w:shd w:val="clear" w:color="auto" w:fill="auto"/>
            <w:noWrap/>
            <w:vAlign w:val="center"/>
            <w:hideMark/>
          </w:tcPr>
          <w:p w14:paraId="5F277BF2" w14:textId="77777777" w:rsidR="002D5C02" w:rsidRPr="0084570B" w:rsidRDefault="002D5C02" w:rsidP="00332966">
            <w:pPr>
              <w:jc w:val="center"/>
              <w:rPr>
                <w:rFonts w:ascii="Times New Roman" w:eastAsia="Times New Roman" w:hAnsi="Times New Roman" w:cs="Times New Roman"/>
                <w:sz w:val="20"/>
                <w:szCs w:val="20"/>
                <w:lang w:val="en-US"/>
              </w:rPr>
            </w:pPr>
          </w:p>
        </w:tc>
        <w:tc>
          <w:tcPr>
            <w:tcW w:w="1597" w:type="dxa"/>
            <w:tcBorders>
              <w:top w:val="nil"/>
              <w:left w:val="nil"/>
              <w:bottom w:val="nil"/>
              <w:right w:val="nil"/>
            </w:tcBorders>
            <w:shd w:val="clear" w:color="auto" w:fill="auto"/>
            <w:noWrap/>
            <w:vAlign w:val="center"/>
            <w:hideMark/>
          </w:tcPr>
          <w:p w14:paraId="08CACB8F" w14:textId="77777777" w:rsidR="002D5C02" w:rsidRPr="0084570B" w:rsidRDefault="002D5C02" w:rsidP="00332966">
            <w:pPr>
              <w:jc w:val="center"/>
              <w:rPr>
                <w:rFonts w:ascii="Times New Roman" w:eastAsia="Times New Roman" w:hAnsi="Times New Roman" w:cs="Times New Roman"/>
                <w:sz w:val="20"/>
                <w:szCs w:val="20"/>
                <w:lang w:val="en-US"/>
              </w:rPr>
            </w:pPr>
          </w:p>
        </w:tc>
        <w:tc>
          <w:tcPr>
            <w:tcW w:w="1617" w:type="dxa"/>
            <w:tcBorders>
              <w:top w:val="nil"/>
              <w:left w:val="nil"/>
              <w:bottom w:val="nil"/>
              <w:right w:val="nil"/>
            </w:tcBorders>
            <w:shd w:val="clear" w:color="auto" w:fill="auto"/>
            <w:noWrap/>
            <w:vAlign w:val="center"/>
            <w:hideMark/>
          </w:tcPr>
          <w:p w14:paraId="66EFDBDA" w14:textId="77777777" w:rsidR="002D5C02" w:rsidRPr="0084570B" w:rsidRDefault="002D5C02" w:rsidP="00332966">
            <w:pPr>
              <w:jc w:val="center"/>
              <w:rPr>
                <w:rFonts w:ascii="Times New Roman" w:eastAsia="Times New Roman" w:hAnsi="Times New Roman" w:cs="Times New Roman"/>
                <w:sz w:val="20"/>
                <w:szCs w:val="20"/>
                <w:lang w:val="en-US"/>
              </w:rPr>
            </w:pPr>
          </w:p>
        </w:tc>
      </w:tr>
      <w:tr w:rsidR="002D5C02" w:rsidRPr="0084570B" w14:paraId="1B89993F" w14:textId="77777777" w:rsidTr="00332966">
        <w:trPr>
          <w:trHeight w:val="280"/>
          <w:jc w:val="center"/>
        </w:trPr>
        <w:tc>
          <w:tcPr>
            <w:tcW w:w="1107" w:type="dxa"/>
            <w:vMerge/>
            <w:tcBorders>
              <w:left w:val="nil"/>
              <w:right w:val="nil"/>
            </w:tcBorders>
            <w:vAlign w:val="center"/>
          </w:tcPr>
          <w:p w14:paraId="0C680021" w14:textId="77777777" w:rsidR="002D5C02" w:rsidRPr="0084570B" w:rsidRDefault="002D5C02" w:rsidP="00332966">
            <w:pPr>
              <w:jc w:val="center"/>
              <w:rPr>
                <w:rFonts w:ascii="Times New Roman" w:eastAsia="Times New Roman" w:hAnsi="Times New Roman" w:cs="Times New Roman"/>
                <w:b/>
                <w:sz w:val="20"/>
                <w:szCs w:val="22"/>
                <w:vertAlign w:val="superscript"/>
                <w:lang w:val="en-US"/>
              </w:rPr>
            </w:pPr>
          </w:p>
        </w:tc>
        <w:tc>
          <w:tcPr>
            <w:tcW w:w="1121" w:type="dxa"/>
            <w:tcBorders>
              <w:left w:val="nil"/>
              <w:right w:val="nil"/>
            </w:tcBorders>
            <w:vAlign w:val="center"/>
          </w:tcPr>
          <w:p w14:paraId="0CD9A95D" w14:textId="77777777" w:rsidR="002D5C02" w:rsidRPr="0084570B" w:rsidRDefault="002D5C02" w:rsidP="00332966">
            <w:pPr>
              <w:jc w:val="center"/>
              <w:rPr>
                <w:rFonts w:ascii="Times New Roman" w:eastAsia="Times New Roman" w:hAnsi="Times New Roman" w:cs="Times New Roman"/>
                <w:b/>
                <w:sz w:val="20"/>
                <w:szCs w:val="22"/>
                <w:vertAlign w:val="superscript"/>
                <w:lang w:val="en-US"/>
              </w:rPr>
            </w:pPr>
          </w:p>
        </w:tc>
        <w:tc>
          <w:tcPr>
            <w:tcW w:w="1156" w:type="dxa"/>
            <w:tcBorders>
              <w:top w:val="nil"/>
              <w:left w:val="nil"/>
              <w:bottom w:val="nil"/>
              <w:right w:val="nil"/>
            </w:tcBorders>
            <w:shd w:val="clear" w:color="auto" w:fill="auto"/>
            <w:noWrap/>
            <w:vAlign w:val="center"/>
            <w:hideMark/>
          </w:tcPr>
          <w:p w14:paraId="1543112E" w14:textId="77777777" w:rsidR="002D5C02" w:rsidRPr="0084570B" w:rsidRDefault="002D5C02" w:rsidP="00332966">
            <w:pPr>
              <w:jc w:val="center"/>
              <w:rPr>
                <w:rFonts w:ascii="Times New Roman" w:eastAsia="Times New Roman" w:hAnsi="Times New Roman" w:cs="Times New Roman"/>
                <w:b/>
                <w:sz w:val="20"/>
                <w:szCs w:val="20"/>
                <w:lang w:val="en-US"/>
              </w:rPr>
            </w:pPr>
            <w:r w:rsidRPr="0084570B">
              <w:rPr>
                <w:rFonts w:ascii="Times New Roman" w:eastAsia="Times New Roman" w:hAnsi="Times New Roman" w:cs="Times New Roman"/>
                <w:b/>
                <w:sz w:val="20"/>
                <w:szCs w:val="20"/>
                <w:lang w:val="en-US"/>
              </w:rPr>
              <w:t>δ</w:t>
            </w:r>
            <w:r w:rsidRPr="0084570B">
              <w:rPr>
                <w:rFonts w:ascii="Times New Roman" w:eastAsia="Times New Roman" w:hAnsi="Times New Roman" w:cs="Times New Roman"/>
                <w:b/>
                <w:sz w:val="20"/>
                <w:szCs w:val="20"/>
                <w:vertAlign w:val="superscript"/>
                <w:lang w:val="en-US"/>
              </w:rPr>
              <w:t>132</w:t>
            </w:r>
            <w:r w:rsidRPr="0084570B">
              <w:rPr>
                <w:rFonts w:ascii="Times New Roman" w:eastAsia="Times New Roman" w:hAnsi="Times New Roman" w:cs="Times New Roman"/>
                <w:b/>
                <w:sz w:val="20"/>
                <w:szCs w:val="20"/>
                <w:lang w:val="en-US"/>
              </w:rPr>
              <w:t>Xe/</w:t>
            </w:r>
            <w:r w:rsidRPr="0084570B">
              <w:rPr>
                <w:rFonts w:ascii="Times New Roman" w:eastAsia="Times New Roman" w:hAnsi="Times New Roman" w:cs="Times New Roman"/>
                <w:b/>
                <w:sz w:val="20"/>
                <w:szCs w:val="20"/>
                <w:vertAlign w:val="superscript"/>
                <w:lang w:val="en-US"/>
              </w:rPr>
              <w:t>130</w:t>
            </w:r>
            <w:r w:rsidRPr="0084570B">
              <w:rPr>
                <w:rFonts w:ascii="Times New Roman" w:eastAsia="Times New Roman" w:hAnsi="Times New Roman" w:cs="Times New Roman"/>
                <w:b/>
                <w:sz w:val="20"/>
                <w:szCs w:val="20"/>
                <w:lang w:val="en-US"/>
              </w:rPr>
              <w:t>Xe</w:t>
            </w:r>
          </w:p>
        </w:tc>
        <w:tc>
          <w:tcPr>
            <w:tcW w:w="1060" w:type="dxa"/>
            <w:tcBorders>
              <w:top w:val="nil"/>
              <w:left w:val="nil"/>
              <w:bottom w:val="nil"/>
              <w:right w:val="nil"/>
            </w:tcBorders>
            <w:shd w:val="clear" w:color="auto" w:fill="auto"/>
            <w:noWrap/>
            <w:vAlign w:val="center"/>
            <w:hideMark/>
          </w:tcPr>
          <w:p w14:paraId="48F6D49F" w14:textId="77777777" w:rsidR="002D5C02" w:rsidRPr="0084570B" w:rsidRDefault="002D5C02" w:rsidP="00332966">
            <w:pPr>
              <w:jc w:val="center"/>
              <w:rPr>
                <w:rFonts w:ascii="Times New Roman" w:eastAsia="Times New Roman" w:hAnsi="Times New Roman" w:cs="Times New Roman"/>
                <w:b/>
                <w:sz w:val="20"/>
                <w:szCs w:val="20"/>
                <w:lang w:val="en-US"/>
              </w:rPr>
            </w:pPr>
            <w:r w:rsidRPr="0084570B">
              <w:rPr>
                <w:rFonts w:ascii="Times New Roman" w:eastAsia="Times New Roman" w:hAnsi="Times New Roman" w:cs="Times New Roman"/>
                <w:b/>
                <w:sz w:val="20"/>
                <w:szCs w:val="20"/>
                <w:lang w:val="en-US"/>
              </w:rPr>
              <w:t>±1σ</w:t>
            </w:r>
          </w:p>
        </w:tc>
        <w:tc>
          <w:tcPr>
            <w:tcW w:w="1156" w:type="dxa"/>
            <w:tcBorders>
              <w:top w:val="nil"/>
              <w:left w:val="nil"/>
              <w:bottom w:val="nil"/>
              <w:right w:val="nil"/>
            </w:tcBorders>
            <w:shd w:val="clear" w:color="auto" w:fill="auto"/>
            <w:noWrap/>
            <w:vAlign w:val="center"/>
            <w:hideMark/>
          </w:tcPr>
          <w:p w14:paraId="4047B978" w14:textId="77777777" w:rsidR="002D5C02" w:rsidRPr="0084570B" w:rsidRDefault="002D5C02" w:rsidP="00332966">
            <w:pPr>
              <w:jc w:val="center"/>
              <w:rPr>
                <w:rFonts w:ascii="Times New Roman" w:eastAsia="Times New Roman" w:hAnsi="Times New Roman" w:cs="Times New Roman"/>
                <w:b/>
                <w:sz w:val="20"/>
                <w:szCs w:val="20"/>
                <w:lang w:val="en-US"/>
              </w:rPr>
            </w:pPr>
            <w:r w:rsidRPr="0084570B">
              <w:rPr>
                <w:rFonts w:ascii="Times New Roman" w:eastAsia="Times New Roman" w:hAnsi="Times New Roman" w:cs="Times New Roman"/>
                <w:b/>
                <w:sz w:val="20"/>
                <w:szCs w:val="20"/>
                <w:lang w:val="en-US"/>
              </w:rPr>
              <w:t>δ</w:t>
            </w:r>
            <w:r w:rsidRPr="0084570B">
              <w:rPr>
                <w:rFonts w:ascii="Times New Roman" w:eastAsia="Times New Roman" w:hAnsi="Times New Roman" w:cs="Times New Roman"/>
                <w:b/>
                <w:sz w:val="20"/>
                <w:szCs w:val="20"/>
                <w:vertAlign w:val="superscript"/>
                <w:lang w:val="en-US"/>
              </w:rPr>
              <w:t>134</w:t>
            </w:r>
            <w:r w:rsidRPr="0084570B">
              <w:rPr>
                <w:rFonts w:ascii="Times New Roman" w:eastAsia="Times New Roman" w:hAnsi="Times New Roman" w:cs="Times New Roman"/>
                <w:b/>
                <w:sz w:val="20"/>
                <w:szCs w:val="20"/>
                <w:lang w:val="en-US"/>
              </w:rPr>
              <w:t>Xe/</w:t>
            </w:r>
            <w:r w:rsidRPr="0084570B">
              <w:rPr>
                <w:rFonts w:ascii="Times New Roman" w:eastAsia="Times New Roman" w:hAnsi="Times New Roman" w:cs="Times New Roman"/>
                <w:b/>
                <w:sz w:val="20"/>
                <w:szCs w:val="20"/>
                <w:vertAlign w:val="superscript"/>
                <w:lang w:val="en-US"/>
              </w:rPr>
              <w:t>130</w:t>
            </w:r>
            <w:r w:rsidRPr="0084570B">
              <w:rPr>
                <w:rFonts w:ascii="Times New Roman" w:eastAsia="Times New Roman" w:hAnsi="Times New Roman" w:cs="Times New Roman"/>
                <w:b/>
                <w:sz w:val="20"/>
                <w:szCs w:val="20"/>
                <w:lang w:val="en-US"/>
              </w:rPr>
              <w:t>Xe</w:t>
            </w:r>
          </w:p>
        </w:tc>
        <w:tc>
          <w:tcPr>
            <w:tcW w:w="1060" w:type="dxa"/>
            <w:tcBorders>
              <w:top w:val="nil"/>
              <w:left w:val="nil"/>
              <w:bottom w:val="nil"/>
              <w:right w:val="nil"/>
            </w:tcBorders>
            <w:shd w:val="clear" w:color="auto" w:fill="auto"/>
            <w:noWrap/>
            <w:vAlign w:val="center"/>
            <w:hideMark/>
          </w:tcPr>
          <w:p w14:paraId="1AA3050A" w14:textId="77777777" w:rsidR="002D5C02" w:rsidRPr="0084570B" w:rsidRDefault="002D5C02" w:rsidP="00332966">
            <w:pPr>
              <w:jc w:val="center"/>
              <w:rPr>
                <w:rFonts w:ascii="Times New Roman" w:eastAsia="Times New Roman" w:hAnsi="Times New Roman" w:cs="Times New Roman"/>
                <w:b/>
                <w:sz w:val="20"/>
                <w:szCs w:val="20"/>
                <w:lang w:val="en-US"/>
              </w:rPr>
            </w:pPr>
            <w:r w:rsidRPr="0084570B">
              <w:rPr>
                <w:rFonts w:ascii="Times New Roman" w:eastAsia="Times New Roman" w:hAnsi="Times New Roman" w:cs="Times New Roman"/>
                <w:b/>
                <w:sz w:val="20"/>
                <w:szCs w:val="20"/>
                <w:lang w:val="en-US"/>
              </w:rPr>
              <w:t>±1σ</w:t>
            </w:r>
          </w:p>
        </w:tc>
        <w:tc>
          <w:tcPr>
            <w:tcW w:w="1597" w:type="dxa"/>
            <w:tcBorders>
              <w:top w:val="nil"/>
              <w:left w:val="nil"/>
              <w:bottom w:val="nil"/>
              <w:right w:val="nil"/>
            </w:tcBorders>
            <w:shd w:val="clear" w:color="auto" w:fill="auto"/>
            <w:noWrap/>
            <w:vAlign w:val="center"/>
            <w:hideMark/>
          </w:tcPr>
          <w:p w14:paraId="7B051F4E" w14:textId="77777777" w:rsidR="002D5C02" w:rsidRPr="0084570B" w:rsidRDefault="002D5C02" w:rsidP="00332966">
            <w:pPr>
              <w:jc w:val="center"/>
              <w:rPr>
                <w:rFonts w:ascii="Times New Roman" w:eastAsia="Times New Roman" w:hAnsi="Times New Roman" w:cs="Times New Roman"/>
                <w:b/>
                <w:sz w:val="20"/>
                <w:szCs w:val="20"/>
                <w:lang w:val="en-US"/>
              </w:rPr>
            </w:pPr>
            <w:r w:rsidRPr="0084570B">
              <w:rPr>
                <w:rFonts w:ascii="Times New Roman" w:eastAsia="Times New Roman" w:hAnsi="Times New Roman" w:cs="Times New Roman"/>
                <w:b/>
                <w:sz w:val="20"/>
                <w:szCs w:val="20"/>
                <w:lang w:val="en-US"/>
              </w:rPr>
              <w:t>δ</w:t>
            </w:r>
            <w:r w:rsidRPr="0084570B">
              <w:rPr>
                <w:rFonts w:ascii="Times New Roman" w:eastAsia="Times New Roman" w:hAnsi="Times New Roman" w:cs="Times New Roman"/>
                <w:b/>
                <w:sz w:val="20"/>
                <w:szCs w:val="20"/>
                <w:vertAlign w:val="superscript"/>
                <w:lang w:val="en-US"/>
              </w:rPr>
              <w:t>136</w:t>
            </w:r>
            <w:r w:rsidRPr="0084570B">
              <w:rPr>
                <w:rFonts w:ascii="Times New Roman" w:eastAsia="Times New Roman" w:hAnsi="Times New Roman" w:cs="Times New Roman"/>
                <w:b/>
                <w:sz w:val="20"/>
                <w:szCs w:val="20"/>
                <w:lang w:val="en-US"/>
              </w:rPr>
              <w:t>Xe/</w:t>
            </w:r>
            <w:r w:rsidRPr="0084570B">
              <w:rPr>
                <w:rFonts w:ascii="Times New Roman" w:eastAsia="Times New Roman" w:hAnsi="Times New Roman" w:cs="Times New Roman"/>
                <w:b/>
                <w:sz w:val="20"/>
                <w:szCs w:val="20"/>
                <w:vertAlign w:val="superscript"/>
                <w:lang w:val="en-US"/>
              </w:rPr>
              <w:t>130</w:t>
            </w:r>
            <w:r w:rsidRPr="0084570B">
              <w:rPr>
                <w:rFonts w:ascii="Times New Roman" w:eastAsia="Times New Roman" w:hAnsi="Times New Roman" w:cs="Times New Roman"/>
                <w:b/>
                <w:sz w:val="20"/>
                <w:szCs w:val="20"/>
                <w:lang w:val="en-US"/>
              </w:rPr>
              <w:t>Xe</w:t>
            </w:r>
          </w:p>
        </w:tc>
        <w:tc>
          <w:tcPr>
            <w:tcW w:w="1617" w:type="dxa"/>
            <w:tcBorders>
              <w:top w:val="nil"/>
              <w:left w:val="nil"/>
              <w:bottom w:val="nil"/>
              <w:right w:val="nil"/>
            </w:tcBorders>
            <w:shd w:val="clear" w:color="auto" w:fill="auto"/>
            <w:noWrap/>
            <w:vAlign w:val="center"/>
            <w:hideMark/>
          </w:tcPr>
          <w:p w14:paraId="0E8EE8E7" w14:textId="77777777" w:rsidR="002D5C02" w:rsidRPr="0084570B" w:rsidRDefault="002D5C02" w:rsidP="00332966">
            <w:pPr>
              <w:jc w:val="center"/>
              <w:rPr>
                <w:rFonts w:ascii="Times New Roman" w:eastAsia="Times New Roman" w:hAnsi="Times New Roman" w:cs="Times New Roman"/>
                <w:b/>
                <w:sz w:val="20"/>
                <w:szCs w:val="20"/>
                <w:lang w:val="en-US"/>
              </w:rPr>
            </w:pPr>
            <w:r w:rsidRPr="0084570B">
              <w:rPr>
                <w:rFonts w:ascii="Times New Roman" w:eastAsia="Times New Roman" w:hAnsi="Times New Roman" w:cs="Times New Roman"/>
                <w:b/>
                <w:sz w:val="20"/>
                <w:szCs w:val="20"/>
                <w:lang w:val="en-US"/>
              </w:rPr>
              <w:t>±1σ</w:t>
            </w:r>
          </w:p>
        </w:tc>
      </w:tr>
      <w:tr w:rsidR="002D5C02" w:rsidRPr="0084570B" w14:paraId="2BC19A0B" w14:textId="77777777" w:rsidTr="00332966">
        <w:trPr>
          <w:trHeight w:val="280"/>
          <w:jc w:val="center"/>
        </w:trPr>
        <w:tc>
          <w:tcPr>
            <w:tcW w:w="1107" w:type="dxa"/>
            <w:vMerge/>
            <w:tcBorders>
              <w:left w:val="nil"/>
              <w:right w:val="nil"/>
            </w:tcBorders>
            <w:vAlign w:val="center"/>
          </w:tcPr>
          <w:p w14:paraId="08C8C9A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19EBBA65"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1</w:t>
            </w:r>
          </w:p>
        </w:tc>
        <w:tc>
          <w:tcPr>
            <w:tcW w:w="1156" w:type="dxa"/>
            <w:tcBorders>
              <w:top w:val="nil"/>
              <w:left w:val="nil"/>
              <w:bottom w:val="nil"/>
              <w:right w:val="nil"/>
            </w:tcBorders>
            <w:shd w:val="clear" w:color="auto" w:fill="auto"/>
            <w:noWrap/>
            <w:vAlign w:val="center"/>
            <w:hideMark/>
          </w:tcPr>
          <w:p w14:paraId="035A822C"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2.538</w:t>
            </w:r>
          </w:p>
        </w:tc>
        <w:tc>
          <w:tcPr>
            <w:tcW w:w="1060" w:type="dxa"/>
            <w:tcBorders>
              <w:top w:val="nil"/>
              <w:left w:val="nil"/>
              <w:bottom w:val="nil"/>
              <w:right w:val="nil"/>
            </w:tcBorders>
            <w:shd w:val="clear" w:color="auto" w:fill="auto"/>
            <w:noWrap/>
            <w:vAlign w:val="center"/>
            <w:hideMark/>
          </w:tcPr>
          <w:p w14:paraId="42407E6B"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0.116</w:t>
            </w:r>
          </w:p>
        </w:tc>
        <w:tc>
          <w:tcPr>
            <w:tcW w:w="1156" w:type="dxa"/>
            <w:tcBorders>
              <w:top w:val="nil"/>
              <w:left w:val="nil"/>
              <w:bottom w:val="nil"/>
              <w:right w:val="nil"/>
            </w:tcBorders>
            <w:shd w:val="clear" w:color="auto" w:fill="auto"/>
            <w:noWrap/>
            <w:vAlign w:val="center"/>
            <w:hideMark/>
          </w:tcPr>
          <w:p w14:paraId="3F3E9DB2"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9.862</w:t>
            </w:r>
          </w:p>
        </w:tc>
        <w:tc>
          <w:tcPr>
            <w:tcW w:w="1060" w:type="dxa"/>
            <w:tcBorders>
              <w:top w:val="nil"/>
              <w:left w:val="nil"/>
              <w:bottom w:val="nil"/>
              <w:right w:val="nil"/>
            </w:tcBorders>
            <w:shd w:val="clear" w:color="auto" w:fill="auto"/>
            <w:noWrap/>
            <w:vAlign w:val="center"/>
            <w:hideMark/>
          </w:tcPr>
          <w:p w14:paraId="603492CC"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0.144</w:t>
            </w:r>
          </w:p>
        </w:tc>
        <w:tc>
          <w:tcPr>
            <w:tcW w:w="1597" w:type="dxa"/>
            <w:tcBorders>
              <w:top w:val="nil"/>
              <w:left w:val="nil"/>
              <w:bottom w:val="nil"/>
              <w:right w:val="nil"/>
            </w:tcBorders>
            <w:shd w:val="clear" w:color="auto" w:fill="auto"/>
            <w:noWrap/>
            <w:vAlign w:val="center"/>
            <w:hideMark/>
          </w:tcPr>
          <w:p w14:paraId="5BF093D8"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14.055</w:t>
            </w:r>
          </w:p>
        </w:tc>
        <w:tc>
          <w:tcPr>
            <w:tcW w:w="1617" w:type="dxa"/>
            <w:tcBorders>
              <w:top w:val="nil"/>
              <w:left w:val="nil"/>
              <w:bottom w:val="nil"/>
              <w:right w:val="nil"/>
            </w:tcBorders>
            <w:shd w:val="clear" w:color="auto" w:fill="auto"/>
            <w:noWrap/>
            <w:vAlign w:val="center"/>
            <w:hideMark/>
          </w:tcPr>
          <w:p w14:paraId="3764A959"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0.131</w:t>
            </w:r>
          </w:p>
        </w:tc>
      </w:tr>
      <w:tr w:rsidR="002D5C02" w:rsidRPr="0084570B" w14:paraId="097609D9" w14:textId="77777777" w:rsidTr="00332966">
        <w:trPr>
          <w:trHeight w:val="280"/>
          <w:jc w:val="center"/>
        </w:trPr>
        <w:tc>
          <w:tcPr>
            <w:tcW w:w="1107" w:type="dxa"/>
            <w:vMerge/>
            <w:tcBorders>
              <w:left w:val="nil"/>
              <w:right w:val="nil"/>
            </w:tcBorders>
            <w:vAlign w:val="center"/>
          </w:tcPr>
          <w:p w14:paraId="3D3F624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43A90B50"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2</w:t>
            </w:r>
          </w:p>
        </w:tc>
        <w:tc>
          <w:tcPr>
            <w:tcW w:w="1156" w:type="dxa"/>
            <w:tcBorders>
              <w:top w:val="nil"/>
              <w:left w:val="nil"/>
              <w:bottom w:val="nil"/>
              <w:right w:val="nil"/>
            </w:tcBorders>
            <w:shd w:val="clear" w:color="auto" w:fill="auto"/>
            <w:noWrap/>
            <w:vAlign w:val="center"/>
            <w:hideMark/>
          </w:tcPr>
          <w:p w14:paraId="4723E2A4"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2.296</w:t>
            </w:r>
          </w:p>
        </w:tc>
        <w:tc>
          <w:tcPr>
            <w:tcW w:w="1060" w:type="dxa"/>
            <w:tcBorders>
              <w:top w:val="nil"/>
              <w:left w:val="nil"/>
              <w:bottom w:val="nil"/>
              <w:right w:val="nil"/>
            </w:tcBorders>
            <w:shd w:val="clear" w:color="auto" w:fill="auto"/>
            <w:noWrap/>
            <w:vAlign w:val="center"/>
            <w:hideMark/>
          </w:tcPr>
          <w:p w14:paraId="46BA7A9B"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0.118</w:t>
            </w:r>
          </w:p>
        </w:tc>
        <w:tc>
          <w:tcPr>
            <w:tcW w:w="1156" w:type="dxa"/>
            <w:tcBorders>
              <w:top w:val="nil"/>
              <w:left w:val="nil"/>
              <w:bottom w:val="nil"/>
              <w:right w:val="nil"/>
            </w:tcBorders>
            <w:shd w:val="clear" w:color="auto" w:fill="auto"/>
            <w:noWrap/>
            <w:vAlign w:val="center"/>
            <w:hideMark/>
          </w:tcPr>
          <w:p w14:paraId="7AFE5BA8"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9.712</w:t>
            </w:r>
          </w:p>
        </w:tc>
        <w:tc>
          <w:tcPr>
            <w:tcW w:w="1060" w:type="dxa"/>
            <w:tcBorders>
              <w:top w:val="nil"/>
              <w:left w:val="nil"/>
              <w:bottom w:val="nil"/>
              <w:right w:val="nil"/>
            </w:tcBorders>
            <w:shd w:val="clear" w:color="auto" w:fill="auto"/>
            <w:noWrap/>
            <w:vAlign w:val="center"/>
            <w:hideMark/>
          </w:tcPr>
          <w:p w14:paraId="0B0F2396"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0.146</w:t>
            </w:r>
          </w:p>
        </w:tc>
        <w:tc>
          <w:tcPr>
            <w:tcW w:w="1597" w:type="dxa"/>
            <w:tcBorders>
              <w:top w:val="nil"/>
              <w:left w:val="nil"/>
              <w:bottom w:val="nil"/>
              <w:right w:val="nil"/>
            </w:tcBorders>
            <w:shd w:val="clear" w:color="auto" w:fill="auto"/>
            <w:noWrap/>
            <w:vAlign w:val="center"/>
            <w:hideMark/>
          </w:tcPr>
          <w:p w14:paraId="5ED4E62A"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13.799</w:t>
            </w:r>
          </w:p>
        </w:tc>
        <w:tc>
          <w:tcPr>
            <w:tcW w:w="1617" w:type="dxa"/>
            <w:tcBorders>
              <w:top w:val="nil"/>
              <w:left w:val="nil"/>
              <w:bottom w:val="nil"/>
              <w:right w:val="nil"/>
            </w:tcBorders>
            <w:shd w:val="clear" w:color="auto" w:fill="auto"/>
            <w:noWrap/>
            <w:vAlign w:val="center"/>
            <w:hideMark/>
          </w:tcPr>
          <w:p w14:paraId="288ECDB3"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0.133</w:t>
            </w:r>
          </w:p>
        </w:tc>
      </w:tr>
      <w:tr w:rsidR="002D5C02" w:rsidRPr="0084570B" w14:paraId="16046E29" w14:textId="77777777" w:rsidTr="00332966">
        <w:trPr>
          <w:trHeight w:val="280"/>
          <w:jc w:val="center"/>
        </w:trPr>
        <w:tc>
          <w:tcPr>
            <w:tcW w:w="1107" w:type="dxa"/>
            <w:vMerge/>
            <w:tcBorders>
              <w:left w:val="nil"/>
              <w:right w:val="nil"/>
            </w:tcBorders>
            <w:vAlign w:val="center"/>
          </w:tcPr>
          <w:p w14:paraId="106477B1"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79507B11"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 xml:space="preserve">Mt. Etna </w:t>
            </w:r>
            <w:r w:rsidRPr="0084570B">
              <w:rPr>
                <w:rFonts w:ascii="Times New Roman" w:eastAsia="Times New Roman" w:hAnsi="Times New Roman" w:cs="Times New Roman"/>
                <w:b/>
                <w:sz w:val="20"/>
                <w:szCs w:val="22"/>
                <w:lang w:val="en-US"/>
              </w:rPr>
              <w:t>3</w:t>
            </w:r>
          </w:p>
        </w:tc>
        <w:tc>
          <w:tcPr>
            <w:tcW w:w="1156" w:type="dxa"/>
            <w:tcBorders>
              <w:top w:val="nil"/>
              <w:left w:val="nil"/>
              <w:right w:val="nil"/>
            </w:tcBorders>
            <w:shd w:val="clear" w:color="auto" w:fill="auto"/>
            <w:noWrap/>
            <w:vAlign w:val="center"/>
            <w:hideMark/>
          </w:tcPr>
          <w:p w14:paraId="1F8E3D1B"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2.612</w:t>
            </w:r>
          </w:p>
        </w:tc>
        <w:tc>
          <w:tcPr>
            <w:tcW w:w="1060" w:type="dxa"/>
            <w:tcBorders>
              <w:top w:val="nil"/>
              <w:left w:val="nil"/>
              <w:right w:val="nil"/>
            </w:tcBorders>
            <w:shd w:val="clear" w:color="auto" w:fill="auto"/>
            <w:noWrap/>
            <w:vAlign w:val="center"/>
            <w:hideMark/>
          </w:tcPr>
          <w:p w14:paraId="2ECAE716"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0.118</w:t>
            </w:r>
          </w:p>
        </w:tc>
        <w:tc>
          <w:tcPr>
            <w:tcW w:w="1156" w:type="dxa"/>
            <w:tcBorders>
              <w:top w:val="nil"/>
              <w:left w:val="nil"/>
              <w:right w:val="nil"/>
            </w:tcBorders>
            <w:shd w:val="clear" w:color="auto" w:fill="auto"/>
            <w:noWrap/>
            <w:vAlign w:val="center"/>
            <w:hideMark/>
          </w:tcPr>
          <w:p w14:paraId="39100C43"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10.072</w:t>
            </w:r>
          </w:p>
        </w:tc>
        <w:tc>
          <w:tcPr>
            <w:tcW w:w="1060" w:type="dxa"/>
            <w:tcBorders>
              <w:top w:val="nil"/>
              <w:left w:val="nil"/>
              <w:right w:val="nil"/>
            </w:tcBorders>
            <w:shd w:val="clear" w:color="auto" w:fill="auto"/>
            <w:noWrap/>
            <w:vAlign w:val="center"/>
            <w:hideMark/>
          </w:tcPr>
          <w:p w14:paraId="37B334F1"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0.147</w:t>
            </w:r>
          </w:p>
        </w:tc>
        <w:tc>
          <w:tcPr>
            <w:tcW w:w="1597" w:type="dxa"/>
            <w:tcBorders>
              <w:top w:val="nil"/>
              <w:left w:val="nil"/>
              <w:right w:val="nil"/>
            </w:tcBorders>
            <w:shd w:val="clear" w:color="auto" w:fill="auto"/>
            <w:noWrap/>
            <w:vAlign w:val="center"/>
            <w:hideMark/>
          </w:tcPr>
          <w:p w14:paraId="7102C9C7"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14.373</w:t>
            </w:r>
          </w:p>
        </w:tc>
        <w:tc>
          <w:tcPr>
            <w:tcW w:w="1617" w:type="dxa"/>
            <w:tcBorders>
              <w:top w:val="nil"/>
              <w:left w:val="nil"/>
              <w:right w:val="nil"/>
            </w:tcBorders>
            <w:shd w:val="clear" w:color="auto" w:fill="auto"/>
            <w:noWrap/>
            <w:vAlign w:val="center"/>
            <w:hideMark/>
          </w:tcPr>
          <w:p w14:paraId="1303DB65"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sz w:val="20"/>
                <w:szCs w:val="20"/>
                <w:lang w:val="en-US"/>
              </w:rPr>
              <w:t>0.134</w:t>
            </w:r>
          </w:p>
        </w:tc>
      </w:tr>
      <w:tr w:rsidR="002D5C02" w:rsidRPr="0084570B" w14:paraId="25761BB9" w14:textId="77777777" w:rsidTr="00332966">
        <w:trPr>
          <w:trHeight w:val="280"/>
          <w:jc w:val="center"/>
        </w:trPr>
        <w:tc>
          <w:tcPr>
            <w:tcW w:w="1107" w:type="dxa"/>
            <w:tcBorders>
              <w:left w:val="nil"/>
              <w:right w:val="nil"/>
            </w:tcBorders>
            <w:vAlign w:val="center"/>
          </w:tcPr>
          <w:p w14:paraId="4302E4C6"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610F5D83" w14:textId="77777777" w:rsidR="002D5C02" w:rsidRPr="0084570B" w:rsidRDefault="002D5C02" w:rsidP="00332966">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0"/>
                <w:szCs w:val="22"/>
                <w:lang w:val="en-US"/>
              </w:rPr>
              <w:t>Eifel</w:t>
            </w:r>
          </w:p>
        </w:tc>
        <w:tc>
          <w:tcPr>
            <w:tcW w:w="1156" w:type="dxa"/>
            <w:tcBorders>
              <w:top w:val="nil"/>
              <w:left w:val="nil"/>
              <w:right w:val="nil"/>
            </w:tcBorders>
            <w:shd w:val="clear" w:color="auto" w:fill="auto"/>
            <w:noWrap/>
            <w:vAlign w:val="bottom"/>
          </w:tcPr>
          <w:p w14:paraId="258365C6"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13.77791</w:t>
            </w:r>
          </w:p>
        </w:tc>
        <w:tc>
          <w:tcPr>
            <w:tcW w:w="1060" w:type="dxa"/>
            <w:tcBorders>
              <w:top w:val="nil"/>
              <w:left w:val="nil"/>
              <w:right w:val="nil"/>
            </w:tcBorders>
            <w:shd w:val="clear" w:color="auto" w:fill="auto"/>
            <w:noWrap/>
            <w:vAlign w:val="bottom"/>
          </w:tcPr>
          <w:p w14:paraId="3CE42815"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0.514</w:t>
            </w:r>
          </w:p>
        </w:tc>
        <w:tc>
          <w:tcPr>
            <w:tcW w:w="1156" w:type="dxa"/>
            <w:tcBorders>
              <w:top w:val="nil"/>
              <w:left w:val="nil"/>
              <w:right w:val="nil"/>
            </w:tcBorders>
            <w:shd w:val="clear" w:color="auto" w:fill="auto"/>
            <w:noWrap/>
            <w:vAlign w:val="bottom"/>
          </w:tcPr>
          <w:p w14:paraId="17E28E97"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49.76684</w:t>
            </w:r>
          </w:p>
        </w:tc>
        <w:tc>
          <w:tcPr>
            <w:tcW w:w="1060" w:type="dxa"/>
            <w:tcBorders>
              <w:top w:val="nil"/>
              <w:left w:val="nil"/>
              <w:right w:val="nil"/>
            </w:tcBorders>
            <w:shd w:val="clear" w:color="auto" w:fill="auto"/>
            <w:noWrap/>
            <w:vAlign w:val="bottom"/>
          </w:tcPr>
          <w:p w14:paraId="6984EBFA"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0.594</w:t>
            </w:r>
          </w:p>
        </w:tc>
        <w:tc>
          <w:tcPr>
            <w:tcW w:w="1597" w:type="dxa"/>
            <w:tcBorders>
              <w:top w:val="nil"/>
              <w:left w:val="nil"/>
              <w:right w:val="nil"/>
            </w:tcBorders>
            <w:shd w:val="clear" w:color="auto" w:fill="auto"/>
            <w:noWrap/>
            <w:vAlign w:val="bottom"/>
          </w:tcPr>
          <w:p w14:paraId="2B5DCDB5"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70.24757</w:t>
            </w:r>
          </w:p>
        </w:tc>
        <w:tc>
          <w:tcPr>
            <w:tcW w:w="1617" w:type="dxa"/>
            <w:tcBorders>
              <w:top w:val="nil"/>
              <w:left w:val="nil"/>
              <w:right w:val="nil"/>
            </w:tcBorders>
            <w:shd w:val="clear" w:color="auto" w:fill="auto"/>
            <w:noWrap/>
            <w:vAlign w:val="bottom"/>
          </w:tcPr>
          <w:p w14:paraId="48A96435" w14:textId="77777777" w:rsidR="002D5C02" w:rsidRPr="0084570B" w:rsidRDefault="002D5C02" w:rsidP="00332966">
            <w:pPr>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color w:val="000000"/>
                <w:sz w:val="20"/>
                <w:szCs w:val="20"/>
                <w:lang w:val="en-US"/>
              </w:rPr>
              <w:t>0.608</w:t>
            </w:r>
          </w:p>
        </w:tc>
      </w:tr>
      <w:tr w:rsidR="002D5C02" w:rsidRPr="0084570B" w14:paraId="4DA9B1DF" w14:textId="77777777" w:rsidTr="00332966">
        <w:trPr>
          <w:trHeight w:val="280"/>
          <w:jc w:val="center"/>
        </w:trPr>
        <w:tc>
          <w:tcPr>
            <w:tcW w:w="1107" w:type="dxa"/>
            <w:tcBorders>
              <w:left w:val="nil"/>
              <w:right w:val="nil"/>
            </w:tcBorders>
            <w:vAlign w:val="center"/>
          </w:tcPr>
          <w:p w14:paraId="3F125336"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21" w:type="dxa"/>
            <w:tcBorders>
              <w:left w:val="nil"/>
              <w:right w:val="nil"/>
            </w:tcBorders>
            <w:vAlign w:val="center"/>
          </w:tcPr>
          <w:p w14:paraId="3D0F11A3"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left w:val="nil"/>
              <w:bottom w:val="single" w:sz="4" w:space="0" w:color="auto"/>
              <w:right w:val="nil"/>
            </w:tcBorders>
            <w:shd w:val="clear" w:color="auto" w:fill="auto"/>
            <w:noWrap/>
            <w:vAlign w:val="center"/>
          </w:tcPr>
          <w:p w14:paraId="06247DF3"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060" w:type="dxa"/>
            <w:tcBorders>
              <w:left w:val="nil"/>
              <w:bottom w:val="single" w:sz="4" w:space="0" w:color="auto"/>
              <w:right w:val="nil"/>
            </w:tcBorders>
            <w:shd w:val="clear" w:color="auto" w:fill="auto"/>
            <w:noWrap/>
            <w:vAlign w:val="center"/>
          </w:tcPr>
          <w:p w14:paraId="41007DB0"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156" w:type="dxa"/>
            <w:tcBorders>
              <w:left w:val="nil"/>
              <w:bottom w:val="single" w:sz="4" w:space="0" w:color="auto"/>
              <w:right w:val="nil"/>
            </w:tcBorders>
            <w:shd w:val="clear" w:color="auto" w:fill="auto"/>
            <w:noWrap/>
            <w:vAlign w:val="center"/>
          </w:tcPr>
          <w:p w14:paraId="4AE29B6F"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060" w:type="dxa"/>
            <w:tcBorders>
              <w:left w:val="nil"/>
              <w:bottom w:val="single" w:sz="4" w:space="0" w:color="auto"/>
              <w:right w:val="nil"/>
            </w:tcBorders>
            <w:shd w:val="clear" w:color="auto" w:fill="auto"/>
            <w:noWrap/>
            <w:vAlign w:val="center"/>
          </w:tcPr>
          <w:p w14:paraId="7271CAA3"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597" w:type="dxa"/>
            <w:tcBorders>
              <w:left w:val="nil"/>
              <w:bottom w:val="single" w:sz="4" w:space="0" w:color="auto"/>
              <w:right w:val="nil"/>
            </w:tcBorders>
            <w:shd w:val="clear" w:color="auto" w:fill="auto"/>
            <w:noWrap/>
            <w:vAlign w:val="center"/>
          </w:tcPr>
          <w:p w14:paraId="1277BCD7" w14:textId="77777777" w:rsidR="002D5C02" w:rsidRPr="0084570B" w:rsidRDefault="002D5C02" w:rsidP="00332966">
            <w:pPr>
              <w:jc w:val="center"/>
              <w:rPr>
                <w:rFonts w:ascii="Times New Roman" w:eastAsia="Times New Roman" w:hAnsi="Times New Roman" w:cs="Times New Roman"/>
                <w:sz w:val="20"/>
                <w:szCs w:val="22"/>
                <w:lang w:val="en-US"/>
              </w:rPr>
            </w:pPr>
          </w:p>
        </w:tc>
        <w:tc>
          <w:tcPr>
            <w:tcW w:w="1617" w:type="dxa"/>
            <w:tcBorders>
              <w:left w:val="nil"/>
              <w:bottom w:val="single" w:sz="4" w:space="0" w:color="auto"/>
              <w:right w:val="nil"/>
            </w:tcBorders>
            <w:shd w:val="clear" w:color="auto" w:fill="auto"/>
            <w:noWrap/>
            <w:vAlign w:val="center"/>
          </w:tcPr>
          <w:p w14:paraId="16942DB2" w14:textId="77777777" w:rsidR="002D5C02" w:rsidRPr="0084570B" w:rsidRDefault="002D5C02" w:rsidP="00332966">
            <w:pPr>
              <w:jc w:val="center"/>
              <w:rPr>
                <w:rFonts w:ascii="Times New Roman" w:eastAsia="Times New Roman" w:hAnsi="Times New Roman" w:cs="Times New Roman"/>
                <w:sz w:val="20"/>
                <w:szCs w:val="22"/>
                <w:lang w:val="en-US"/>
              </w:rPr>
            </w:pPr>
          </w:p>
        </w:tc>
      </w:tr>
    </w:tbl>
    <w:p w14:paraId="0219984C" w14:textId="77777777" w:rsidR="002D5C02" w:rsidRPr="0084570B" w:rsidRDefault="002D5C02" w:rsidP="002D5C02">
      <w:pPr>
        <w:pStyle w:val="Normal1"/>
        <w:spacing w:line="360" w:lineRule="auto"/>
        <w:jc w:val="both"/>
        <w:rPr>
          <w:rFonts w:ascii="Times New Roman" w:hAnsi="Times New Roman" w:cs="Times New Roman"/>
          <w:b/>
          <w:lang w:val="en-US"/>
        </w:rPr>
      </w:pPr>
    </w:p>
    <w:p w14:paraId="06263051" w14:textId="18E37924" w:rsidR="00FA2ECF" w:rsidRPr="0084570B" w:rsidRDefault="002D5C02" w:rsidP="002D5C02">
      <w:pPr>
        <w:pStyle w:val="Normal1"/>
        <w:spacing w:line="276" w:lineRule="auto"/>
        <w:jc w:val="both"/>
        <w:rPr>
          <w:rFonts w:ascii="Times New Roman" w:hAnsi="Times New Roman" w:cs="Times New Roman"/>
          <w:b/>
          <w:sz w:val="22"/>
          <w:lang w:val="en-US"/>
        </w:rPr>
      </w:pPr>
      <w:r w:rsidRPr="0084570B">
        <w:rPr>
          <w:rFonts w:ascii="Times New Roman" w:hAnsi="Times New Roman" w:cs="Times New Roman"/>
          <w:b/>
          <w:sz w:val="22"/>
          <w:lang w:val="en-US"/>
        </w:rPr>
        <w:t>Table S1: Mt. Etna and Eifel volcanic noble gas isotope data, measured by dynamic mass spectrometry, reported in delta notation relative to air</w:t>
      </w:r>
      <w:r w:rsidRPr="0084570B">
        <w:rPr>
          <w:rFonts w:ascii="Times New Roman" w:hAnsi="Times New Roman" w:cs="Times New Roman"/>
          <w:sz w:val="22"/>
          <w:lang w:val="en-US"/>
        </w:rPr>
        <w:fldChar w:fldCharType="begin" w:fldLock="1"/>
      </w:r>
      <w:r w:rsidR="00937986" w:rsidRPr="0084570B">
        <w:rPr>
          <w:rFonts w:ascii="Times New Roman" w:hAnsi="Times New Roman" w:cs="Times New Roman"/>
          <w:sz w:val="22"/>
          <w:lang w:val="en-US"/>
        </w:rPr>
        <w:instrText>ADDIN CSL_CITATION {"citationItems":[{"id":"ITEM-1","itemData":{"author":[{"dropping-particle":"","family":"Porcelli","given":"D","non-dropping-particle":"","parse-names":false,"suffix":""},{"dropping-particle":"","family":"Ballentine","given":"C J","non-dropping-particle":"","parse-names":false,"suffix":""},{"dropping-particle":"","family":"Wieler","given":"Rainer","non-dropping-particle":"","parse-names":false,"suffix":""}],"container-title":"Reviews in Mineralogy","id":"ITEM-1","issued":{"date-parts":[["2002"]]},"page":"1-17","title":"An overview of noble gas geochemistry and cosmochemistry, D. Porcelli, C.J. Ballentine, R. Wieler (Eds.), Noble gases in geochemistry and cosmochemistry","type":"article-journal","volume":"47"},"uris":["http://www.mendeley.com/documents/?uuid=a72fe38c-43fc-4309-900e-b9e834fa2d9e"]}],"mendeley":{"formattedCitation":"&lt;sup&gt;104&lt;/sup&gt;","plainTextFormattedCitation":"104","previouslyFormattedCitation":"&lt;sup&gt;104&lt;/sup&gt;"},"properties":{"noteIndex":0},"schema":"https://github.com/citation-style-language/schema/raw/master/csl-citation.json"}</w:instrText>
      </w:r>
      <w:r w:rsidRPr="0084570B">
        <w:rPr>
          <w:rFonts w:ascii="Times New Roman" w:hAnsi="Times New Roman" w:cs="Times New Roman"/>
          <w:sz w:val="22"/>
          <w:lang w:val="en-US"/>
        </w:rPr>
        <w:fldChar w:fldCharType="separate"/>
      </w:r>
      <w:r w:rsidR="00A40A71" w:rsidRPr="0084570B">
        <w:rPr>
          <w:rFonts w:ascii="Times New Roman" w:hAnsi="Times New Roman" w:cs="Times New Roman"/>
          <w:noProof/>
          <w:sz w:val="22"/>
          <w:vertAlign w:val="superscript"/>
          <w:lang w:val="en-US"/>
        </w:rPr>
        <w:t>104</w:t>
      </w:r>
      <w:r w:rsidRPr="0084570B">
        <w:rPr>
          <w:rFonts w:ascii="Times New Roman" w:hAnsi="Times New Roman" w:cs="Times New Roman"/>
          <w:sz w:val="22"/>
          <w:lang w:val="en-US"/>
        </w:rPr>
        <w:fldChar w:fldCharType="end"/>
      </w:r>
      <w:r w:rsidRPr="0084570B">
        <w:rPr>
          <w:rFonts w:ascii="Times New Roman" w:hAnsi="Times New Roman" w:cs="Times New Roman"/>
          <w:b/>
          <w:sz w:val="22"/>
          <w:lang w:val="en-US"/>
        </w:rPr>
        <w:t>.</w:t>
      </w:r>
    </w:p>
    <w:p w14:paraId="1BECFDE7" w14:textId="02184E8C" w:rsidR="008120DE" w:rsidRPr="0084570B" w:rsidRDefault="002D5C02" w:rsidP="002D5C02">
      <w:pPr>
        <w:pStyle w:val="Normal1"/>
        <w:spacing w:line="276" w:lineRule="auto"/>
        <w:jc w:val="both"/>
        <w:rPr>
          <w:rFonts w:ascii="Times New Roman" w:hAnsi="Times New Roman" w:cs="Times New Roman"/>
          <w:i/>
          <w:sz w:val="22"/>
          <w:lang w:val="en-US"/>
        </w:rPr>
        <w:sectPr w:rsidR="008120DE" w:rsidRPr="0084570B" w:rsidSect="00360EB0">
          <w:footerReference w:type="even" r:id="rId8"/>
          <w:footerReference w:type="default" r:id="rId9"/>
          <w:pgSz w:w="11900" w:h="16840"/>
          <w:pgMar w:top="1417" w:right="1417" w:bottom="1417" w:left="1417" w:header="708" w:footer="708" w:gutter="0"/>
          <w:lnNumType w:countBy="1" w:restart="newSection"/>
          <w:pgNumType w:start="1"/>
          <w:cols w:space="720"/>
        </w:sectPr>
      </w:pPr>
      <w:r w:rsidRPr="0084570B">
        <w:rPr>
          <w:rFonts w:ascii="Times New Roman" w:hAnsi="Times New Roman" w:cs="Times New Roman"/>
          <w:i/>
          <w:lang w:val="en-US"/>
        </w:rPr>
        <w:br w:type="page"/>
      </w:r>
    </w:p>
    <w:p w14:paraId="0F1BD6FF" w14:textId="525FCAA6" w:rsidR="003376B3" w:rsidRPr="0084570B" w:rsidRDefault="003376B3" w:rsidP="002D5C02">
      <w:pPr>
        <w:pStyle w:val="Normal1"/>
        <w:spacing w:line="276" w:lineRule="auto"/>
        <w:jc w:val="both"/>
        <w:rPr>
          <w:rFonts w:ascii="Times New Roman" w:eastAsia="Times New Roman" w:hAnsi="Times New Roman" w:cs="Times New Roman"/>
          <w:b/>
          <w:sz w:val="28"/>
          <w:szCs w:val="28"/>
          <w:lang w:val="en-US"/>
        </w:rPr>
      </w:pPr>
      <w:r>
        <w:rPr>
          <w:rFonts w:ascii="Times New Roman" w:eastAsia="Times New Roman" w:hAnsi="Times New Roman" w:cs="Times New Roman"/>
          <w:b/>
          <w:noProof/>
          <w:sz w:val="28"/>
          <w:szCs w:val="28"/>
          <w:lang w:val="fr-FR"/>
        </w:rPr>
        <w:lastRenderedPageBreak/>
        <w:drawing>
          <wp:inline distT="0" distB="0" distL="0" distR="0" wp14:anchorId="4AA75F54" wp14:editId="59BED3F5">
            <wp:extent cx="8887460" cy="4999355"/>
            <wp:effectExtent l="0" t="0" r="2540" b="4445"/>
            <wp:docPr id="19" name="Image 19" descr="Bekaert:Users:dbekaert:Desktop:Nature submission:Figure S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kaert:Users:dbekaert:Desktop:Nature submission:Figure S1.pd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87460" cy="4999355"/>
                    </a:xfrm>
                    <a:prstGeom prst="rect">
                      <a:avLst/>
                    </a:prstGeom>
                    <a:noFill/>
                    <a:ln>
                      <a:noFill/>
                    </a:ln>
                  </pic:spPr>
                </pic:pic>
              </a:graphicData>
            </a:graphic>
          </wp:inline>
        </w:drawing>
      </w:r>
    </w:p>
    <w:p w14:paraId="3261AF54" w14:textId="77777777" w:rsidR="00987E42" w:rsidRPr="0084570B" w:rsidRDefault="002D5C02" w:rsidP="00987E42">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w:t>
      </w:r>
      <w:r w:rsidRPr="0084570B">
        <w:rPr>
          <w:rFonts w:ascii="Times New Roman" w:eastAsia="Times New Roman" w:hAnsi="Times New Roman" w:cs="Times New Roman"/>
          <w:sz w:val="22"/>
          <w:szCs w:val="22"/>
          <w:lang w:val="en-US"/>
        </w:rPr>
        <w:t xml:space="preserve">. Compilation of </w:t>
      </w:r>
      <w:r w:rsidRPr="0084570B">
        <w:rPr>
          <w:rStyle w:val="Emphasis"/>
          <w:rFonts w:ascii="Times New Roman" w:eastAsia="Times New Roman" w:hAnsi="Times New Roman" w:cs="Times New Roman"/>
          <w:i w:val="0"/>
          <w:sz w:val="22"/>
          <w:szCs w:val="22"/>
          <w:lang w:val="en-US"/>
        </w:rPr>
        <w:t>δ</w:t>
      </w:r>
      <w:r w:rsidRPr="0084570B">
        <w:rPr>
          <w:rFonts w:ascii="Times New Roman" w:eastAsia="Times New Roman" w:hAnsi="Times New Roman" w:cs="Times New Roman"/>
          <w:sz w:val="22"/>
          <w:szCs w:val="22"/>
          <w:vertAlign w:val="superscript"/>
          <w:lang w:val="en-US"/>
        </w:rPr>
        <w:t>134</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air</w:t>
      </w:r>
      <w:r w:rsidRPr="0084570B">
        <w:rPr>
          <w:rFonts w:ascii="Times New Roman" w:eastAsia="Times New Roman" w:hAnsi="Times New Roman" w:cs="Times New Roman"/>
          <w:sz w:val="22"/>
          <w:szCs w:val="22"/>
          <w:lang w:val="en-US"/>
        </w:rPr>
        <w:t xml:space="preserve"> vs. </w:t>
      </w:r>
      <w:r w:rsidRPr="0084570B">
        <w:rPr>
          <w:rStyle w:val="Emphasis"/>
          <w:rFonts w:ascii="Times New Roman" w:eastAsia="Times New Roman" w:hAnsi="Times New Roman" w:cs="Times New Roman"/>
          <w:i w:val="0"/>
          <w:sz w:val="22"/>
          <w:szCs w:val="22"/>
          <w:lang w:val="en-US"/>
        </w:rPr>
        <w:t>δ</w:t>
      </w:r>
      <w:r w:rsidRPr="0084570B">
        <w:rPr>
          <w:rFonts w:ascii="Times New Roman" w:eastAsia="Times New Roman" w:hAnsi="Times New Roman" w:cs="Times New Roman"/>
          <w:sz w:val="22"/>
          <w:szCs w:val="22"/>
          <w:vertAlign w:val="superscript"/>
          <w:lang w:val="en-US"/>
        </w:rPr>
        <w:t>132</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air</w:t>
      </w:r>
      <w:r w:rsidRPr="0084570B">
        <w:rPr>
          <w:rFonts w:ascii="Times New Roman" w:eastAsia="Times New Roman" w:hAnsi="Times New Roman" w:cs="Times New Roman"/>
          <w:sz w:val="22"/>
          <w:szCs w:val="22"/>
          <w:lang w:val="en-US"/>
        </w:rPr>
        <w:t xml:space="preserve"> systematics for previously published (static mass spectrometry) mantle noble gas data and Mt. Etna (dynamic mass spectrometry, this study) data. Also shown is a comparison with the isotopic trends for </w:t>
      </w:r>
      <w:r w:rsidRPr="0084570B">
        <w:rPr>
          <w:rFonts w:ascii="Times New Roman" w:eastAsia="Times New Roman" w:hAnsi="Times New Roman" w:cs="Times New Roman"/>
          <w:sz w:val="22"/>
          <w:szCs w:val="22"/>
          <w:vertAlign w:val="superscript"/>
          <w:lang w:val="en-US"/>
        </w:rPr>
        <w:t>238</w:t>
      </w:r>
      <w:r w:rsidRPr="0084570B">
        <w:rPr>
          <w:rFonts w:ascii="Times New Roman" w:eastAsia="Times New Roman" w:hAnsi="Times New Roman" w:cs="Times New Roman"/>
          <w:sz w:val="22"/>
          <w:szCs w:val="22"/>
          <w:lang w:val="en-US"/>
        </w:rPr>
        <w:t xml:space="preserve">U and </w:t>
      </w:r>
      <w:r w:rsidRPr="0084570B">
        <w:rPr>
          <w:rFonts w:ascii="Times New Roman" w:eastAsia="Times New Roman" w:hAnsi="Times New Roman" w:cs="Times New Roman"/>
          <w:sz w:val="22"/>
          <w:szCs w:val="22"/>
          <w:vertAlign w:val="superscript"/>
          <w:lang w:val="en-US"/>
        </w:rPr>
        <w:t>244</w:t>
      </w:r>
      <w:r w:rsidRPr="0084570B">
        <w:rPr>
          <w:rFonts w:ascii="Times New Roman" w:eastAsia="Times New Roman" w:hAnsi="Times New Roman" w:cs="Times New Roman"/>
          <w:sz w:val="22"/>
          <w:szCs w:val="22"/>
          <w:lang w:val="en-US"/>
        </w:rPr>
        <w:t>Pu fission, which highlights the vast improvement in precision and accuracy compared to traditional static techniques</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6</w:t>
      </w:r>
      <w:r w:rsidRPr="0084570B">
        <w:rPr>
          <w:rFonts w:ascii="Times New Roman" w:eastAsia="Times New Roman" w:hAnsi="Times New Roman" w:cs="Times New Roman"/>
          <w:sz w:val="22"/>
          <w:szCs w:val="22"/>
          <w:lang w:val="en-US"/>
        </w:rPr>
        <w:fldChar w:fldCharType="end"/>
      </w:r>
      <w:r w:rsidR="00987E42">
        <w:rPr>
          <w:rFonts w:ascii="Times New Roman" w:eastAsia="Times New Roman" w:hAnsi="Times New Roman" w:cs="Times New Roman"/>
          <w:sz w:val="22"/>
          <w:szCs w:val="22"/>
          <w:lang w:val="en-US"/>
        </w:rPr>
        <w:t xml:space="preserve">. </w:t>
      </w:r>
      <w:r w:rsidR="00987E42" w:rsidRPr="0084570B">
        <w:rPr>
          <w:rFonts w:ascii="Times New Roman" w:eastAsia="Times New Roman" w:hAnsi="Times New Roman" w:cs="Times New Roman"/>
          <w:color w:val="222222"/>
          <w:sz w:val="22"/>
          <w:szCs w:val="22"/>
          <w:lang w:val="en-US"/>
        </w:rPr>
        <w:t>U</w:t>
      </w:r>
      <w:r w:rsidR="00987E42">
        <w:rPr>
          <w:rFonts w:ascii="Times New Roman" w:eastAsia="Times New Roman" w:hAnsi="Times New Roman" w:cs="Times New Roman"/>
          <w:sz w:val="22"/>
          <w:szCs w:val="22"/>
          <w:lang w:val="en-US"/>
        </w:rPr>
        <w:t>ncertainties are</w:t>
      </w:r>
      <w:r w:rsidR="00987E42" w:rsidRPr="0084570B">
        <w:rPr>
          <w:rFonts w:ascii="Times New Roman" w:eastAsia="Times New Roman" w:hAnsi="Times New Roman" w:cs="Times New Roman"/>
          <w:sz w:val="22"/>
          <w:szCs w:val="22"/>
          <w:lang w:val="en-US"/>
        </w:rPr>
        <w:t xml:space="preserve"> 1σ.</w:t>
      </w:r>
    </w:p>
    <w:p w14:paraId="54E601EC" w14:textId="68900AEC" w:rsidR="002D5C02" w:rsidRPr="0084570B" w:rsidRDefault="002D5C02" w:rsidP="002D5C02">
      <w:pPr>
        <w:pStyle w:val="Normal1"/>
        <w:spacing w:line="276" w:lineRule="auto"/>
        <w:jc w:val="both"/>
        <w:rPr>
          <w:rFonts w:ascii="Times New Roman" w:eastAsia="Times New Roman" w:hAnsi="Times New Roman" w:cs="Times New Roman"/>
          <w:sz w:val="22"/>
          <w:szCs w:val="22"/>
          <w:lang w:val="en-US"/>
        </w:rPr>
      </w:pPr>
      <w:r w:rsidRPr="0084570B">
        <w:rPr>
          <w:rFonts w:ascii="Times New Roman" w:hAnsi="Times New Roman" w:cs="Times New Roman"/>
          <w:lang w:val="en-US"/>
        </w:rPr>
        <w:br w:type="page"/>
      </w:r>
    </w:p>
    <w:p w14:paraId="16E4916E" w14:textId="7442EEA2" w:rsidR="002D5C02" w:rsidRPr="0084570B" w:rsidRDefault="00D64E23" w:rsidP="002D5C02">
      <w:pPr>
        <w:pStyle w:val="Normal1"/>
        <w:spacing w:line="360"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noProof/>
          <w:sz w:val="28"/>
          <w:szCs w:val="28"/>
          <w:lang w:val="fr-FR"/>
        </w:rPr>
        <w:lastRenderedPageBreak/>
        <w:drawing>
          <wp:inline distT="0" distB="0" distL="0" distR="0" wp14:anchorId="15ADDA6C" wp14:editId="071522B8">
            <wp:extent cx="8451791" cy="4542928"/>
            <wp:effectExtent l="0" t="0" r="6985" b="3810"/>
            <wp:docPr id="15" name="Image 15" descr="Bekaert:Users:dbekaert:Desktop:Nature submission:Figure S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kaert:Users:dbekaert:Desktop:Nature submission:Figure S2.pd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451791" cy="4542928"/>
                    </a:xfrm>
                    <a:prstGeom prst="rect">
                      <a:avLst/>
                    </a:prstGeom>
                    <a:noFill/>
                    <a:ln>
                      <a:noFill/>
                    </a:ln>
                  </pic:spPr>
                </pic:pic>
              </a:graphicData>
            </a:graphic>
          </wp:inline>
        </w:drawing>
      </w:r>
    </w:p>
    <w:p w14:paraId="14CBBDF5" w14:textId="41261617" w:rsidR="00987E42" w:rsidRPr="0084570B" w:rsidRDefault="002D5C02" w:rsidP="00987E42">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S2</w:t>
      </w:r>
      <w:r w:rsidRPr="0084570B">
        <w:rPr>
          <w:rFonts w:ascii="Times New Roman" w:eastAsia="Times New Roman" w:hAnsi="Times New Roman" w:cs="Times New Roman"/>
          <w:sz w:val="22"/>
          <w:szCs w:val="22"/>
          <w:lang w:val="en-US"/>
        </w:rPr>
        <w:t xml:space="preserve">. Compilation of </w:t>
      </w:r>
      <w:r w:rsidRPr="0084570B">
        <w:rPr>
          <w:rStyle w:val="Emphasis"/>
          <w:rFonts w:ascii="Times New Roman" w:eastAsia="Times New Roman" w:hAnsi="Times New Roman" w:cs="Times New Roman"/>
          <w:i w:val="0"/>
          <w:sz w:val="22"/>
          <w:szCs w:val="22"/>
          <w:lang w:val="en-US"/>
        </w:rPr>
        <w:t>δ</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air</w:t>
      </w:r>
      <w:r w:rsidRPr="0084570B">
        <w:rPr>
          <w:rFonts w:ascii="Times New Roman" w:eastAsia="Times New Roman" w:hAnsi="Times New Roman" w:cs="Times New Roman"/>
          <w:sz w:val="22"/>
          <w:szCs w:val="22"/>
          <w:lang w:val="en-US"/>
        </w:rPr>
        <w:t xml:space="preserve"> vs. </w:t>
      </w:r>
      <w:r w:rsidRPr="0084570B">
        <w:rPr>
          <w:rStyle w:val="Emphasis"/>
          <w:rFonts w:ascii="Times New Roman" w:eastAsia="Times New Roman" w:hAnsi="Times New Roman" w:cs="Times New Roman"/>
          <w:i w:val="0"/>
          <w:sz w:val="22"/>
          <w:szCs w:val="22"/>
          <w:lang w:val="en-US"/>
        </w:rPr>
        <w:t>δ</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air</w:t>
      </w:r>
      <w:r w:rsidRPr="0084570B">
        <w:rPr>
          <w:rFonts w:ascii="Times New Roman" w:eastAsia="Times New Roman" w:hAnsi="Times New Roman" w:cs="Times New Roman"/>
          <w:sz w:val="22"/>
          <w:szCs w:val="22"/>
          <w:lang w:val="en-US"/>
        </w:rPr>
        <w:t xml:space="preserve"> systematics for previously published mantle noble gas (static mass spectrometry) data and Mt. Etna (dynamic mass spectrometry, this study) data. This classical plot has been used to argue that small Xe isotopic differences between OIB and MORB mantle sources cannot be related solely through recycling atmospheric Xe or by adding fissiogenic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 to MORB Xe. However, the recent finding that popping rock and Iceland plume data overlap in this isotopic space</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casts doubt on the interpretation that these small differences truly reflect primordial heterogeneities, and calls for a critical improvement in our analytical accuracy – as now enabled by DMS measurements.</w:t>
      </w:r>
      <w:r w:rsidR="00987E42">
        <w:rPr>
          <w:rFonts w:ascii="Times New Roman" w:eastAsia="Times New Roman" w:hAnsi="Times New Roman" w:cs="Times New Roman"/>
          <w:sz w:val="22"/>
          <w:szCs w:val="22"/>
          <w:lang w:val="en-US"/>
        </w:rPr>
        <w:t xml:space="preserve"> </w:t>
      </w:r>
      <w:r w:rsidR="00987E42" w:rsidRPr="0084570B">
        <w:rPr>
          <w:rFonts w:ascii="Times New Roman" w:eastAsia="Times New Roman" w:hAnsi="Times New Roman" w:cs="Times New Roman"/>
          <w:color w:val="222222"/>
          <w:sz w:val="22"/>
          <w:szCs w:val="22"/>
          <w:lang w:val="en-US"/>
        </w:rPr>
        <w:t>U</w:t>
      </w:r>
      <w:r w:rsidR="00987E42">
        <w:rPr>
          <w:rFonts w:ascii="Times New Roman" w:eastAsia="Times New Roman" w:hAnsi="Times New Roman" w:cs="Times New Roman"/>
          <w:sz w:val="22"/>
          <w:szCs w:val="22"/>
          <w:lang w:val="en-US"/>
        </w:rPr>
        <w:t>ncertainties are</w:t>
      </w:r>
      <w:r w:rsidR="00987E42" w:rsidRPr="0084570B">
        <w:rPr>
          <w:rFonts w:ascii="Times New Roman" w:eastAsia="Times New Roman" w:hAnsi="Times New Roman" w:cs="Times New Roman"/>
          <w:sz w:val="22"/>
          <w:szCs w:val="22"/>
          <w:lang w:val="en-US"/>
        </w:rPr>
        <w:t xml:space="preserve"> 1σ.</w:t>
      </w:r>
    </w:p>
    <w:p w14:paraId="193172F7" w14:textId="77777777" w:rsidR="002D5C02" w:rsidRPr="0084570B" w:rsidRDefault="002D5C02" w:rsidP="002D5C02">
      <w:pPr>
        <w:pStyle w:val="Normal1"/>
        <w:spacing w:line="276" w:lineRule="auto"/>
        <w:jc w:val="both"/>
        <w:rPr>
          <w:rFonts w:ascii="Times New Roman" w:eastAsia="Times New Roman" w:hAnsi="Times New Roman" w:cs="Times New Roman"/>
          <w:sz w:val="22"/>
          <w:szCs w:val="22"/>
          <w:lang w:val="en-US"/>
        </w:rPr>
        <w:sectPr w:rsidR="002D5C02" w:rsidRPr="0084570B" w:rsidSect="00360EB0">
          <w:pgSz w:w="16840" w:h="11900" w:orient="landscape"/>
          <w:pgMar w:top="1417" w:right="1417" w:bottom="1417" w:left="1417" w:header="708" w:footer="708" w:gutter="0"/>
          <w:lnNumType w:countBy="1" w:restart="continuous"/>
          <w:pgNumType w:start="24"/>
          <w:cols w:space="720"/>
          <w:titlePg/>
        </w:sectPr>
      </w:pPr>
    </w:p>
    <w:p w14:paraId="34A30D8A" w14:textId="16B98B61" w:rsidR="009B3A3F" w:rsidRPr="0084570B" w:rsidRDefault="00D971FA" w:rsidP="009B3A3F">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SI-</w:t>
      </w:r>
      <w:r w:rsidR="00265BDB" w:rsidRPr="0084570B">
        <w:rPr>
          <w:rFonts w:ascii="Times New Roman" w:eastAsia="Times New Roman" w:hAnsi="Times New Roman" w:cs="Times New Roman"/>
          <w:b/>
          <w:sz w:val="28"/>
          <w:szCs w:val="28"/>
          <w:lang w:val="en-US"/>
        </w:rPr>
        <w:t>2</w:t>
      </w:r>
      <w:r w:rsidR="00473D3D" w:rsidRPr="0084570B">
        <w:rPr>
          <w:rFonts w:ascii="Times New Roman" w:eastAsia="Times New Roman" w:hAnsi="Times New Roman" w:cs="Times New Roman"/>
          <w:b/>
          <w:sz w:val="28"/>
          <w:szCs w:val="28"/>
          <w:lang w:val="en-US"/>
        </w:rPr>
        <w:t>°</w:t>
      </w:r>
      <w:r w:rsidR="00601C4A" w:rsidRPr="0084570B">
        <w:rPr>
          <w:rFonts w:ascii="Times New Roman" w:eastAsia="Times New Roman" w:hAnsi="Times New Roman" w:cs="Times New Roman"/>
          <w:b/>
          <w:sz w:val="28"/>
          <w:szCs w:val="28"/>
          <w:lang w:val="en-US"/>
        </w:rPr>
        <w:t xml:space="preserve"> </w:t>
      </w:r>
      <w:r w:rsidR="009B3A3F"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688960" behindDoc="1" locked="0" layoutInCell="1" allowOverlap="1" wp14:anchorId="092BADFB" wp14:editId="6BBE2EC1">
                <wp:simplePos x="0" y="0"/>
                <wp:positionH relativeFrom="column">
                  <wp:posOffset>13970</wp:posOffset>
                </wp:positionH>
                <wp:positionV relativeFrom="paragraph">
                  <wp:posOffset>-32173</wp:posOffset>
                </wp:positionV>
                <wp:extent cx="5753735" cy="270510"/>
                <wp:effectExtent l="0" t="0" r="12065" b="8890"/>
                <wp:wrapNone/>
                <wp:docPr id="14" name="Rectangle 14"/>
                <wp:cNvGraphicFramePr/>
                <a:graphic xmlns:a="http://schemas.openxmlformats.org/drawingml/2006/main">
                  <a:graphicData uri="http://schemas.microsoft.com/office/word/2010/wordprocessingShape">
                    <wps:wsp>
                      <wps:cNvSpPr/>
                      <wps:spPr>
                        <a:xfrm>
                          <a:off x="0" y="0"/>
                          <a:ext cx="5753735"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A14BDD" id="Rectangle 14" o:spid="_x0000_s1026" style="position:absolute;margin-left:1.1pt;margin-top:-2.55pt;width:453.05pt;height:21.3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" fillcolor="#f2dbdb [661]" stroked="f"/>
            </w:pict>
          </mc:Fallback>
        </mc:AlternateContent>
      </w:r>
      <w:r w:rsidR="00BF0CCB" w:rsidRPr="00CF3E6A">
        <w:rPr>
          <w:rFonts w:ascii="Times New Roman" w:eastAsia="Times New Roman" w:hAnsi="Times New Roman" w:cs="Times New Roman"/>
          <w:b/>
          <w:noProof/>
          <w:sz w:val="28"/>
          <w:szCs w:val="28"/>
          <w:lang w:val="en-US"/>
        </w:rPr>
        <w:t>Identification</w:t>
      </w:r>
      <w:r w:rsidR="00BF0CCB" w:rsidRPr="0084570B">
        <w:rPr>
          <w:rFonts w:ascii="Times New Roman" w:eastAsia="Times New Roman" w:hAnsi="Times New Roman" w:cs="Times New Roman"/>
          <w:b/>
          <w:sz w:val="28"/>
          <w:szCs w:val="28"/>
          <w:lang w:val="en-US"/>
        </w:rPr>
        <w:t xml:space="preserve"> of </w:t>
      </w:r>
      <w:r w:rsidR="009B3A3F" w:rsidRPr="0084570B">
        <w:rPr>
          <w:rFonts w:ascii="Times New Roman" w:eastAsia="Times New Roman" w:hAnsi="Times New Roman" w:cs="Times New Roman"/>
          <w:b/>
          <w:sz w:val="28"/>
          <w:szCs w:val="28"/>
          <w:lang w:val="en-US"/>
        </w:rPr>
        <w:t xml:space="preserve">primordial </w:t>
      </w:r>
      <w:r w:rsidR="00BF0CCB" w:rsidRPr="0084570B">
        <w:rPr>
          <w:rFonts w:ascii="Times New Roman" w:eastAsia="Times New Roman" w:hAnsi="Times New Roman" w:cs="Times New Roman"/>
          <w:b/>
          <w:sz w:val="28"/>
          <w:szCs w:val="28"/>
          <w:lang w:val="en-US"/>
        </w:rPr>
        <w:t xml:space="preserve">Kr and </w:t>
      </w:r>
      <w:r w:rsidR="009B3A3F" w:rsidRPr="0084570B">
        <w:rPr>
          <w:rFonts w:ascii="Times New Roman" w:eastAsia="Times New Roman" w:hAnsi="Times New Roman" w:cs="Times New Roman"/>
          <w:b/>
          <w:sz w:val="28"/>
          <w:szCs w:val="28"/>
          <w:lang w:val="en-US"/>
        </w:rPr>
        <w:t>Xe component</w:t>
      </w:r>
      <w:r w:rsidR="00BF0CCB" w:rsidRPr="0084570B">
        <w:rPr>
          <w:rFonts w:ascii="Times New Roman" w:eastAsia="Times New Roman" w:hAnsi="Times New Roman" w:cs="Times New Roman"/>
          <w:b/>
          <w:sz w:val="28"/>
          <w:szCs w:val="28"/>
          <w:lang w:val="en-US"/>
        </w:rPr>
        <w:t>s</w:t>
      </w:r>
    </w:p>
    <w:p w14:paraId="6E4B34C2" w14:textId="77777777" w:rsidR="009B3A3F" w:rsidRPr="0084570B" w:rsidRDefault="009B3A3F" w:rsidP="00D310D8">
      <w:pPr>
        <w:pStyle w:val="Normal1"/>
        <w:spacing w:line="360" w:lineRule="auto"/>
        <w:jc w:val="both"/>
        <w:rPr>
          <w:rFonts w:ascii="Times New Roman" w:eastAsia="Times New Roman" w:hAnsi="Times New Roman" w:cs="Times New Roman"/>
          <w:sz w:val="22"/>
          <w:szCs w:val="22"/>
          <w:lang w:val="en-US"/>
        </w:rPr>
      </w:pPr>
    </w:p>
    <w:p w14:paraId="719824E9" w14:textId="76373649" w:rsidR="007F3CC8" w:rsidRPr="0084570B" w:rsidRDefault="00126BE9" w:rsidP="00126BE9">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color w:val="2E2E2E"/>
          <w:sz w:val="22"/>
          <w:szCs w:val="22"/>
          <w:lang w:val="en-US"/>
        </w:rPr>
        <w:tab/>
        <w:t>New dynamic mass spectrometry data reported in this study reveal</w:t>
      </w:r>
      <w:r w:rsidR="002531B5" w:rsidRPr="0084570B">
        <w:rPr>
          <w:rFonts w:ascii="Times New Roman" w:eastAsia="Times New Roman" w:hAnsi="Times New Roman" w:cs="Times New Roman"/>
          <w:color w:val="2E2E2E"/>
          <w:sz w:val="22"/>
          <w:szCs w:val="22"/>
          <w:lang w:val="en-US"/>
        </w:rPr>
        <w:t>ed</w:t>
      </w:r>
      <w:r w:rsidRPr="0084570B">
        <w:rPr>
          <w:rFonts w:ascii="Times New Roman" w:eastAsia="Times New Roman" w:hAnsi="Times New Roman" w:cs="Times New Roman"/>
          <w:color w:val="2E2E2E"/>
          <w:sz w:val="22"/>
          <w:szCs w:val="22"/>
          <w:lang w:val="en-US"/>
        </w:rPr>
        <w:t xml:space="preserve"> only </w:t>
      </w:r>
      <w:r w:rsidR="002531B5" w:rsidRPr="0084570B">
        <w:rPr>
          <w:rFonts w:ascii="Times New Roman" w:eastAsia="Times New Roman" w:hAnsi="Times New Roman" w:cs="Times New Roman"/>
          <w:color w:val="2E2E2E"/>
          <w:sz w:val="22"/>
          <w:szCs w:val="22"/>
          <w:lang w:val="en-US"/>
        </w:rPr>
        <w:t xml:space="preserve">a </w:t>
      </w:r>
      <w:r w:rsidRPr="0084570B">
        <w:rPr>
          <w:rFonts w:ascii="Times New Roman" w:eastAsia="Times New Roman" w:hAnsi="Times New Roman" w:cs="Times New Roman"/>
          <w:color w:val="2E2E2E"/>
          <w:sz w:val="22"/>
          <w:szCs w:val="22"/>
          <w:lang w:val="en-US"/>
        </w:rPr>
        <w:t xml:space="preserve">minor contribution from a primordial component in the Eifel and Mt. Etna mantle source, which contrasts with the </w:t>
      </w:r>
      <w:r w:rsidR="000056E9" w:rsidRPr="0084570B">
        <w:rPr>
          <w:rFonts w:ascii="Times New Roman" w:eastAsia="Times New Roman" w:hAnsi="Times New Roman" w:cs="Times New Roman"/>
          <w:color w:val="2E2E2E"/>
          <w:sz w:val="22"/>
          <w:szCs w:val="22"/>
          <w:lang w:val="en-US"/>
        </w:rPr>
        <w:t xml:space="preserve">previous detection of </w:t>
      </w:r>
      <w:r w:rsidR="000056E9" w:rsidRPr="0084570B">
        <w:rPr>
          <w:rFonts w:ascii="Times New Roman" w:eastAsia="Times New Roman" w:hAnsi="Times New Roman" w:cs="Times New Roman"/>
          <w:sz w:val="22"/>
          <w:szCs w:val="22"/>
          <w:lang w:val="en-US"/>
        </w:rPr>
        <w:t>a meteorite-like component</w:t>
      </w:r>
      <w:r w:rsidRPr="0084570B">
        <w:rPr>
          <w:rFonts w:ascii="Times New Roman" w:eastAsia="Times New Roman" w:hAnsi="Times New Roman" w:cs="Times New Roman"/>
          <w:sz w:val="22"/>
          <w:szCs w:val="22"/>
          <w:lang w:val="en-US"/>
        </w:rPr>
        <w:t xml:space="preserve"> akin to average carbonaceous chondrites (AVCC)</w:t>
      </w:r>
      <w:r w:rsidR="000056E9" w:rsidRPr="0084570B">
        <w:rPr>
          <w:rFonts w:ascii="Times New Roman" w:eastAsia="Times New Roman" w:hAnsi="Times New Roman" w:cs="Times New Roman"/>
          <w:sz w:val="22"/>
          <w:szCs w:val="22"/>
          <w:lang w:val="en-US"/>
        </w:rPr>
        <w:t xml:space="preserve"> in mantle-derived samples</w:t>
      </w:r>
      <w:r w:rsidR="00191A71" w:rsidRPr="0084570B">
        <w:rPr>
          <w:rFonts w:ascii="Times New Roman" w:eastAsia="Times New Roman" w:hAnsi="Times New Roman" w:cs="Times New Roman"/>
          <w:sz w:val="22"/>
          <w:szCs w:val="22"/>
          <w:lang w:val="en-US"/>
        </w:rPr>
        <w:t xml:space="preserve"> analyzed by static mass spectrometry</w:t>
      </w:r>
      <w:r w:rsidR="00191A71" w:rsidRPr="0084570B">
        <w:rPr>
          <w:rFonts w:ascii="Times New Roman" w:eastAsia="Times New Roman" w:hAnsi="Times New Roman" w:cs="Times New Roman"/>
          <w:sz w:val="22"/>
          <w:szCs w:val="22"/>
          <w:lang w:val="en-US"/>
        </w:rPr>
        <w:fldChar w:fldCharType="begin" w:fldLock="1"/>
      </w:r>
      <w:r w:rsidR="00191A71" w:rsidRPr="0084570B">
        <w:rPr>
          <w:rFonts w:ascii="Times New Roman" w:eastAsia="Times New Roman" w:hAnsi="Times New Roman" w:cs="Times New Roman"/>
          <w:sz w:val="22"/>
          <w:szCs w:val="22"/>
          <w:lang w:val="en-US"/>
        </w:rPr>
        <w:instrText xml:space="preserve">ADDIN CSL_CITATION {"citationItems":[{"id":"ITEM-1","itemData":{"DOI":"10.1016/j.epsl.2006.08.014","ISSN":"0012821X","abstract":"The relationships between the major terrestrial volatile reservoirs are explored by resolving the different components in the Xe isotope signatures displayed by Harding County and Caroline CO2 well gases and mid-ocean ridge basalts (MORB). For the nonradiogenic isotopes, there is evidence for the presence of components enhanced in the light 124-128Xe/130Xe isotope ratios with respect to the terrestrial atmosphere. The observation of small but significant elevations of these ratios in the MORB and well gas reservoirs means that the nonradiogenic Xe in the atmosphere cannot be the primordial base composition in the mantle. The presence of solar-like components, for example U-Xe, solar wind Xe, or both, is required. For radiogenic Xe generated by decay of short-lived 129I and 244Pu, the 129Xerad/136Xe244 ratios are indistinguishable in MORB and the present atmosphere, but differ by approximately an order of magnitude between the MORB and well gas sources. Correspondence of these ratios in MORB and the atmosphere within the relatively small uncertainties found here significantly constrains possible mantle degassing scenarios. The widely held view that substantial early degassing of 129Xerad and 136Xe244 from the MORB reservoir to the atmosphere occurred and then ended while 129I was still alive is incompatible with equal ratios, and so is not a possible explanation for observed elevations of 129Xe/130Xe in MORB compared to the atmosphere. Detailed degassing chronologies constructed from the isotopic composition of MORB Xe are therefore questionable. If the present estimate for the uranium/iodine ratio in the bulk silicate Earth (BSE) is taken to apply to all interior volatile reservoirs, the differing 129Xerad/136Xe244 ratios in MORB and the well gases point to two episodes of major mantle degassing, presumably driven by giant impacts, respectively </w:instrText>
      </w:r>
      <w:r w:rsidR="00191A71" w:rsidRPr="0084570B">
        <w:rPr>
          <w:rFonts w:ascii="Cambria Math" w:eastAsia="Times New Roman" w:hAnsi="Cambria Math" w:cs="Cambria Math"/>
          <w:sz w:val="22"/>
          <w:szCs w:val="22"/>
          <w:lang w:val="en-US"/>
        </w:rPr>
        <w:instrText>∼</w:instrText>
      </w:r>
      <w:r w:rsidR="00191A71" w:rsidRPr="0084570B">
        <w:rPr>
          <w:rFonts w:ascii="Times New Roman" w:eastAsia="Times New Roman" w:hAnsi="Times New Roman" w:cs="Times New Roman"/>
          <w:sz w:val="22"/>
          <w:szCs w:val="22"/>
          <w:lang w:val="en-US"/>
        </w:rPr>
        <w:instrText xml:space="preserve"> 20-50 Ma and </w:instrText>
      </w:r>
      <w:r w:rsidR="00191A71" w:rsidRPr="0084570B">
        <w:rPr>
          <w:rFonts w:ascii="Cambria Math" w:eastAsia="Times New Roman" w:hAnsi="Cambria Math" w:cs="Cambria Math"/>
          <w:sz w:val="22"/>
          <w:szCs w:val="22"/>
          <w:lang w:val="en-US"/>
        </w:rPr>
        <w:instrText>∼</w:instrText>
      </w:r>
      <w:r w:rsidR="00191A71" w:rsidRPr="0084570B">
        <w:rPr>
          <w:rFonts w:ascii="Times New Roman" w:eastAsia="Times New Roman" w:hAnsi="Times New Roman" w:cs="Times New Roman"/>
          <w:sz w:val="22"/>
          <w:szCs w:val="22"/>
          <w:lang w:val="en-US"/>
        </w:rPr>
        <w:instrText xml:space="preserve"> 95-100 Ma after solar system origin assuming current values for initial 129I/127I and 244Pu/238U. The earlier time range, for degassing of the well gas source, spans Hf-W calculations for the timing of a moon-forming impact. The second, later impact further outgassed the upper mantle and MORB source. A single event that degassed both the MORB and gas well reservoirs at the time of the moon-forming collision would be compatible with their distinct 129Xerad/136Xe244 ratios only if the post-impact iodine abundance in the MORB reservoir was about an order of magnitude lower than current estimates. In…","author":[{"dropping-particle":"","family":"Pepin","given":"Robert O.","non-dropping-particle":"","parse-names":false,"suffix":""},{"dropping-particle":"","family":"Porcelli","given":"Don","non-dropping-particle":"","parse-names":false,"suffix":""}],"container-title":"Earth and Planetary Science Letters","id":"ITEM-1","issue":"3-4","issued":{"date-parts":[["2006"]]},"page":"470-485","title":"Xenon isotope systematics, giant impacts, and mantle degassing on the early Earth","type":"article-journal","volume":"250"},"uris":["http://www.mendeley.com/documents/?uuid=427b4856-93c5-457c-9757-6fd33bca1a9d"]}],"mendeley":{"formattedCitation":"&lt;sup&gt;3&lt;/sup&gt;","plainTextFormattedCitation":"3","previouslyFormattedCitation":"&lt;sup&gt;3&lt;/sup&gt;"},"properties":{"noteIndex":0},"schema":"https://github.com/citation-style-language/schema/raw/master/csl-citation.json"}</w:instrText>
      </w:r>
      <w:r w:rsidR="00191A71" w:rsidRPr="0084570B">
        <w:rPr>
          <w:rFonts w:ascii="Times New Roman" w:eastAsia="Times New Roman" w:hAnsi="Times New Roman" w:cs="Times New Roman"/>
          <w:sz w:val="22"/>
          <w:szCs w:val="22"/>
          <w:lang w:val="en-US"/>
        </w:rPr>
        <w:fldChar w:fldCharType="separate"/>
      </w:r>
      <w:r w:rsidR="00191A71" w:rsidRPr="0084570B">
        <w:rPr>
          <w:rFonts w:ascii="Times New Roman" w:eastAsia="Times New Roman" w:hAnsi="Times New Roman" w:cs="Times New Roman"/>
          <w:noProof/>
          <w:sz w:val="22"/>
          <w:szCs w:val="22"/>
          <w:vertAlign w:val="superscript"/>
          <w:lang w:val="en-US"/>
        </w:rPr>
        <w:t>3</w:t>
      </w:r>
      <w:r w:rsidR="00191A71" w:rsidRPr="0084570B">
        <w:rPr>
          <w:rFonts w:ascii="Times New Roman" w:eastAsia="Times New Roman" w:hAnsi="Times New Roman" w:cs="Times New Roman"/>
          <w:sz w:val="22"/>
          <w:szCs w:val="22"/>
          <w:lang w:val="en-US"/>
        </w:rPr>
        <w:fldChar w:fldCharType="end"/>
      </w:r>
      <w:r w:rsidR="00191A71" w:rsidRPr="0084570B">
        <w:rPr>
          <w:rFonts w:ascii="Times New Roman" w:eastAsia="Times New Roman" w:hAnsi="Times New Roman" w:cs="Times New Roman"/>
          <w:sz w:val="22"/>
          <w:szCs w:val="22"/>
          <w:vertAlign w:val="superscript"/>
          <w:lang w:val="en-US"/>
        </w:rPr>
        <w:t>,</w:t>
      </w:r>
      <w:r w:rsidR="00191A71" w:rsidRPr="0084570B">
        <w:rPr>
          <w:rFonts w:ascii="Times New Roman" w:eastAsia="Times New Roman" w:hAnsi="Times New Roman" w:cs="Times New Roman"/>
          <w:sz w:val="22"/>
          <w:szCs w:val="22"/>
          <w:lang w:val="en-US"/>
        </w:rPr>
        <w:fldChar w:fldCharType="begin" w:fldLock="1"/>
      </w:r>
      <w:r w:rsidR="00DB5D30" w:rsidRPr="0084570B">
        <w:rPr>
          <w:rFonts w:ascii="Times New Roman" w:eastAsia="Times New Roman" w:hAnsi="Times New Roman" w:cs="Times New Roman"/>
          <w:sz w:val="22"/>
          <w:szCs w:val="22"/>
          <w:lang w:val="en-US"/>
        </w:rPr>
        <w:instrText>ADDIN CSL_CITATION {"citationItems":[{"id":"ITEM-1","itemData":{"DOI":"10.7185/geochemlet.1833","ISSN":"24103403","abstract":"Noble gases serve as unique tracers of the origin and evolution of Earth's volatile reservoirs owing to their inert nature and contribution from extinct and extant radioactivities. However, noble gases are low in abundance relative to many other elements, particularly in the Earth's mantle. Additionally, mantle-derived samples show large post-eruptive atmospheric contamination, rendering the determination of the primary mantle composition challenging. The sources of mantle krypton and xenon remain debated due to their partially resolvable excess, if any, relative to the atmosphere. Atmospheric noble gases also appear to be recycled into the mantle via subduction, progressively overprinting the initial mantle signature. Here we develop a new protocol to accumulate non-contaminated mantle-derived xenon, in particular the low abundant 124-126-128Xe. The results show the highest excesses in 124-126-128Xe ever measured in the mantle relative to the atmosphere and point toward a chondritic origin for mantle xenon. The fissiogenic isotopes 131-132-134-136Xe allow the onset of efficient xenon recycling in the mantle to be constrained at around 3 Gyr ago, implying that volatile recycling before 3 Ga would have been negligible.","author":[{"dropping-particle":"","family":"Péron","given":"S.","non-dropping-particle":"","parse-names":false,"suffix":""},{"dropping-particle":"","family":"Moreira","given":"M.","non-dropping-particle":"","parse-names":false,"suffix":""}],"container-title":"Geochemical Perspectives Letters","id":"ITEM-1","issued":{"date-parts":[["2018"]]},"page":"21-25","title":"Onset of volatile recycling into the mantle determined by xenon anomalies","type":"article-journal","volume":"9"},"uris":["http://www.mendeley.com/documents/?uuid=674acf9a-5aca-44b5-bf2c-70f6853c1502"]}],"mendeley":{"formattedCitation":"&lt;sup&gt;15&lt;/sup&gt;","plainTextFormattedCitation":"15","previouslyFormattedCitation":"&lt;sup&gt;15&lt;/sup&gt;"},"properties":{"noteIndex":0},"schema":"https://github.com/citation-style-language/schema/raw/master/csl-citation.json"}</w:instrText>
      </w:r>
      <w:r w:rsidR="00191A71" w:rsidRPr="0084570B">
        <w:rPr>
          <w:rFonts w:ascii="Times New Roman" w:eastAsia="Times New Roman" w:hAnsi="Times New Roman" w:cs="Times New Roman"/>
          <w:sz w:val="22"/>
          <w:szCs w:val="22"/>
          <w:lang w:val="en-US"/>
        </w:rPr>
        <w:fldChar w:fldCharType="separate"/>
      </w:r>
      <w:r w:rsidR="00DB5D30" w:rsidRPr="0084570B">
        <w:rPr>
          <w:rFonts w:ascii="Times New Roman" w:eastAsia="Times New Roman" w:hAnsi="Times New Roman" w:cs="Times New Roman"/>
          <w:noProof/>
          <w:sz w:val="22"/>
          <w:szCs w:val="22"/>
          <w:vertAlign w:val="superscript"/>
          <w:lang w:val="en-US"/>
        </w:rPr>
        <w:t>15</w:t>
      </w:r>
      <w:r w:rsidR="00191A71" w:rsidRPr="0084570B">
        <w:rPr>
          <w:rFonts w:ascii="Times New Roman" w:eastAsia="Times New Roman" w:hAnsi="Times New Roman" w:cs="Times New Roman"/>
          <w:sz w:val="22"/>
          <w:szCs w:val="22"/>
          <w:lang w:val="en-US"/>
        </w:rPr>
        <w:fldChar w:fldCharType="end"/>
      </w:r>
      <w:r w:rsidR="00191A71" w:rsidRPr="0084570B">
        <w:rPr>
          <w:rFonts w:ascii="Times New Roman" w:eastAsia="Times New Roman" w:hAnsi="Times New Roman" w:cs="Times New Roman"/>
          <w:sz w:val="22"/>
          <w:szCs w:val="22"/>
          <w:vertAlign w:val="superscript"/>
          <w:lang w:val="en-US"/>
        </w:rPr>
        <w:t>,</w:t>
      </w:r>
      <w:r w:rsidR="00191A71" w:rsidRPr="0084570B">
        <w:rPr>
          <w:rFonts w:ascii="Times New Roman" w:eastAsia="Times New Roman" w:hAnsi="Times New Roman" w:cs="Times New Roman"/>
          <w:sz w:val="22"/>
          <w:szCs w:val="22"/>
          <w:lang w:val="en-US"/>
        </w:rPr>
        <w:fldChar w:fldCharType="begin" w:fldLock="1"/>
      </w:r>
      <w:r w:rsidR="00A249A4">
        <w:rPr>
          <w:rFonts w:ascii="Times New Roman" w:eastAsia="Times New Roman" w:hAnsi="Times New Roman" w:cs="Times New Roman"/>
          <w:sz w:val="22"/>
          <w:szCs w:val="22"/>
          <w:lang w:val="en-US"/>
        </w:rPr>
        <w:instrText>ADDIN CSL_CITATION {"citationItems":[{"id":"ITEM-1","itemData":{"DOI":"10.1073/pnas.2003907117","ISSN":"0027-8424","abstract":"Identifying the origin of noble gases in Earth’s mantle can provide crucial constraints on the source and timing of volatile (C, N, H 2 O, noble gases, etc.) delivery to Earth. It remains unclear whether the early Earth was able to directly capture and retain volatiles throughout accretion or whether it accreted anhydrously and subsequently acquired volatiles through later additions of chondritic material. Here, we report high-precision noble gas isotopic data from volcanic gases emanating from, in and around, the Yellowstone caldera (Wyoming, United States). We show that the He and Ne isotopic and elemental signatures of the Yellowstone gas requires an input from an undegassed mantle plume. Coupled with the distinct ratio of 129 Xe to primordial Xe isotopes in Yellowstone compared with mid-ocean ridge basalt (MORB) samples, this confirms that the deep plume and shallow MORB mantles have remained distinct from one another for the majority of Earth’s history. Krypton and xenon isotopes in the Yellowstone mantle plume are found to be chondritic in origin, similar to the MORB source mantle. This is in contrast with the origin of neon in the mantle, which exhibits an isotopic dichotomy between solar plume and chondritic MORB mantle sources. The co-occurrence of solar and chondritic noble gases in the deep mantle is thought to reflect the heterogeneous nature of Earth’s volatile accretion during the lifetime of the protosolar nebula. It notably implies that the Earth was able to retain its chondritic volatiles since its earliest stages of accretion, and not only through late additions.","author":[{"dropping-particle":"","family":"Broadley","given":"Michael W.","non-dropping-particle":"","parse-names":false,"suffix":""},{"dropping-particle":"","family":"Barry","given":"Peter H.","non-dropping-particle":"","parse-names":false,"suffix":""},{"dropping-particle":"V.","family":"Bekaert","given":"David","non-dropping-particle":"","parse-names":false,"suffix":""},{"dropping-particle":"","family":"Byrne","given":"David J.","non-dropping-particle":"","parse-names":false,"suffix":""},{"dropping-particle":"","family":"Caracausi","given":"Antonio","non-dropping-particle":"","parse-names":false,"suffix":""},{"dropping-particle":"","family":"Ballentine","given":"Christopher J.","non-dropping-particle":"","parse-names":false,"suffix":""},{"dropping-particle":"","family":"Marty","given":"Bernard","non-dropping-particle":"","parse-names":false,"suffix":""}],"container-title":"Proceedings of the National Academy of Sciences","id":"ITEM-1","issue":"25","issued":{"date-parts":[["2020","6","23"]]},"page":"13997-14004","title":"Identification of chondritic krypton and xenon in Yellowstone gases and the timing of terrestrial volatile accretion","type":"article-journal","volume":"117"},"uris":["http://www.mendeley.com/documents/?uuid=bd477629-a601-4456-a715-de8e04ddcbd4"]}],"mendeley":{"formattedCitation":"&lt;sup&gt;28&lt;/sup&gt;","plainTextFormattedCitation":"28","previouslyFormattedCitation":"&lt;sup&gt;28&lt;/sup&gt;"},"properties":{"noteIndex":0},"schema":"https://github.com/citation-style-language/schema/raw/master/csl-citation.json"}</w:instrText>
      </w:r>
      <w:r w:rsidR="00191A71" w:rsidRPr="0084570B">
        <w:rPr>
          <w:rFonts w:ascii="Times New Roman" w:eastAsia="Times New Roman" w:hAnsi="Times New Roman" w:cs="Times New Roman"/>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28</w:t>
      </w:r>
      <w:r w:rsidR="00191A71"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w:t>
      </w:r>
      <w:r w:rsidR="007F3CC8" w:rsidRPr="0084570B">
        <w:rPr>
          <w:rFonts w:ascii="Times New Roman" w:eastAsia="Times New Roman" w:hAnsi="Times New Roman" w:cs="Times New Roman"/>
          <w:sz w:val="22"/>
          <w:szCs w:val="22"/>
          <w:lang w:val="en-US"/>
        </w:rPr>
        <w:t xml:space="preserve">Here, we carry out a </w:t>
      </w:r>
      <w:r w:rsidRPr="0084570B">
        <w:rPr>
          <w:rFonts w:ascii="Times New Roman" w:eastAsia="Times New Roman" w:hAnsi="Times New Roman" w:cs="Times New Roman"/>
          <w:sz w:val="22"/>
          <w:szCs w:val="22"/>
          <w:lang w:val="en-US"/>
        </w:rPr>
        <w:t>correction for surficial and recycle</w:t>
      </w:r>
      <w:r w:rsidR="007F3CC8" w:rsidRPr="0084570B">
        <w:rPr>
          <w:rFonts w:ascii="Times New Roman" w:eastAsia="Times New Roman" w:hAnsi="Times New Roman" w:cs="Times New Roman"/>
          <w:sz w:val="22"/>
          <w:szCs w:val="22"/>
          <w:lang w:val="en-US"/>
        </w:rPr>
        <w:t>d atmospheric Xe contributions by extrapolating</w:t>
      </w:r>
      <w:r w:rsidRPr="0084570B">
        <w:rPr>
          <w:rFonts w:ascii="Times New Roman" w:eastAsia="Times New Roman" w:hAnsi="Times New Roman" w:cs="Times New Roman"/>
          <w:sz w:val="22"/>
          <w:szCs w:val="22"/>
          <w:lang w:val="en-US"/>
        </w:rPr>
        <w:t xml:space="preserve"> the measured </w:t>
      </w:r>
      <w:r w:rsidR="007F3CC8" w:rsidRPr="0084570B">
        <w:rPr>
          <w:rFonts w:ascii="Times New Roman" w:eastAsia="Times New Roman" w:hAnsi="Times New Roman" w:cs="Times New Roman"/>
          <w:sz w:val="22"/>
          <w:szCs w:val="22"/>
          <w:lang w:val="en-US"/>
        </w:rPr>
        <w:t>δ</w:t>
      </w:r>
      <w:r w:rsidR="007F3CC8" w:rsidRPr="0084570B">
        <w:rPr>
          <w:rFonts w:ascii="Times New Roman" w:eastAsia="Times New Roman" w:hAnsi="Times New Roman" w:cs="Times New Roman"/>
          <w:color w:val="222222"/>
          <w:sz w:val="22"/>
          <w:szCs w:val="22"/>
          <w:vertAlign w:val="superscript"/>
          <w:lang w:val="en-US"/>
        </w:rPr>
        <w:t>128</w:t>
      </w:r>
      <w:r w:rsidR="007F3CC8" w:rsidRPr="0084570B">
        <w:rPr>
          <w:rFonts w:ascii="Times New Roman" w:eastAsia="Times New Roman" w:hAnsi="Times New Roman" w:cs="Times New Roman"/>
          <w:color w:val="222222"/>
          <w:sz w:val="22"/>
          <w:szCs w:val="22"/>
          <w:lang w:val="en-US"/>
        </w:rPr>
        <w:t>Xe/</w:t>
      </w:r>
      <w:r w:rsidR="007F3CC8" w:rsidRPr="0084570B">
        <w:rPr>
          <w:rFonts w:ascii="Times New Roman" w:eastAsia="Times New Roman" w:hAnsi="Times New Roman" w:cs="Times New Roman"/>
          <w:color w:val="222222"/>
          <w:sz w:val="22"/>
          <w:szCs w:val="22"/>
          <w:vertAlign w:val="superscript"/>
          <w:lang w:val="en-US"/>
        </w:rPr>
        <w:t>130</w:t>
      </w:r>
      <w:r w:rsidR="007F3CC8" w:rsidRPr="0084570B">
        <w:rPr>
          <w:rFonts w:ascii="Times New Roman" w:eastAsia="Times New Roman" w:hAnsi="Times New Roman" w:cs="Times New Roman"/>
          <w:color w:val="222222"/>
          <w:sz w:val="22"/>
          <w:szCs w:val="22"/>
          <w:lang w:val="en-US"/>
        </w:rPr>
        <w:t>Xe</w:t>
      </w:r>
      <w:r w:rsidR="007F3CC8" w:rsidRPr="0084570B">
        <w:rPr>
          <w:rFonts w:ascii="Times New Roman" w:eastAsia="Times New Roman" w:hAnsi="Times New Roman" w:cs="Times New Roman"/>
          <w:b/>
          <w:color w:val="222222"/>
          <w:sz w:val="22"/>
          <w:szCs w:val="22"/>
          <w:lang w:val="en-US"/>
        </w:rPr>
        <w:t xml:space="preserve"> </w:t>
      </w:r>
      <w:r w:rsidRPr="0084570B">
        <w:rPr>
          <w:rFonts w:ascii="Times New Roman" w:eastAsia="Times New Roman" w:hAnsi="Times New Roman" w:cs="Times New Roman"/>
          <w:sz w:val="22"/>
          <w:szCs w:val="22"/>
          <w:lang w:val="en-US"/>
        </w:rPr>
        <w:t xml:space="preserve">towards the mantle source </w:t>
      </w:r>
      <w:r w:rsidR="007F3CC8" w:rsidRPr="0084570B">
        <w:rPr>
          <w:rFonts w:ascii="Times New Roman" w:eastAsia="Times New Roman" w:hAnsi="Times New Roman" w:cs="Times New Roman"/>
          <w:sz w:val="22"/>
          <w:szCs w:val="22"/>
          <w:lang w:val="en-US"/>
        </w:rPr>
        <w:t>δ</w:t>
      </w:r>
      <w:r w:rsidR="007F3CC8" w:rsidRPr="0084570B">
        <w:rPr>
          <w:rFonts w:ascii="Times New Roman" w:eastAsia="Times New Roman" w:hAnsi="Times New Roman" w:cs="Times New Roman"/>
          <w:color w:val="222222"/>
          <w:sz w:val="22"/>
          <w:szCs w:val="22"/>
          <w:vertAlign w:val="superscript"/>
          <w:lang w:val="en-US"/>
        </w:rPr>
        <w:t>129</w:t>
      </w:r>
      <w:r w:rsidR="007F3CC8" w:rsidRPr="0084570B">
        <w:rPr>
          <w:rFonts w:ascii="Times New Roman" w:eastAsia="Times New Roman" w:hAnsi="Times New Roman" w:cs="Times New Roman"/>
          <w:color w:val="222222"/>
          <w:sz w:val="22"/>
          <w:szCs w:val="22"/>
          <w:lang w:val="en-US"/>
        </w:rPr>
        <w:t>Xe/</w:t>
      </w:r>
      <w:r w:rsidR="007F3CC8" w:rsidRPr="0084570B">
        <w:rPr>
          <w:rFonts w:ascii="Times New Roman" w:eastAsia="Times New Roman" w:hAnsi="Times New Roman" w:cs="Times New Roman"/>
          <w:color w:val="222222"/>
          <w:sz w:val="22"/>
          <w:szCs w:val="22"/>
          <w:vertAlign w:val="superscript"/>
          <w:lang w:val="en-US"/>
        </w:rPr>
        <w:t>130</w:t>
      </w:r>
      <w:r w:rsidR="007F3CC8" w:rsidRPr="0084570B">
        <w:rPr>
          <w:rFonts w:ascii="Times New Roman" w:eastAsia="Times New Roman" w:hAnsi="Times New Roman" w:cs="Times New Roman"/>
          <w:color w:val="222222"/>
          <w:sz w:val="22"/>
          <w:szCs w:val="22"/>
          <w:lang w:val="en-US"/>
        </w:rPr>
        <w:t>Xe (</w:t>
      </w:r>
      <w:r w:rsidR="007F3CC8" w:rsidRPr="0084570B">
        <w:rPr>
          <w:rFonts w:ascii="Times New Roman" w:eastAsia="Times New Roman" w:hAnsi="Times New Roman" w:cs="Times New Roman"/>
          <w:b/>
          <w:color w:val="222222"/>
          <w:sz w:val="22"/>
          <w:szCs w:val="22"/>
          <w:lang w:val="en-US"/>
        </w:rPr>
        <w:t>Figure S3</w:t>
      </w:r>
      <w:r w:rsidR="007F3CC8" w:rsidRPr="0084570B">
        <w:rPr>
          <w:rFonts w:ascii="Times New Roman" w:eastAsia="Times New Roman" w:hAnsi="Times New Roman" w:cs="Times New Roman"/>
          <w:color w:val="222222"/>
          <w:sz w:val="22"/>
          <w:szCs w:val="22"/>
          <w:lang w:val="en-US"/>
        </w:rPr>
        <w:t>)</w:t>
      </w:r>
      <w:r w:rsidR="007F3CC8" w:rsidRPr="0084570B">
        <w:rPr>
          <w:rFonts w:ascii="Times New Roman" w:eastAsia="Times New Roman" w:hAnsi="Times New Roman" w:cs="Times New Roman"/>
          <w:sz w:val="22"/>
          <w:szCs w:val="22"/>
          <w:lang w:val="en-US"/>
        </w:rPr>
        <w:t>. Doing so,</w:t>
      </w:r>
      <w:r w:rsidRPr="0084570B">
        <w:rPr>
          <w:rFonts w:ascii="Times New Roman" w:eastAsia="Times New Roman" w:hAnsi="Times New Roman" w:cs="Times New Roman"/>
          <w:sz w:val="22"/>
          <w:szCs w:val="22"/>
          <w:lang w:val="en-US"/>
        </w:rPr>
        <w:t xml:space="preserve"> we find no resolvable </w:t>
      </w:r>
      <w:r w:rsidRPr="0084570B">
        <w:rPr>
          <w:rFonts w:ascii="Times New Roman" w:eastAsia="Times New Roman" w:hAnsi="Times New Roman" w:cs="Times New Roman"/>
          <w:sz w:val="22"/>
          <w:szCs w:val="22"/>
          <w:vertAlign w:val="superscript"/>
          <w:lang w:val="en-US"/>
        </w:rPr>
        <w:t>128</w:t>
      </w:r>
      <w:r w:rsidRPr="0084570B">
        <w:rPr>
          <w:rFonts w:ascii="Times New Roman" w:eastAsia="Times New Roman" w:hAnsi="Times New Roman" w:cs="Times New Roman"/>
          <w:sz w:val="22"/>
          <w:szCs w:val="22"/>
          <w:lang w:val="en-US"/>
        </w:rPr>
        <w:t xml:space="preserve">Xe excess potentially attributable to </w:t>
      </w:r>
      <w:r w:rsidR="007F3CC8" w:rsidRPr="0084570B">
        <w:rPr>
          <w:rFonts w:ascii="Times New Roman" w:eastAsia="Times New Roman" w:hAnsi="Times New Roman" w:cs="Times New Roman"/>
          <w:sz w:val="22"/>
          <w:szCs w:val="22"/>
          <w:lang w:val="en-US"/>
        </w:rPr>
        <w:t xml:space="preserve">the occurrence of </w:t>
      </w:r>
      <w:r w:rsidRPr="0084570B">
        <w:rPr>
          <w:rFonts w:ascii="Times New Roman" w:eastAsia="Times New Roman" w:hAnsi="Times New Roman" w:cs="Times New Roman"/>
          <w:sz w:val="22"/>
          <w:szCs w:val="22"/>
          <w:lang w:val="en-US"/>
        </w:rPr>
        <w:t xml:space="preserve">a chondritic Xe </w:t>
      </w:r>
      <w:r w:rsidR="007F3CC8" w:rsidRPr="0084570B">
        <w:rPr>
          <w:rFonts w:ascii="Times New Roman" w:eastAsia="Times New Roman" w:hAnsi="Times New Roman" w:cs="Times New Roman"/>
          <w:sz w:val="22"/>
          <w:szCs w:val="22"/>
          <w:lang w:val="en-US"/>
        </w:rPr>
        <w:t>component</w:t>
      </w:r>
      <w:r w:rsidRPr="0084570B">
        <w:rPr>
          <w:rFonts w:ascii="Times New Roman" w:eastAsia="Times New Roman" w:hAnsi="Times New Roman" w:cs="Times New Roman"/>
          <w:sz w:val="22"/>
          <w:szCs w:val="22"/>
          <w:lang w:val="en-US"/>
        </w:rPr>
        <w:t xml:space="preserve"> in the </w:t>
      </w:r>
      <w:r w:rsidR="007F3CC8" w:rsidRPr="0084570B">
        <w:rPr>
          <w:rFonts w:ascii="Times New Roman" w:eastAsia="Times New Roman" w:hAnsi="Times New Roman" w:cs="Times New Roman"/>
          <w:sz w:val="22"/>
          <w:szCs w:val="22"/>
          <w:lang w:val="en-US"/>
        </w:rPr>
        <w:t xml:space="preserve">Mt. </w:t>
      </w:r>
      <w:r w:rsidRPr="0084570B">
        <w:rPr>
          <w:rFonts w:ascii="Times New Roman" w:eastAsia="Times New Roman" w:hAnsi="Times New Roman" w:cs="Times New Roman"/>
          <w:sz w:val="22"/>
          <w:szCs w:val="22"/>
          <w:lang w:val="en-US"/>
        </w:rPr>
        <w:t xml:space="preserve">Etna mantle source. </w:t>
      </w:r>
      <w:r w:rsidR="007F3CC8" w:rsidRPr="0084570B">
        <w:rPr>
          <w:rFonts w:ascii="Times New Roman" w:eastAsia="Times New Roman" w:hAnsi="Times New Roman" w:cs="Times New Roman"/>
          <w:sz w:val="22"/>
          <w:szCs w:val="22"/>
          <w:lang w:val="en-US"/>
        </w:rPr>
        <w:t>When combined, Mt. Etna and Eifel Xe isotope data suggest that the fraction of primordial Xe within the upper mantle is below 3%, in stark contrast with previous suggestions of primordial Xe contributions ≥20%</w:t>
      </w:r>
      <w:r w:rsidR="00934EFB" w:rsidRPr="0084570B">
        <w:rPr>
          <w:rFonts w:ascii="Times New Roman" w:eastAsia="Times New Roman" w:hAnsi="Times New Roman" w:cs="Times New Roman"/>
          <w:sz w:val="22"/>
          <w:szCs w:val="22"/>
          <w:lang w:val="en-US"/>
        </w:rPr>
        <w:fldChar w:fldCharType="begin" w:fldLock="1"/>
      </w:r>
      <w:r w:rsidR="000C1A0B"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00934EFB" w:rsidRPr="0084570B">
        <w:rPr>
          <w:rFonts w:ascii="Times New Roman" w:eastAsia="Times New Roman" w:hAnsi="Times New Roman" w:cs="Times New Roman"/>
          <w:sz w:val="22"/>
          <w:szCs w:val="22"/>
          <w:lang w:val="en-US"/>
        </w:rPr>
        <w:fldChar w:fldCharType="separate"/>
      </w:r>
      <w:r w:rsidR="00934EFB" w:rsidRPr="0084570B">
        <w:rPr>
          <w:rFonts w:ascii="Times New Roman" w:eastAsia="Times New Roman" w:hAnsi="Times New Roman" w:cs="Times New Roman"/>
          <w:noProof/>
          <w:sz w:val="22"/>
          <w:szCs w:val="22"/>
          <w:vertAlign w:val="superscript"/>
          <w:lang w:val="en-US"/>
        </w:rPr>
        <w:t>6</w:t>
      </w:r>
      <w:r w:rsidR="00934EFB" w:rsidRPr="0084570B">
        <w:rPr>
          <w:rFonts w:ascii="Times New Roman" w:eastAsia="Times New Roman" w:hAnsi="Times New Roman" w:cs="Times New Roman"/>
          <w:sz w:val="22"/>
          <w:szCs w:val="22"/>
          <w:lang w:val="en-US"/>
        </w:rPr>
        <w:fldChar w:fldCharType="end"/>
      </w:r>
      <w:r w:rsidR="005D4F20" w:rsidRPr="0084570B">
        <w:rPr>
          <w:rFonts w:ascii="Times New Roman" w:eastAsia="Times New Roman" w:hAnsi="Times New Roman" w:cs="Times New Roman"/>
          <w:sz w:val="22"/>
          <w:szCs w:val="22"/>
          <w:lang w:val="en-US"/>
        </w:rPr>
        <w:t xml:space="preserve"> </w:t>
      </w:r>
      <w:r w:rsidR="005D4F20" w:rsidRPr="0084570B">
        <w:rPr>
          <w:rFonts w:ascii="Times New Roman" w:eastAsia="Times New Roman" w:hAnsi="Times New Roman" w:cs="Times New Roman"/>
          <w:color w:val="222222"/>
          <w:sz w:val="22"/>
          <w:szCs w:val="22"/>
          <w:lang w:val="en-US"/>
        </w:rPr>
        <w:t>(</w:t>
      </w:r>
      <w:r w:rsidR="005D4F20" w:rsidRPr="0084570B">
        <w:rPr>
          <w:rFonts w:ascii="Times New Roman" w:eastAsia="Times New Roman" w:hAnsi="Times New Roman" w:cs="Times New Roman"/>
          <w:b/>
          <w:color w:val="222222"/>
          <w:sz w:val="22"/>
          <w:szCs w:val="22"/>
          <w:lang w:val="en-US"/>
        </w:rPr>
        <w:t>Figure S3</w:t>
      </w:r>
      <w:r w:rsidR="005D4F20" w:rsidRPr="0084570B">
        <w:rPr>
          <w:rFonts w:ascii="Times New Roman" w:eastAsia="Times New Roman" w:hAnsi="Times New Roman" w:cs="Times New Roman"/>
          <w:color w:val="222222"/>
          <w:sz w:val="22"/>
          <w:szCs w:val="22"/>
          <w:lang w:val="en-US"/>
        </w:rPr>
        <w:t>)</w:t>
      </w:r>
      <w:r w:rsidR="007F3CC8" w:rsidRPr="0084570B">
        <w:rPr>
          <w:rFonts w:ascii="Times New Roman" w:eastAsia="Times New Roman" w:hAnsi="Times New Roman" w:cs="Times New Roman"/>
          <w:sz w:val="22"/>
          <w:szCs w:val="22"/>
          <w:lang w:val="en-US"/>
        </w:rPr>
        <w:t>.</w:t>
      </w:r>
      <w:r w:rsidR="005D4F20" w:rsidRPr="0084570B">
        <w:rPr>
          <w:rFonts w:ascii="Times New Roman" w:eastAsia="Times New Roman" w:hAnsi="Times New Roman" w:cs="Times New Roman"/>
          <w:sz w:val="22"/>
          <w:szCs w:val="22"/>
          <w:lang w:val="en-US"/>
        </w:rPr>
        <w:t xml:space="preserve"> This finding implies that the introduction of atmosphere-derived components within the mantle during subduction has more drastically overprinted the budget of mantle Xe than previously considered.  </w:t>
      </w:r>
    </w:p>
    <w:p w14:paraId="5633D735" w14:textId="77777777" w:rsidR="009B3A3F" w:rsidRPr="0084570B" w:rsidRDefault="009B3A3F" w:rsidP="009B3A3F">
      <w:pPr>
        <w:pStyle w:val="Normal1"/>
        <w:spacing w:line="360" w:lineRule="auto"/>
        <w:jc w:val="center"/>
        <w:rPr>
          <w:rFonts w:ascii="Times New Roman" w:eastAsia="Times New Roman" w:hAnsi="Times New Roman" w:cs="Times New Roman"/>
          <w:sz w:val="22"/>
          <w:szCs w:val="22"/>
          <w:lang w:val="en-US"/>
        </w:rPr>
      </w:pPr>
    </w:p>
    <w:p w14:paraId="38818ABA" w14:textId="3BA4156E" w:rsidR="000A5292" w:rsidRPr="0084570B" w:rsidRDefault="00934EFB" w:rsidP="001914C6">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r>
      <w:r w:rsidR="003F0B84" w:rsidRPr="0084570B">
        <w:rPr>
          <w:rFonts w:ascii="Times New Roman" w:eastAsia="Times New Roman" w:hAnsi="Times New Roman" w:cs="Times New Roman"/>
          <w:sz w:val="22"/>
          <w:szCs w:val="22"/>
          <w:lang w:val="en-US"/>
        </w:rPr>
        <w:t>Dynamic mass spectrometry</w:t>
      </w:r>
      <w:r w:rsidRPr="0084570B">
        <w:rPr>
          <w:rFonts w:ascii="Times New Roman" w:eastAsia="Times New Roman" w:hAnsi="Times New Roman" w:cs="Times New Roman"/>
          <w:sz w:val="22"/>
          <w:szCs w:val="22"/>
          <w:lang w:val="en-US"/>
        </w:rPr>
        <w:t xml:space="preserve"> data </w:t>
      </w:r>
      <w:r w:rsidR="003F0B84" w:rsidRPr="0084570B">
        <w:rPr>
          <w:rFonts w:ascii="Times New Roman" w:eastAsia="Times New Roman" w:hAnsi="Times New Roman" w:cs="Times New Roman"/>
          <w:sz w:val="22"/>
          <w:szCs w:val="22"/>
          <w:lang w:val="en-US"/>
        </w:rPr>
        <w:t xml:space="preserve">obtained in this study </w:t>
      </w:r>
      <w:r w:rsidRPr="0084570B">
        <w:rPr>
          <w:rFonts w:ascii="Times New Roman" w:eastAsia="Times New Roman" w:hAnsi="Times New Roman" w:cs="Times New Roman"/>
          <w:sz w:val="22"/>
          <w:szCs w:val="22"/>
          <w:lang w:val="en-US"/>
        </w:rPr>
        <w:t>for Etnaean gas reveal only slight heavy Kr isotope enrichments</w:t>
      </w:r>
      <w:r w:rsidR="00706A76"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sz w:val="22"/>
          <w:szCs w:val="22"/>
          <w:lang w:val="en-US"/>
        </w:rPr>
        <w:t>compatible</w:t>
      </w:r>
      <w:r w:rsidR="003F0B84"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sz w:val="22"/>
          <w:szCs w:val="22"/>
          <w:lang w:val="en-US"/>
        </w:rPr>
        <w:t xml:space="preserve">with </w:t>
      </w:r>
      <w:r w:rsidR="003F0B84" w:rsidRPr="0084570B">
        <w:rPr>
          <w:rFonts w:ascii="Times New Roman" w:eastAsia="Times New Roman" w:hAnsi="Times New Roman" w:cs="Times New Roman"/>
          <w:sz w:val="22"/>
          <w:szCs w:val="22"/>
          <w:lang w:val="en-US"/>
        </w:rPr>
        <w:t>minute</w:t>
      </w:r>
      <w:r w:rsidRPr="0084570B">
        <w:rPr>
          <w:rFonts w:ascii="Times New Roman" w:eastAsia="Times New Roman" w:hAnsi="Times New Roman" w:cs="Times New Roman"/>
          <w:sz w:val="22"/>
          <w:szCs w:val="22"/>
          <w:lang w:val="en-US"/>
        </w:rPr>
        <w:t xml:space="preserve"> contribution</w:t>
      </w:r>
      <w:r w:rsidR="003F0B84" w:rsidRPr="0084570B">
        <w:rPr>
          <w:rFonts w:ascii="Times New Roman" w:eastAsia="Times New Roman" w:hAnsi="Times New Roman" w:cs="Times New Roman"/>
          <w:sz w:val="22"/>
          <w:szCs w:val="22"/>
          <w:lang w:val="en-US"/>
        </w:rPr>
        <w:t>s</w:t>
      </w:r>
      <w:r w:rsidRPr="0084570B">
        <w:rPr>
          <w:rFonts w:ascii="Times New Roman" w:eastAsia="Times New Roman" w:hAnsi="Times New Roman" w:cs="Times New Roman"/>
          <w:sz w:val="22"/>
          <w:szCs w:val="22"/>
          <w:lang w:val="en-US"/>
        </w:rPr>
        <w:t xml:space="preserve"> from AVCC-like Kr</w:t>
      </w:r>
      <w:r w:rsidR="00706A76" w:rsidRPr="0084570B">
        <w:rPr>
          <w:rFonts w:ascii="Times New Roman" w:eastAsia="Times New Roman" w:hAnsi="Times New Roman" w:cs="Times New Roman"/>
          <w:sz w:val="22"/>
          <w:szCs w:val="22"/>
          <w:lang w:val="en-US"/>
        </w:rPr>
        <w:t xml:space="preserve"> (</w:t>
      </w:r>
      <w:r w:rsidR="00706A76" w:rsidRPr="0084570B">
        <w:rPr>
          <w:rFonts w:ascii="Times New Roman" w:eastAsia="Times New Roman" w:hAnsi="Times New Roman" w:cs="Times New Roman"/>
          <w:b/>
          <w:sz w:val="22"/>
          <w:szCs w:val="22"/>
          <w:lang w:val="en-US"/>
        </w:rPr>
        <w:t>Figure S4</w:t>
      </w:r>
      <w:r w:rsidR="00706A76"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lang w:val="en-US"/>
        </w:rPr>
        <w:t xml:space="preserve">. For Eifel, </w:t>
      </w:r>
      <w:r w:rsidR="00665A71" w:rsidRPr="0084570B">
        <w:rPr>
          <w:rFonts w:ascii="Times New Roman" w:eastAsia="Times New Roman" w:hAnsi="Times New Roman" w:cs="Times New Roman"/>
          <w:sz w:val="22"/>
          <w:szCs w:val="22"/>
          <w:lang w:val="en-US"/>
        </w:rPr>
        <w:t xml:space="preserve">where </w:t>
      </w:r>
      <w:r w:rsidR="003F0B84" w:rsidRPr="0084570B">
        <w:rPr>
          <w:rFonts w:ascii="Times New Roman" w:eastAsia="Times New Roman" w:hAnsi="Times New Roman" w:cs="Times New Roman"/>
          <w:sz w:val="22"/>
          <w:szCs w:val="22"/>
          <w:lang w:val="en-US"/>
        </w:rPr>
        <w:t>≥25% of the measured gas is directly sourced from the convecting mantle</w:t>
      </w:r>
      <w:r w:rsidR="003F0B84" w:rsidRPr="0084570B">
        <w:rPr>
          <w:rFonts w:ascii="Times New Roman" w:hAnsi="Times New Roman" w:cs="Times New Roman"/>
          <w:b/>
          <w:sz w:val="22"/>
          <w:szCs w:val="22"/>
          <w:lang w:val="en-US"/>
        </w:rPr>
        <w:fldChar w:fldCharType="begin" w:fldLock="1"/>
      </w:r>
      <w:r w:rsidR="003F0B84" w:rsidRPr="0084570B">
        <w:rPr>
          <w:rFonts w:ascii="Times New Roman" w:hAnsi="Times New Roman" w:cs="Times New Roman"/>
          <w:b/>
          <w:sz w:val="22"/>
          <w:szCs w:val="22"/>
          <w:lang w:val="en-US"/>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003F0B84" w:rsidRPr="0084570B">
        <w:rPr>
          <w:rFonts w:ascii="Cambria Math" w:hAnsi="Cambria Math" w:cs="Cambria Math"/>
          <w:b/>
          <w:sz w:val="22"/>
          <w:szCs w:val="22"/>
          <w:lang w:val="en-US"/>
        </w:rPr>
        <w:instrText>∼</w:instrText>
      </w:r>
      <w:r w:rsidR="003F0B84" w:rsidRPr="0084570B">
        <w:rPr>
          <w:rFonts w:ascii="Times New Roman" w:hAnsi="Times New Roman" w:cs="Times New Roman"/>
          <w:b/>
          <w:sz w:val="22"/>
          <w:szCs w:val="22"/>
          <w:lang w:val="en-US"/>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Letters","id":"ITEM-1","issue":"115766","issued":{"date-parts":[["2019"]]},"title":"Novel insights into the degassing history of Earth's mantle from high precision noble gas analysis of magmatic gas","type":"article-journal","volume":"525"},"uris":["http://www.mendeley.com/documents/?uuid=bd143ecc-58c9-4e80-8771-fe3b0f39a95e"]}],"mendeley":{"formattedCitation":"&lt;sup&gt;7&lt;/sup&gt;","plainTextFormattedCitation":"7","previouslyFormattedCitation":"&lt;sup&gt;7&lt;/sup&gt;"},"properties":{"noteIndex":0},"schema":"https://github.com/citation-style-language/schema/raw/master/csl-citation.json"}</w:instrText>
      </w:r>
      <w:r w:rsidR="003F0B84" w:rsidRPr="0084570B">
        <w:rPr>
          <w:rFonts w:ascii="Times New Roman" w:hAnsi="Times New Roman" w:cs="Times New Roman"/>
          <w:b/>
          <w:sz w:val="22"/>
          <w:szCs w:val="22"/>
          <w:lang w:val="en-US"/>
        </w:rPr>
        <w:fldChar w:fldCharType="separate"/>
      </w:r>
      <w:r w:rsidR="003F0B84" w:rsidRPr="0084570B">
        <w:rPr>
          <w:rFonts w:ascii="Times New Roman" w:hAnsi="Times New Roman" w:cs="Times New Roman"/>
          <w:noProof/>
          <w:sz w:val="22"/>
          <w:szCs w:val="22"/>
          <w:vertAlign w:val="superscript"/>
          <w:lang w:val="en-US"/>
        </w:rPr>
        <w:t>7</w:t>
      </w:r>
      <w:r w:rsidR="003F0B84" w:rsidRPr="0084570B">
        <w:rPr>
          <w:rFonts w:ascii="Times New Roman" w:hAnsi="Times New Roman" w:cs="Times New Roman"/>
          <w:b/>
          <w:sz w:val="22"/>
          <w:szCs w:val="22"/>
          <w:lang w:val="en-US"/>
        </w:rPr>
        <w:fldChar w:fldCharType="end"/>
      </w:r>
      <w:r w:rsidR="003F0B84" w:rsidRPr="0084570B">
        <w:rPr>
          <w:rFonts w:ascii="Times New Roman" w:eastAsia="Times New Roman" w:hAnsi="Times New Roman" w:cs="Times New Roman"/>
          <w:sz w:val="22"/>
          <w:szCs w:val="22"/>
          <w:lang w:val="en-US"/>
        </w:rPr>
        <w:t>, t</w:t>
      </w:r>
      <w:r w:rsidRPr="0084570B">
        <w:rPr>
          <w:rFonts w:ascii="Times New Roman" w:eastAsia="Times New Roman" w:hAnsi="Times New Roman" w:cs="Times New Roman"/>
          <w:sz w:val="22"/>
          <w:szCs w:val="22"/>
          <w:lang w:val="en-US"/>
        </w:rPr>
        <w:t xml:space="preserve">he Kr isotope </w:t>
      </w:r>
      <w:r w:rsidR="00F86A0D" w:rsidRPr="0084570B">
        <w:rPr>
          <w:rFonts w:ascii="Times New Roman" w:eastAsia="Times New Roman" w:hAnsi="Times New Roman" w:cs="Times New Roman"/>
          <w:sz w:val="22"/>
          <w:szCs w:val="22"/>
          <w:lang w:val="en-US"/>
        </w:rPr>
        <w:t>composition</w:t>
      </w:r>
      <w:r w:rsidRPr="0084570B">
        <w:rPr>
          <w:rFonts w:ascii="Times New Roman" w:eastAsia="Times New Roman" w:hAnsi="Times New Roman" w:cs="Times New Roman"/>
          <w:sz w:val="22"/>
          <w:szCs w:val="22"/>
          <w:lang w:val="en-US"/>
        </w:rPr>
        <w:t xml:space="preserve"> is</w:t>
      </w:r>
      <w:r w:rsidR="003F0B84" w:rsidRPr="0084570B">
        <w:rPr>
          <w:rFonts w:ascii="Times New Roman" w:eastAsia="Times New Roman" w:hAnsi="Times New Roman" w:cs="Times New Roman"/>
          <w:sz w:val="22"/>
          <w:szCs w:val="22"/>
          <w:lang w:val="en-US"/>
        </w:rPr>
        <w:t xml:space="preserve"> found to be</w:t>
      </w:r>
      <w:r w:rsidRPr="0084570B">
        <w:rPr>
          <w:rFonts w:ascii="Times New Roman" w:eastAsia="Times New Roman" w:hAnsi="Times New Roman" w:cs="Times New Roman"/>
          <w:sz w:val="22"/>
          <w:szCs w:val="22"/>
          <w:lang w:val="en-US"/>
        </w:rPr>
        <w:t xml:space="preserve"> indistinguishable from air within uncert</w:t>
      </w:r>
      <w:r w:rsidR="003F0B84" w:rsidRPr="0084570B">
        <w:rPr>
          <w:rFonts w:ascii="Times New Roman" w:eastAsia="Times New Roman" w:hAnsi="Times New Roman" w:cs="Times New Roman"/>
          <w:sz w:val="22"/>
          <w:szCs w:val="22"/>
          <w:lang w:val="en-US"/>
        </w:rPr>
        <w:t>ainty</w:t>
      </w:r>
      <w:r w:rsidRPr="0084570B">
        <w:rPr>
          <w:rFonts w:ascii="Times New Roman" w:eastAsia="Times New Roman" w:hAnsi="Times New Roman" w:cs="Times New Roman"/>
          <w:sz w:val="22"/>
          <w:szCs w:val="22"/>
          <w:lang w:val="en-US"/>
        </w:rPr>
        <w:t xml:space="preserve">. This suggests that non-radiogenic </w:t>
      </w:r>
      <w:r w:rsidR="00645E96" w:rsidRPr="0084570B">
        <w:rPr>
          <w:rFonts w:ascii="Times New Roman" w:eastAsia="Times New Roman" w:hAnsi="Times New Roman" w:cs="Times New Roman"/>
          <w:sz w:val="22"/>
          <w:szCs w:val="22"/>
          <w:lang w:val="en-US"/>
        </w:rPr>
        <w:t>Kr</w:t>
      </w:r>
      <w:r w:rsidRPr="0084570B">
        <w:rPr>
          <w:rFonts w:ascii="Times New Roman" w:eastAsia="Times New Roman" w:hAnsi="Times New Roman" w:cs="Times New Roman"/>
          <w:sz w:val="22"/>
          <w:szCs w:val="22"/>
          <w:lang w:val="en-US"/>
        </w:rPr>
        <w:t xml:space="preserve"> in the mantle almost entirely derive</w:t>
      </w:r>
      <w:r w:rsidR="00645E96" w:rsidRPr="0084570B">
        <w:rPr>
          <w:rFonts w:ascii="Times New Roman" w:eastAsia="Times New Roman" w:hAnsi="Times New Roman" w:cs="Times New Roman"/>
          <w:sz w:val="22"/>
          <w:szCs w:val="22"/>
          <w:lang w:val="en-US"/>
        </w:rPr>
        <w:t>s</w:t>
      </w:r>
      <w:r w:rsidRPr="0084570B">
        <w:rPr>
          <w:rFonts w:ascii="Times New Roman" w:eastAsia="Times New Roman" w:hAnsi="Times New Roman" w:cs="Times New Roman"/>
          <w:sz w:val="22"/>
          <w:szCs w:val="22"/>
          <w:lang w:val="en-US"/>
        </w:rPr>
        <w:t xml:space="preserve"> from the recycling of surface components via subduction, </w:t>
      </w:r>
      <w:r w:rsidR="00645E96" w:rsidRPr="0084570B">
        <w:rPr>
          <w:rFonts w:ascii="Times New Roman" w:eastAsia="Times New Roman" w:hAnsi="Times New Roman" w:cs="Times New Roman"/>
          <w:sz w:val="22"/>
          <w:szCs w:val="22"/>
          <w:lang w:val="en-US"/>
        </w:rPr>
        <w:t>which is consistent with Xe isotope systematics (</w:t>
      </w:r>
      <w:r w:rsidR="00706A76" w:rsidRPr="0084570B">
        <w:rPr>
          <w:rFonts w:ascii="Times New Roman" w:eastAsia="Times New Roman" w:hAnsi="Times New Roman" w:cs="Times New Roman"/>
          <w:b/>
          <w:sz w:val="22"/>
          <w:szCs w:val="22"/>
          <w:lang w:val="en-US"/>
        </w:rPr>
        <w:t>Figure</w:t>
      </w:r>
      <w:r w:rsidR="00645E96" w:rsidRPr="0084570B">
        <w:rPr>
          <w:rFonts w:ascii="Times New Roman" w:eastAsia="Times New Roman" w:hAnsi="Times New Roman" w:cs="Times New Roman"/>
          <w:b/>
          <w:sz w:val="22"/>
          <w:szCs w:val="22"/>
          <w:lang w:val="en-US"/>
        </w:rPr>
        <w:t> S3</w:t>
      </w:r>
      <w:r w:rsidR="00645E96" w:rsidRPr="0084570B">
        <w:rPr>
          <w:rFonts w:ascii="Times New Roman" w:eastAsia="Times New Roman" w:hAnsi="Times New Roman" w:cs="Times New Roman"/>
          <w:sz w:val="22"/>
          <w:szCs w:val="22"/>
          <w:lang w:val="en-US"/>
        </w:rPr>
        <w:t>)</w:t>
      </w:r>
      <w:r w:rsidR="00F86A0D" w:rsidRPr="0084570B">
        <w:rPr>
          <w:rFonts w:ascii="Times New Roman" w:eastAsia="Times New Roman" w:hAnsi="Times New Roman" w:cs="Times New Roman"/>
          <w:sz w:val="22"/>
          <w:szCs w:val="22"/>
          <w:lang w:val="en-US"/>
        </w:rPr>
        <w:t xml:space="preserve"> and with the proposal that the subduction has more drastically affected the budget of mantle </w:t>
      </w:r>
      <w:r w:rsidR="00E03C67" w:rsidRPr="0084570B">
        <w:rPr>
          <w:rFonts w:ascii="Times New Roman" w:eastAsia="Times New Roman" w:hAnsi="Times New Roman" w:cs="Times New Roman"/>
          <w:sz w:val="22"/>
          <w:szCs w:val="22"/>
          <w:lang w:val="en-US"/>
        </w:rPr>
        <w:t>heavy noble gases</w:t>
      </w:r>
      <w:r w:rsidR="00F86A0D" w:rsidRPr="0084570B">
        <w:rPr>
          <w:rFonts w:ascii="Times New Roman" w:eastAsia="Times New Roman" w:hAnsi="Times New Roman" w:cs="Times New Roman"/>
          <w:sz w:val="22"/>
          <w:szCs w:val="22"/>
          <w:lang w:val="en-US"/>
        </w:rPr>
        <w:t xml:space="preserve"> than previously </w:t>
      </w:r>
      <w:r w:rsidR="006A7103" w:rsidRPr="0084570B">
        <w:rPr>
          <w:rFonts w:ascii="Times New Roman" w:eastAsia="Times New Roman" w:hAnsi="Times New Roman" w:cs="Times New Roman"/>
          <w:sz w:val="22"/>
          <w:szCs w:val="22"/>
          <w:lang w:val="en-US"/>
        </w:rPr>
        <w:t>thought</w:t>
      </w:r>
      <w:r w:rsidR="00F86A0D" w:rsidRPr="0084570B">
        <w:rPr>
          <w:rFonts w:ascii="Times New Roman" w:eastAsia="Times New Roman" w:hAnsi="Times New Roman" w:cs="Times New Roman"/>
          <w:sz w:val="22"/>
          <w:szCs w:val="22"/>
          <w:lang w:val="en-US"/>
        </w:rPr>
        <w:t>.</w:t>
      </w:r>
      <w:r w:rsidR="000A5292" w:rsidRPr="0084570B">
        <w:rPr>
          <w:rFonts w:ascii="Times New Roman" w:eastAsia="Times New Roman" w:hAnsi="Times New Roman" w:cs="Times New Roman"/>
          <w:sz w:val="22"/>
          <w:szCs w:val="22"/>
          <w:lang w:val="en-US"/>
        </w:rPr>
        <w:t xml:space="preserve"> However, there are two very important points that one needs to make here: </w:t>
      </w:r>
    </w:p>
    <w:p w14:paraId="14B1FE65" w14:textId="77777777" w:rsidR="00FE2A0E" w:rsidRPr="0084570B" w:rsidRDefault="00FE2A0E" w:rsidP="001914C6">
      <w:pPr>
        <w:pStyle w:val="Normal1"/>
        <w:spacing w:line="360" w:lineRule="auto"/>
        <w:jc w:val="both"/>
        <w:rPr>
          <w:rFonts w:ascii="Times New Roman" w:eastAsia="Times New Roman" w:hAnsi="Times New Roman" w:cs="Times New Roman"/>
          <w:sz w:val="22"/>
          <w:szCs w:val="22"/>
          <w:lang w:val="en-US"/>
        </w:rPr>
      </w:pPr>
    </w:p>
    <w:p w14:paraId="35467906" w14:textId="73757BDB" w:rsidR="00265BDB" w:rsidRPr="0084570B" w:rsidRDefault="000A5292" w:rsidP="001914C6">
      <w:pPr>
        <w:pStyle w:val="Normal1"/>
        <w:spacing w:line="360" w:lineRule="auto"/>
        <w:jc w:val="both"/>
        <w:rPr>
          <w:rFonts w:ascii="Times New Roman" w:eastAsia="Times New Roman" w:hAnsi="Times New Roman" w:cs="Times New Roman"/>
          <w:color w:val="222222"/>
          <w:sz w:val="22"/>
          <w:szCs w:val="22"/>
          <w:lang w:val="en-US"/>
        </w:rPr>
      </w:pPr>
      <w:r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b/>
          <w:sz w:val="22"/>
          <w:szCs w:val="22"/>
          <w:lang w:val="en-US"/>
        </w:rPr>
        <w:t xml:space="preserve">1- </w:t>
      </w:r>
      <w:r w:rsidRPr="0084570B">
        <w:rPr>
          <w:rFonts w:ascii="Times New Roman" w:eastAsia="Times New Roman" w:hAnsi="Times New Roman" w:cs="Times New Roman"/>
          <w:color w:val="222222"/>
          <w:sz w:val="22"/>
          <w:szCs w:val="22"/>
          <w:lang w:val="en-US"/>
        </w:rPr>
        <w:t xml:space="preserve">Péron </w:t>
      </w:r>
      <w:r w:rsidRPr="0084570B">
        <w:rPr>
          <w:rFonts w:ascii="Times New Roman" w:eastAsia="Times New Roman" w:hAnsi="Times New Roman" w:cs="Times New Roman"/>
          <w:i/>
          <w:color w:val="222222"/>
          <w:sz w:val="22"/>
          <w:szCs w:val="22"/>
          <w:lang w:val="en-US"/>
        </w:rPr>
        <w:t>et al.</w:t>
      </w:r>
      <w:r w:rsidRPr="0084570B">
        <w:rPr>
          <w:rFonts w:ascii="Times New Roman" w:eastAsia="Times New Roman" w:hAnsi="Times New Roman" w:cs="Times New Roman"/>
          <w:color w:val="222222"/>
          <w:sz w:val="22"/>
          <w:szCs w:val="22"/>
          <w:lang w:val="en-US"/>
        </w:rPr>
        <w:fldChar w:fldCharType="begin" w:fldLock="1"/>
      </w:r>
      <w:r w:rsidR="00A249A4">
        <w:rPr>
          <w:rFonts w:ascii="Times New Roman" w:eastAsia="Times New Roman" w:hAnsi="Times New Roman" w:cs="Times New Roman"/>
          <w:color w:val="222222"/>
          <w:sz w:val="22"/>
          <w:szCs w:val="22"/>
          <w:lang w:val="en-US"/>
        </w:rPr>
        <w:instrText>ADDIN CSL_CITATION {"citationItems":[{"id":"ITEM-1","itemData":{"DOI":"10.1038/s41586-021-04092-z","ISSN":"14764687","PMID":"34912082","abstract":"Establishing when, and from where, carbon, nitrogen and water were delivered to Earth is a fundamental objective in understanding the origin of habitable planets such as Earth. Yet, volatile delivery to Earth remains controversial1–5. Krypton isotopes provide insights on volatile delivery owing to their substantial isotopic variations among sources6–10, although pervasive atmospheric contamination has hampered analytical efforts. Here we present the full suite of krypton isotopes from the deep mantle of the Galápagos and Iceland plumes, which have the most primitive helium, neon and tungsten isotopic compositions11–16. Except for 86Kr, the krypton isotopic compositions are similar to a mixture of chondritic and atmospheric krypton. These results suggest early accretion of carbonaceous material by proto-Earth and rule out any combination of hydrodynamic loss with outgassing of the deep or shallow mantle to explain atmospheric noble gases. Unexpectedly, the deep-mantle sources have a deficit in the neutron-rich 86Kr relative to the average composition of carbonaceous meteorites, which suggests a nucleosynthetic anomaly. Although the relative depletion of neutron-rich isotopes on Earth compared with carbonaceous meteorites has been documented for a range of refractory elements1,17,18, our observations suggest such a depletion for a volatile element. This finding indicates that accretion of volatile and refractory elements occurred simultaneously, with krypton recording concomitant accretion of non-solar volatiles from more than one type of material, possibly including outer Solar System planetesimals.","author":[{"dropping-particle":"","family":"Péron","given":"Sandrine","non-dropping-particle":"","parse-names":false,"suffix":""},{"dropping-particle":"","family":"Mukhopadhyay","given":"Sujoy","non-dropping-particle":"","parse-names":false,"suffix":""},{"dropping-particle":"","family":"Kurz","given":"Mark D.","non-dropping-particle":"","parse-names":false,"suffix":""},{"dropping-particle":"","family":"Graham","given":"David W.","non-dropping-particle":"","parse-names":false,"suffix":""}],"container-title":"Nature","id":"ITEM-1","issue":"7889","issued":{"date-parts":[["2021"]]},"page":"462-467","publisher":"Springer US","title":"Deep-mantle krypton reveals Earth’s early accretion of carbonaceous matter","type":"article-journal","volume":"600"},"uris":["http://www.mendeley.com/documents/?uuid=e7533023-8039-425f-9db3-a4b6ca5d10a4"]}],"mendeley":{"formattedCitation":"&lt;sup&gt;57&lt;/sup&gt;","plainTextFormattedCitation":"57","previouslyFormattedCitation":"&lt;sup&gt;57&lt;/sup&gt;"},"properties":{"noteIndex":0},"schema":"https://github.com/citation-style-language/schema/raw/master/csl-citation.json"}</w:instrText>
      </w:r>
      <w:r w:rsidRPr="0084570B">
        <w:rPr>
          <w:rFonts w:ascii="Times New Roman" w:eastAsia="Times New Roman" w:hAnsi="Times New Roman" w:cs="Times New Roman"/>
          <w:color w:val="222222"/>
          <w:sz w:val="22"/>
          <w:szCs w:val="22"/>
          <w:lang w:val="en-US"/>
        </w:rPr>
        <w:fldChar w:fldCharType="separate"/>
      </w:r>
      <w:r w:rsidR="00DD29E3" w:rsidRPr="00DD29E3">
        <w:rPr>
          <w:rFonts w:ascii="Times New Roman" w:eastAsia="Times New Roman" w:hAnsi="Times New Roman" w:cs="Times New Roman"/>
          <w:noProof/>
          <w:color w:val="222222"/>
          <w:sz w:val="22"/>
          <w:szCs w:val="22"/>
          <w:vertAlign w:val="superscript"/>
          <w:lang w:val="en-US"/>
        </w:rPr>
        <w:t>57</w:t>
      </w:r>
      <w:r w:rsidRPr="0084570B">
        <w:rPr>
          <w:rFonts w:ascii="Times New Roman" w:eastAsia="Times New Roman" w:hAnsi="Times New Roman" w:cs="Times New Roman"/>
          <w:color w:val="222222"/>
          <w:sz w:val="22"/>
          <w:szCs w:val="22"/>
          <w:lang w:val="en-US"/>
        </w:rPr>
        <w:fldChar w:fldCharType="end"/>
      </w:r>
      <w:r w:rsidRPr="0084570B">
        <w:rPr>
          <w:rFonts w:ascii="Times New Roman" w:eastAsia="Times New Roman" w:hAnsi="Times New Roman" w:cs="Times New Roman"/>
          <w:color w:val="222222"/>
          <w:sz w:val="22"/>
          <w:szCs w:val="22"/>
          <w:lang w:val="en-US"/>
        </w:rPr>
        <w:t xml:space="preserve"> </w:t>
      </w:r>
      <w:r w:rsidR="001E16FD" w:rsidRPr="0084570B">
        <w:rPr>
          <w:rFonts w:ascii="Times New Roman" w:eastAsia="Times New Roman" w:hAnsi="Times New Roman" w:cs="Times New Roman"/>
          <w:color w:val="222222"/>
          <w:sz w:val="22"/>
          <w:szCs w:val="22"/>
          <w:lang w:val="en-US"/>
        </w:rPr>
        <w:t>used</w:t>
      </w:r>
      <w:r w:rsidRPr="0084570B">
        <w:rPr>
          <w:rFonts w:ascii="Times New Roman" w:eastAsia="Times New Roman" w:hAnsi="Times New Roman" w:cs="Times New Roman"/>
          <w:color w:val="222222"/>
          <w:sz w:val="22"/>
          <w:szCs w:val="22"/>
          <w:lang w:val="en-US"/>
        </w:rPr>
        <w:t xml:space="preserve"> the average and standard error of Kr isotope compositions from a subset of carbonaceous chondrites</w:t>
      </w:r>
      <w:r w:rsidR="001E16FD" w:rsidRPr="0084570B">
        <w:rPr>
          <w:rFonts w:ascii="Times New Roman" w:eastAsia="Times New Roman" w:hAnsi="Times New Roman" w:cs="Times New Roman"/>
          <w:color w:val="222222"/>
          <w:sz w:val="22"/>
          <w:szCs w:val="22"/>
          <w:lang w:val="en-US"/>
        </w:rPr>
        <w:t xml:space="preserve"> to define the AVCC composition used in this study</w:t>
      </w:r>
      <w:r w:rsidRPr="0084570B">
        <w:rPr>
          <w:rFonts w:ascii="Times New Roman" w:eastAsia="Times New Roman" w:hAnsi="Times New Roman" w:cs="Times New Roman"/>
          <w:color w:val="222222"/>
          <w:sz w:val="22"/>
          <w:szCs w:val="22"/>
          <w:lang w:val="en-US"/>
        </w:rPr>
        <w:t xml:space="preserve">. The authors proposed that </w:t>
      </w:r>
      <w:r w:rsidRPr="0084570B">
        <w:rPr>
          <w:rFonts w:ascii="Times New Roman" w:eastAsia="Times New Roman" w:hAnsi="Times New Roman" w:cs="Times New Roman"/>
          <w:sz w:val="22"/>
          <w:szCs w:val="22"/>
          <w:lang w:val="en-US"/>
        </w:rPr>
        <w:t>small deviations from this composition should represent mantle Kr nucleosynthetic anomalies</w:t>
      </w:r>
      <w:r w:rsidR="00C24E6F" w:rsidRPr="0084570B">
        <w:rPr>
          <w:rFonts w:ascii="Times New Roman" w:eastAsia="Times New Roman" w:hAnsi="Times New Roman" w:cs="Times New Roman"/>
          <w:color w:val="222222"/>
          <w:sz w:val="22"/>
          <w:szCs w:val="22"/>
          <w:lang w:val="en-US"/>
        </w:rPr>
        <w:fldChar w:fldCharType="begin" w:fldLock="1"/>
      </w:r>
      <w:r w:rsidR="00A249A4">
        <w:rPr>
          <w:rFonts w:ascii="Times New Roman" w:eastAsia="Times New Roman" w:hAnsi="Times New Roman" w:cs="Times New Roman"/>
          <w:color w:val="222222"/>
          <w:sz w:val="22"/>
          <w:szCs w:val="22"/>
          <w:lang w:val="en-US"/>
        </w:rPr>
        <w:instrText>ADDIN CSL_CITATION {"citationItems":[{"id":"ITEM-1","itemData":{"DOI":"10.1038/s41586-021-04092-z","ISSN":"14764687","PMID":"34912082","abstract":"Establishing when, and from where, carbon, nitrogen and water were delivered to Earth is a fundamental objective in understanding the origin of habitable planets such as Earth. Yet, volatile delivery to Earth remains controversial1–5. Krypton isotopes provide insights on volatile delivery owing to their substantial isotopic variations among sources6–10, although pervasive atmospheric contamination has hampered analytical efforts. Here we present the full suite of krypton isotopes from the deep mantle of the Galápagos and Iceland plumes, which have the most primitive helium, neon and tungsten isotopic compositions11–16. Except for 86Kr, the krypton isotopic compositions are similar to a mixture of chondritic and atmospheric krypton. These results suggest early accretion of carbonaceous material by proto-Earth and rule out any combination of hydrodynamic loss with outgassing of the deep or shallow mantle to explain atmospheric noble gases. Unexpectedly, the deep-mantle sources have a deficit in the neutron-rich 86Kr relative to the average composition of carbonaceous meteorites, which suggests a nucleosynthetic anomaly. Although the relative depletion of neutron-rich isotopes on Earth compared with carbonaceous meteorites has been documented for a range of refractory elements1,17,18, our observations suggest such a depletion for a volatile element. This finding indicates that accretion of volatile and refractory elements occurred simultaneously, with krypton recording concomitant accretion of non-solar volatiles from more than one type of material, possibly including outer Solar System planetesimals.","author":[{"dropping-particle":"","family":"Péron","given":"Sandrine","non-dropping-particle":"","parse-names":false,"suffix":""},{"dropping-particle":"","family":"Mukhopadhyay","given":"Sujoy","non-dropping-particle":"","parse-names":false,"suffix":""},{"dropping-particle":"","family":"Kurz","given":"Mark D.","non-dropping-particle":"","parse-names":false,"suffix":""},{"dropping-particle":"","family":"Graham","given":"David W.","non-dropping-particle":"","parse-names":false,"suffix":""}],"container-title":"Nature","id":"ITEM-1","issue":"7889","issued":{"date-parts":[["2021"]]},"page":"462-467","publisher":"Springer US","title":"Deep-mantle krypton reveals Earth’s early accretion of carbonaceous matter","type":"article-journal","volume":"600"},"uris":["http://www.mendeley.com/documents/?uuid=e7533023-8039-425f-9db3-a4b6ca5d10a4"]}],"mendeley":{"formattedCitation":"&lt;sup&gt;57&lt;/sup&gt;","plainTextFormattedCitation":"57","previouslyFormattedCitation":"&lt;sup&gt;57&lt;/sup&gt;"},"properties":{"noteIndex":0},"schema":"https://github.com/citation-style-language/schema/raw/master/csl-citation.json"}</w:instrText>
      </w:r>
      <w:r w:rsidR="00C24E6F" w:rsidRPr="0084570B">
        <w:rPr>
          <w:rFonts w:ascii="Times New Roman" w:eastAsia="Times New Roman" w:hAnsi="Times New Roman" w:cs="Times New Roman"/>
          <w:color w:val="222222"/>
          <w:sz w:val="22"/>
          <w:szCs w:val="22"/>
          <w:lang w:val="en-US"/>
        </w:rPr>
        <w:fldChar w:fldCharType="separate"/>
      </w:r>
      <w:r w:rsidR="00DD29E3" w:rsidRPr="00DD29E3">
        <w:rPr>
          <w:rFonts w:ascii="Times New Roman" w:eastAsia="Times New Roman" w:hAnsi="Times New Roman" w:cs="Times New Roman"/>
          <w:noProof/>
          <w:color w:val="222222"/>
          <w:sz w:val="22"/>
          <w:szCs w:val="22"/>
          <w:vertAlign w:val="superscript"/>
          <w:lang w:val="en-US"/>
        </w:rPr>
        <w:t>57</w:t>
      </w:r>
      <w:r w:rsidR="00C24E6F" w:rsidRPr="0084570B">
        <w:rPr>
          <w:rFonts w:ascii="Times New Roman" w:eastAsia="Times New Roman" w:hAnsi="Times New Roman" w:cs="Times New Roman"/>
          <w:color w:val="222222"/>
          <w:sz w:val="22"/>
          <w:szCs w:val="22"/>
          <w:lang w:val="en-US"/>
        </w:rPr>
        <w:fldChar w:fldCharType="end"/>
      </w:r>
      <w:r w:rsidRPr="0084570B">
        <w:rPr>
          <w:rFonts w:ascii="Times New Roman" w:eastAsia="Times New Roman" w:hAnsi="Times New Roman" w:cs="Times New Roman"/>
          <w:sz w:val="22"/>
          <w:szCs w:val="22"/>
          <w:lang w:val="en-US"/>
        </w:rPr>
        <w:t xml:space="preserve">, which are not observed in this study. </w:t>
      </w:r>
      <w:r w:rsidR="006857F5" w:rsidRPr="0084570B">
        <w:rPr>
          <w:rFonts w:ascii="Times New Roman" w:eastAsia="Times New Roman" w:hAnsi="Times New Roman" w:cs="Times New Roman"/>
          <w:sz w:val="22"/>
          <w:szCs w:val="22"/>
          <w:lang w:val="en-US"/>
        </w:rPr>
        <w:t>A</w:t>
      </w:r>
      <w:r w:rsidR="005A72D4" w:rsidRPr="0084570B">
        <w:rPr>
          <w:rFonts w:ascii="Times New Roman" w:eastAsia="Times New Roman" w:hAnsi="Times New Roman" w:cs="Times New Roman"/>
          <w:sz w:val="22"/>
          <w:szCs w:val="22"/>
          <w:lang w:val="en-US"/>
        </w:rPr>
        <w:t xml:space="preserve">s shown on </w:t>
      </w:r>
      <w:r w:rsidR="005A72D4" w:rsidRPr="0084570B">
        <w:rPr>
          <w:rFonts w:ascii="Times New Roman" w:eastAsia="Times New Roman" w:hAnsi="Times New Roman" w:cs="Times New Roman"/>
          <w:b/>
          <w:sz w:val="22"/>
          <w:szCs w:val="22"/>
          <w:lang w:val="en-US"/>
        </w:rPr>
        <w:t>Figure S</w:t>
      </w:r>
      <w:r w:rsidR="00832649" w:rsidRPr="0084570B">
        <w:rPr>
          <w:rFonts w:ascii="Times New Roman" w:eastAsia="Times New Roman" w:hAnsi="Times New Roman" w:cs="Times New Roman"/>
          <w:b/>
          <w:sz w:val="22"/>
          <w:szCs w:val="22"/>
          <w:lang w:val="en-US"/>
        </w:rPr>
        <w:t>3</w:t>
      </w:r>
      <w:r w:rsidR="005A72D4"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sz w:val="22"/>
          <w:szCs w:val="22"/>
          <w:lang w:val="en-US"/>
        </w:rPr>
        <w:t>bulk carbonaceous chondrite Kr i</w:t>
      </w:r>
      <w:r w:rsidR="005A72D4" w:rsidRPr="0084570B">
        <w:rPr>
          <w:rFonts w:ascii="Times New Roman" w:eastAsia="Times New Roman" w:hAnsi="Times New Roman" w:cs="Times New Roman"/>
          <w:sz w:val="22"/>
          <w:szCs w:val="22"/>
          <w:lang w:val="en-US"/>
        </w:rPr>
        <w:t xml:space="preserve">sotope data are highly variable, and so </w:t>
      </w:r>
      <w:r w:rsidRPr="0084570B">
        <w:rPr>
          <w:rFonts w:ascii="Times New Roman" w:eastAsia="Times New Roman" w:hAnsi="Times New Roman" w:cs="Times New Roman"/>
          <w:sz w:val="22"/>
          <w:szCs w:val="22"/>
          <w:lang w:val="en-US"/>
        </w:rPr>
        <w:t xml:space="preserve">we </w:t>
      </w:r>
      <w:r w:rsidR="006857F5" w:rsidRPr="0084570B">
        <w:rPr>
          <w:rFonts w:ascii="Times New Roman" w:eastAsia="Times New Roman" w:hAnsi="Times New Roman" w:cs="Times New Roman"/>
          <w:sz w:val="22"/>
          <w:szCs w:val="22"/>
          <w:lang w:val="en-US"/>
        </w:rPr>
        <w:t xml:space="preserve">would </w:t>
      </w:r>
      <w:r w:rsidRPr="0084570B">
        <w:rPr>
          <w:rFonts w:ascii="Times New Roman" w:eastAsia="Times New Roman" w:hAnsi="Times New Roman" w:cs="Times New Roman"/>
          <w:sz w:val="22"/>
          <w:szCs w:val="22"/>
          <w:lang w:val="en-US"/>
        </w:rPr>
        <w:t xml:space="preserve">caution against overinterpreting Kr isotope </w:t>
      </w:r>
      <w:r w:rsidR="00B8584A" w:rsidRPr="0084570B">
        <w:rPr>
          <w:rFonts w:ascii="Times New Roman" w:eastAsia="Times New Roman" w:hAnsi="Times New Roman" w:cs="Times New Roman"/>
          <w:sz w:val="22"/>
          <w:szCs w:val="22"/>
          <w:lang w:val="en-US"/>
        </w:rPr>
        <w:t>deviations from this</w:t>
      </w:r>
      <w:r w:rsidRPr="0084570B">
        <w:rPr>
          <w:rFonts w:ascii="Times New Roman" w:eastAsia="Times New Roman" w:hAnsi="Times New Roman" w:cs="Times New Roman"/>
          <w:sz w:val="22"/>
          <w:szCs w:val="22"/>
          <w:lang w:val="en-US"/>
        </w:rPr>
        <w:t xml:space="preserve"> </w:t>
      </w:r>
      <w:r w:rsidR="000E0E2B">
        <w:rPr>
          <w:rFonts w:ascii="Times New Roman" w:eastAsia="Times New Roman" w:hAnsi="Times New Roman" w:cs="Times New Roman"/>
          <w:sz w:val="22"/>
          <w:szCs w:val="22"/>
          <w:lang w:val="en-US"/>
        </w:rPr>
        <w:t xml:space="preserve">precisely defined </w:t>
      </w:r>
      <w:r w:rsidRPr="0084570B">
        <w:rPr>
          <w:rFonts w:ascii="Times New Roman" w:eastAsia="Times New Roman" w:hAnsi="Times New Roman" w:cs="Times New Roman"/>
          <w:sz w:val="22"/>
          <w:szCs w:val="22"/>
          <w:lang w:val="en-US"/>
        </w:rPr>
        <w:t>AVCC end-member</w:t>
      </w:r>
      <w:r w:rsidR="00B8584A" w:rsidRPr="0084570B">
        <w:rPr>
          <w:rFonts w:ascii="Times New Roman" w:eastAsia="Times New Roman" w:hAnsi="Times New Roman" w:cs="Times New Roman"/>
          <w:sz w:val="22"/>
          <w:szCs w:val="22"/>
          <w:lang w:val="en-US"/>
        </w:rPr>
        <w:t xml:space="preserve"> as necessarily reflecting mantle source Kr nucleosynthetic anomalies</w:t>
      </w:r>
      <w:r w:rsidR="00B8584A" w:rsidRPr="0084570B">
        <w:rPr>
          <w:rFonts w:ascii="Times New Roman" w:eastAsia="Times New Roman" w:hAnsi="Times New Roman" w:cs="Times New Roman"/>
          <w:color w:val="222222"/>
          <w:sz w:val="22"/>
          <w:szCs w:val="22"/>
          <w:lang w:val="en-US"/>
        </w:rPr>
        <w:fldChar w:fldCharType="begin" w:fldLock="1"/>
      </w:r>
      <w:r w:rsidR="00A249A4">
        <w:rPr>
          <w:rFonts w:ascii="Times New Roman" w:eastAsia="Times New Roman" w:hAnsi="Times New Roman" w:cs="Times New Roman"/>
          <w:color w:val="222222"/>
          <w:sz w:val="22"/>
          <w:szCs w:val="22"/>
          <w:lang w:val="en-US"/>
        </w:rPr>
        <w:instrText>ADDIN CSL_CITATION {"citationItems":[{"id":"ITEM-1","itemData":{"DOI":"10.1038/s41586-021-04092-z","ISSN":"14764687","PMID":"34912082","abstract":"Establishing when, and from where, carbon, nitrogen and water were delivered to Earth is a fundamental objective in understanding the origin of habitable planets such as Earth. Yet, volatile delivery to Earth remains controversial1–5. Krypton isotopes provide insights on volatile delivery owing to their substantial isotopic variations among sources6–10, although pervasive atmospheric contamination has hampered analytical efforts. Here we present the full suite of krypton isotopes from the deep mantle of the Galápagos and Iceland plumes, which have the most primitive helium, neon and tungsten isotopic compositions11–16. Except for 86Kr, the krypton isotopic compositions are similar to a mixture of chondritic and atmospheric krypton. These results suggest early accretion of carbonaceous material by proto-Earth and rule out any combination of hydrodynamic loss with outgassing of the deep or shallow mantle to explain atmospheric noble gases. Unexpectedly, the deep-mantle sources have a deficit in the neutron-rich 86Kr relative to the average composition of carbonaceous meteorites, which suggests a nucleosynthetic anomaly. Although the relative depletion of neutron-rich isotopes on Earth compared with carbonaceous meteorites has been documented for a range of refractory elements1,17,18, our observations suggest such a depletion for a volatile element. This finding indicates that accretion of volatile and refractory elements occurred simultaneously, with krypton recording concomitant accretion of non-solar volatiles from more than one type of material, possibly including outer Solar System planetesimals.","author":[{"dropping-particle":"","family":"Péron","given":"Sandrine","non-dropping-particle":"","parse-names":false,"suffix":""},{"dropping-particle":"","family":"Mukhopadhyay","given":"Sujoy","non-dropping-particle":"","parse-names":false,"suffix":""},{"dropping-particle":"","family":"Kurz","given":"Mark D.","non-dropping-particle":"","parse-names":false,"suffix":""},{"dropping-particle":"","family":"Graham","given":"David W.","non-dropping-particle":"","parse-names":false,"suffix":""}],"container-title":"Nature","id":"ITEM-1","issue":"7889","issued":{"date-parts":[["2021"]]},"page":"462-467","publisher":"Springer US","title":"Deep-mantle krypton reveals Earth’s early accretion of carbonaceous matter","type":"article-journal","volume":"600"},"uris":["http://www.mendeley.com/documents/?uuid=e7533023-8039-425f-9db3-a4b6ca5d10a4"]}],"mendeley":{"formattedCitation":"&lt;sup&gt;57&lt;/sup&gt;","plainTextFormattedCitation":"57","previouslyFormattedCitation":"&lt;sup&gt;57&lt;/sup&gt;"},"properties":{"noteIndex":0},"schema":"https://github.com/citation-style-language/schema/raw/master/csl-citation.json"}</w:instrText>
      </w:r>
      <w:r w:rsidR="00B8584A" w:rsidRPr="0084570B">
        <w:rPr>
          <w:rFonts w:ascii="Times New Roman" w:eastAsia="Times New Roman" w:hAnsi="Times New Roman" w:cs="Times New Roman"/>
          <w:color w:val="222222"/>
          <w:sz w:val="22"/>
          <w:szCs w:val="22"/>
          <w:lang w:val="en-US"/>
        </w:rPr>
        <w:fldChar w:fldCharType="separate"/>
      </w:r>
      <w:r w:rsidR="00DD29E3" w:rsidRPr="00DD29E3">
        <w:rPr>
          <w:rFonts w:ascii="Times New Roman" w:eastAsia="Times New Roman" w:hAnsi="Times New Roman" w:cs="Times New Roman"/>
          <w:noProof/>
          <w:color w:val="222222"/>
          <w:sz w:val="22"/>
          <w:szCs w:val="22"/>
          <w:vertAlign w:val="superscript"/>
          <w:lang w:val="en-US"/>
        </w:rPr>
        <w:t>57</w:t>
      </w:r>
      <w:r w:rsidR="00B8584A" w:rsidRPr="0084570B">
        <w:rPr>
          <w:rFonts w:ascii="Times New Roman" w:eastAsia="Times New Roman" w:hAnsi="Times New Roman" w:cs="Times New Roman"/>
          <w:color w:val="222222"/>
          <w:sz w:val="22"/>
          <w:szCs w:val="22"/>
          <w:lang w:val="en-US"/>
        </w:rPr>
        <w:fldChar w:fldCharType="end"/>
      </w:r>
      <w:r w:rsidR="00B8584A" w:rsidRPr="0084570B">
        <w:rPr>
          <w:rFonts w:ascii="Times New Roman" w:eastAsia="Times New Roman" w:hAnsi="Times New Roman" w:cs="Times New Roman"/>
          <w:color w:val="222222"/>
          <w:sz w:val="22"/>
          <w:szCs w:val="22"/>
          <w:lang w:val="en-US"/>
        </w:rPr>
        <w:t>.</w:t>
      </w:r>
    </w:p>
    <w:p w14:paraId="7038DDD9" w14:textId="77777777" w:rsidR="00265BDB" w:rsidRPr="0084570B" w:rsidRDefault="00265BDB">
      <w:pPr>
        <w:rPr>
          <w:rFonts w:ascii="Times New Roman" w:eastAsia="Times New Roman" w:hAnsi="Times New Roman" w:cs="Times New Roman"/>
          <w:color w:val="222222"/>
          <w:sz w:val="22"/>
          <w:szCs w:val="22"/>
          <w:lang w:val="en-US"/>
        </w:rPr>
      </w:pPr>
      <w:r w:rsidRPr="0084570B">
        <w:rPr>
          <w:rFonts w:ascii="Times New Roman" w:eastAsia="Times New Roman" w:hAnsi="Times New Roman" w:cs="Times New Roman"/>
          <w:color w:val="222222"/>
          <w:sz w:val="22"/>
          <w:szCs w:val="22"/>
          <w:lang w:val="en-US"/>
        </w:rPr>
        <w:br w:type="page"/>
      </w:r>
    </w:p>
    <w:p w14:paraId="50A3AFFD" w14:textId="77777777" w:rsidR="00265BDB" w:rsidRPr="0084570B" w:rsidRDefault="00265BDB" w:rsidP="00265BDB">
      <w:pPr>
        <w:pStyle w:val="Normal1"/>
        <w:spacing w:line="276" w:lineRule="auto"/>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lastRenderedPageBreak/>
        <w:drawing>
          <wp:inline distT="0" distB="0" distL="0" distR="0" wp14:anchorId="51C57C3F" wp14:editId="203C687C">
            <wp:extent cx="5057336" cy="2374003"/>
            <wp:effectExtent l="0" t="0" r="0" b="0"/>
            <wp:docPr id="2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8218" cy="2374417"/>
                    </a:xfrm>
                    <a:prstGeom prst="rect">
                      <a:avLst/>
                    </a:prstGeom>
                    <a:noFill/>
                    <a:ln>
                      <a:noFill/>
                    </a:ln>
                  </pic:spPr>
                </pic:pic>
              </a:graphicData>
            </a:graphic>
          </wp:inline>
        </w:drawing>
      </w:r>
    </w:p>
    <w:p w14:paraId="32A354F4" w14:textId="77777777" w:rsidR="00265BDB" w:rsidRPr="0084570B" w:rsidRDefault="00265BDB" w:rsidP="00265BDB">
      <w:pPr>
        <w:pStyle w:val="Normal1"/>
        <w:spacing w:line="276" w:lineRule="auto"/>
        <w:jc w:val="both"/>
        <w:rPr>
          <w:rFonts w:ascii="Times New Roman" w:eastAsia="Times New Roman" w:hAnsi="Times New Roman" w:cs="Times New Roman"/>
          <w:b/>
          <w:sz w:val="22"/>
          <w:szCs w:val="22"/>
          <w:lang w:val="en-US"/>
        </w:rPr>
      </w:pPr>
    </w:p>
    <w:p w14:paraId="13CACE8C" w14:textId="1F1FB40C" w:rsidR="00645E96" w:rsidRPr="00987E42" w:rsidRDefault="00265BDB" w:rsidP="00987E42">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w:t>
      </w:r>
      <w:r w:rsidR="00832649" w:rsidRPr="0084570B">
        <w:rPr>
          <w:rFonts w:ascii="Times New Roman" w:eastAsia="Times New Roman" w:hAnsi="Times New Roman" w:cs="Times New Roman"/>
          <w:b/>
          <w:sz w:val="22"/>
          <w:szCs w:val="22"/>
          <w:lang w:val="en-US"/>
        </w:rPr>
        <w:t>3</w:t>
      </w:r>
      <w:r w:rsidRPr="0084570B">
        <w:rPr>
          <w:rFonts w:ascii="Times New Roman" w:eastAsia="Times New Roman" w:hAnsi="Times New Roman" w:cs="Times New Roman"/>
          <w:sz w:val="22"/>
          <w:szCs w:val="22"/>
          <w:lang w:val="en-US"/>
        </w:rPr>
        <w:t>. Comparison between AVCC</w:t>
      </w:r>
      <w:r w:rsidRPr="0084570B">
        <w:rPr>
          <w:rFonts w:ascii="Times New Roman" w:eastAsia="Times New Roman" w:hAnsi="Times New Roman" w:cs="Times New Roman"/>
          <w:sz w:val="22"/>
          <w:szCs w:val="22"/>
          <w:lang w:val="en-US"/>
        </w:rPr>
        <w:fldChar w:fldCharType="begin" w:fldLock="1"/>
      </w:r>
      <w:r w:rsidR="00A249A4">
        <w:rPr>
          <w:rFonts w:ascii="Times New Roman" w:eastAsia="Times New Roman" w:hAnsi="Times New Roman" w:cs="Times New Roman"/>
          <w:sz w:val="22"/>
          <w:szCs w:val="22"/>
          <w:lang w:val="en-US"/>
        </w:rPr>
        <w:instrText>ADDIN CSL_CITATION {"citationItems":[{"id":"ITEM-1","itemData":{"DOI":"10.1038/s41586-021-04092-z","ISSN":"14764687","PMID":"34912082","abstract":"Establishing when, and from where, carbon, nitrogen and water were delivered to Earth is a fundamental objective in understanding the origin of habitable planets such as Earth. Yet, volatile delivery to Earth remains controversial1–5. Krypton isotopes provide insights on volatile delivery owing to their substantial isotopic variations among sources6–10, although pervasive atmospheric contamination has hampered analytical efforts. Here we present the full suite of krypton isotopes from the deep mantle of the Galápagos and Iceland plumes, which have the most primitive helium, neon and tungsten isotopic compositions11–16. Except for 86Kr, the krypton isotopic compositions are similar to a mixture of chondritic and atmospheric krypton. These results suggest early accretion of carbonaceous material by proto-Earth and rule out any combination of hydrodynamic loss with outgassing of the deep or shallow mantle to explain atmospheric noble gases. Unexpectedly, the deep-mantle sources have a deficit in the neutron-rich 86Kr relative to the average composition of carbonaceous meteorites, which suggests a nucleosynthetic anomaly. Although the relative depletion of neutron-rich isotopes on Earth compared with carbonaceous meteorites has been documented for a range of refractory elements1,17,18, our observations suggest such a depletion for a volatile element. This finding indicates that accretion of volatile and refractory elements occurred simultaneously, with krypton recording concomitant accretion of non-solar volatiles from more than one type of material, possibly including outer Solar System planetesimals.","author":[{"dropping-particle":"","family":"Péron","given":"Sandrine","non-dropping-particle":"","parse-names":false,"suffix":""},{"dropping-particle":"","family":"Mukhopadhyay","given":"Sujoy","non-dropping-particle":"","parse-names":false,"suffix":""},{"dropping-particle":"","family":"Kurz","given":"Mark D.","non-dropping-particle":"","parse-names":false,"suffix":""},{"dropping-particle":"","family":"Graham","given":"David W.","non-dropping-particle":"","parse-names":false,"suffix":""}],"container-title":"Nature","id":"ITEM-1","issue":"7889","issued":{"date-parts":[["2021"]]},"page":"462-467","publisher":"Springer US","title":"Deep-mantle krypton reveals Earth’s early accretion of carbonaceous matter","type":"article-journal","volume":"600"},"uris":["http://www.mendeley.com/documents/?uuid=e7533023-8039-425f-9db3-a4b6ca5d10a4"]}],"mendeley":{"formattedCitation":"&lt;sup&gt;57&lt;/sup&gt;","plainTextFormattedCitation":"57","previouslyFormattedCitation":"&lt;sup&gt;57&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57</w:t>
      </w:r>
      <w:r w:rsidRPr="0084570B">
        <w:rPr>
          <w:rFonts w:ascii="Times New Roman" w:eastAsia="Times New Roman" w:hAnsi="Times New Roman" w:cs="Times New Roman"/>
          <w:sz w:val="22"/>
          <w:szCs w:val="22"/>
          <w:lang w:val="en-US"/>
        </w:rPr>
        <w:fldChar w:fldCharType="end"/>
      </w:r>
      <w:r w:rsidR="003376B3">
        <w:rPr>
          <w:rFonts w:ascii="Times New Roman" w:eastAsia="Times New Roman" w:hAnsi="Times New Roman" w:cs="Times New Roman"/>
          <w:sz w:val="22"/>
          <w:szCs w:val="22"/>
          <w:lang w:val="en-US"/>
        </w:rPr>
        <w:t>, Q</w:t>
      </w:r>
      <w:r w:rsidR="003376B3">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10.1111/j.1945-5100.2000.tb01485.x","ISSN":"10869379","author":[{"dropping-particle":"","family":"Busemann","given":"Henner","non-dropping-particle":"","parse-names":false,"suffix":""},{"dropping-particle":"","family":"Baur","given":"Heinrich","non-dropping-particle":"","parse-names":false,"suffix":""},{"dropping-particle":"","family":"Wieler","given":"Rainer","non-dropping-particle":"","parse-names":false,"suffix":""}],"container-title":"Meteoritics &amp; Planetary Science","id":"ITEM-1","issue":"5","issued":{"date-parts":[["2000","9"]]},"page":"949-973","title":"Primordial noble gases in “phase Q” in carbonaceous and ordinary chondrites studied by closed-system stepped etching","type":"article-journal","volume":"35"},"uris":["http://www.mendeley.com/documents/?uuid=5d2c2ab9-e979-4020-bacf-cdcda4befefa"]}],"mendeley":{"formattedCitation":"&lt;sup&gt;58&lt;/sup&gt;","plainTextFormattedCitation":"58"},"properties":{"noteIndex":0},"schema":"https://github.com/citation-style-language/schema/raw/master/csl-citation.json"}</w:instrText>
      </w:r>
      <w:r w:rsidR="003376B3">
        <w:rPr>
          <w:rFonts w:ascii="Times New Roman" w:eastAsia="Times New Roman" w:hAnsi="Times New Roman" w:cs="Times New Roman"/>
          <w:sz w:val="22"/>
          <w:szCs w:val="22"/>
          <w:lang w:val="en-US"/>
        </w:rPr>
        <w:fldChar w:fldCharType="separate"/>
      </w:r>
      <w:r w:rsidR="003376B3" w:rsidRPr="003376B3">
        <w:rPr>
          <w:rFonts w:ascii="Times New Roman" w:eastAsia="Times New Roman" w:hAnsi="Times New Roman" w:cs="Times New Roman"/>
          <w:noProof/>
          <w:sz w:val="22"/>
          <w:szCs w:val="22"/>
          <w:vertAlign w:val="superscript"/>
          <w:lang w:val="en-US"/>
        </w:rPr>
        <w:t>58</w:t>
      </w:r>
      <w:r w:rsidR="003376B3">
        <w:rPr>
          <w:rFonts w:ascii="Times New Roman" w:eastAsia="Times New Roman" w:hAnsi="Times New Roman" w:cs="Times New Roman"/>
          <w:sz w:val="22"/>
          <w:szCs w:val="22"/>
          <w:lang w:val="en-US"/>
        </w:rPr>
        <w:fldChar w:fldCharType="end"/>
      </w:r>
      <w:r w:rsidR="003376B3">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sz w:val="22"/>
          <w:szCs w:val="22"/>
          <w:lang w:val="en-US"/>
        </w:rPr>
        <w:t xml:space="preserve">and bulk carbonaceous chondrite </w:t>
      </w:r>
      <w:r w:rsidRPr="00253A47">
        <w:rPr>
          <w:rFonts w:ascii="Times New Roman" w:eastAsia="Times New Roman" w:hAnsi="Times New Roman" w:cs="Times New Roman"/>
          <w:sz w:val="22"/>
          <w:szCs w:val="22"/>
          <w:lang w:val="en-US"/>
        </w:rPr>
        <w:t>data</w:t>
      </w:r>
      <w:r w:rsidR="00253A47" w:rsidRPr="00253A47">
        <w:rPr>
          <w:rFonts w:ascii="Times New Roman" w:eastAsia="Times New Roman" w:hAnsi="Times New Roman" w:cs="Times New Roman"/>
          <w:sz w:val="22"/>
          <w:szCs w:val="22"/>
          <w:lang w:val="en-US"/>
        </w:rPr>
        <w:t xml:space="preserve"> (</w:t>
      </w:r>
      <w:r w:rsidR="00253A47" w:rsidRPr="00253A47">
        <w:rPr>
          <w:rFonts w:ascii="Times New Roman" w:eastAsia="Times New Roman" w:hAnsi="Times New Roman" w:cs="Times New Roman"/>
          <w:b/>
          <w:sz w:val="22"/>
          <w:szCs w:val="22"/>
          <w:lang w:val="en-US"/>
        </w:rPr>
        <w:t>"Kr-in-CC.xlsx"</w:t>
      </w:r>
      <w:r w:rsidR="00253A47" w:rsidRPr="00253A47">
        <w:rPr>
          <w:rFonts w:ascii="Times New Roman" w:eastAsia="Times New Roman" w:hAnsi="Times New Roman" w:cs="Times New Roman"/>
          <w:sz w:val="22"/>
          <w:szCs w:val="22"/>
          <w:lang w:val="en-US"/>
        </w:rPr>
        <w:t>)</w:t>
      </w:r>
      <w:r w:rsidR="00253A47">
        <w:rPr>
          <w:rFonts w:ascii="Times New Roman" w:eastAsia="Times New Roman" w:hAnsi="Times New Roman" w:cs="Times New Roman"/>
          <w:sz w:val="22"/>
          <w:szCs w:val="22"/>
          <w:lang w:val="en-US"/>
        </w:rPr>
        <w:fldChar w:fldCharType="begin" w:fldLock="1"/>
      </w:r>
      <w:r w:rsidR="00253A47">
        <w:rPr>
          <w:rFonts w:ascii="Times New Roman" w:eastAsia="Times New Roman" w:hAnsi="Times New Roman" w:cs="Times New Roman"/>
          <w:sz w:val="22"/>
          <w:szCs w:val="22"/>
          <w:lang w:val="en-US"/>
        </w:rPr>
        <w:instrText>ADDIN CSL_CITATION {"citationItems":[{"id":"ITEM-1","itemData":{"DOI":"10.1111/maps.12819","ISSN":"10869379","abstract":"The Sutter's Mill (SM) CM chondrite fell in California in 2012. The CM chondrite group is one of the most primitive, consisting of unequilibrated minerals, but some of them have experienced complex processes occurring on their parent body, such as aqueous alteration, thermal metamorphism, brecciation, and solar wind implantation. We have determined noble gas concentrations and isotopic compositions for SM samples using a stepped heating gas extraction method, in addition to mineralogical observation of the specimens. The primordial noble gas abundances, especially the P3 component trapped in presolar diamonds, confirm the classification of SM as a CM chondrite. The mineralogical features of SM indicate that it experienced mild thermal alteration after aqueous alteration. The heating temperature is estimated to be &lt;350 °C based on the release profile of primordial 36Ar. The presence of a Ni-rich Fe-Ni metal suggests that a minor part of SM has experienced heating at &gt;500 °C. The variation in the heating temperature of thermal alteration is consistent with the texture as a breccia. The heterogeneous distribution of solar wind noble gases is also consistent with it. The cosmic-ray exposure (CRE) age for SM is calculated to be 0.059 ± 0.023 Myr based on cosmogenic 21Ne by considering trapped noble gases as solar wind, the terrestrial atmosphere, P1 (or Q), P3, A2, and G components. The CRE age lies at the shorter end of the CRE age distribution of the CM chondrite group.","author":[{"dropping-particle":"","family":"Okazaki","given":"Ryuji","non-dropping-particle":"","parse-names":false,"suffix":""},{"dropping-particle":"","family":"Nagao","given":"Keisuke","non-dropping-particle":"","parse-names":false,"suffix":""}],"container-title":"Meteoritics and Planetary Science","id":"ITEM-1","issue":"4","issued":{"date-parts":[["2017"]]},"page":"669-689","title":"Primordial and cosmogenic noble gases in the Sutter's Mill CM chondrite","type":"article-journal","volume":"52"},"uris":["http://www.mendeley.com/documents/?uuid=5b65b21b-e714-43a2-a9ec-f36b9adf7740"]}],"mendeley":{"formattedCitation":"&lt;sup&gt;105&lt;/sup&gt;","plainTextFormattedCitation":"105","previouslyFormattedCitation":"&lt;sup&gt;105&lt;/sup&gt;"},"properties":{"noteIndex":0},"schema":"https://github.com/citation-style-language/schema/raw/master/csl-citation.json"}</w:instrText>
      </w:r>
      <w:r w:rsidR="00253A47">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105</w:t>
      </w:r>
      <w:r w:rsidR="00253A47">
        <w:rPr>
          <w:rFonts w:ascii="Times New Roman" w:eastAsia="Times New Roman" w:hAnsi="Times New Roman" w:cs="Times New Roman"/>
          <w:sz w:val="22"/>
          <w:szCs w:val="22"/>
          <w:lang w:val="en-US"/>
        </w:rPr>
        <w:fldChar w:fldCharType="end"/>
      </w:r>
      <w:r w:rsidR="00253A47" w:rsidRPr="00253A47">
        <w:rPr>
          <w:rFonts w:ascii="Times New Roman" w:eastAsia="Times New Roman" w:hAnsi="Times New Roman" w:cs="Times New Roman"/>
          <w:sz w:val="22"/>
          <w:szCs w:val="22"/>
          <w:vertAlign w:val="superscript"/>
          <w:lang w:val="en-US"/>
        </w:rPr>
        <w:t>,</w:t>
      </w:r>
      <w:r w:rsidR="00253A47">
        <w:rPr>
          <w:rFonts w:ascii="Times New Roman" w:eastAsia="Times New Roman" w:hAnsi="Times New Roman" w:cs="Times New Roman"/>
          <w:sz w:val="22"/>
          <w:szCs w:val="22"/>
          <w:lang w:val="en-US"/>
        </w:rPr>
        <w:fldChar w:fldCharType="begin" w:fldLock="1"/>
      </w:r>
      <w:r w:rsidR="00253A47">
        <w:rPr>
          <w:rFonts w:ascii="Times New Roman" w:eastAsia="Times New Roman" w:hAnsi="Times New Roman" w:cs="Times New Roman"/>
          <w:sz w:val="22"/>
          <w:szCs w:val="22"/>
          <w:lang w:val="en-US"/>
        </w:rPr>
        <w:instrText>ADDIN CSL_CITATION {"citationItems":[{"id":"ITEM-1","itemData":{"DOI":"10.1016/0012-821X(67)90128-8","ISSN":"0012821X","abstract":"The concentrations of Ar, Kr and Xe have been determined in some carbonaceous and disequilibrium chondrites. From these results, and others reported in the literature, it is seen that the chondrites display rather constant abundance ratios for the heavy rare gases, but variable concentrations. The concentrations of trapped Xe are related to chondritic disequilibrium and can be used for classification purposes. © 1967.","author":[{"dropping-particle":"","family":"Marti","given":"K.","non-dropping-particle":"","parse-names":false,"suffix":""}],"container-title":"Earth and Planetary Science Letters","id":"ITEM-1","issue":"3","issued":{"date-parts":[["1967"]]},"page":"193-196","title":"Trapped xenon and the classification of chondrites","type":"article-journal","volume":"2"},"uris":["http://www.mendeley.com/documents/?uuid=0b525b96-aba7-4d2f-a665-760aa7568e6b"]}],"mendeley":{"formattedCitation":"&lt;sup&gt;106&lt;/sup&gt;","plainTextFormattedCitation":"106","previouslyFormattedCitation":"&lt;sup&gt;106&lt;/sup&gt;"},"properties":{"noteIndex":0},"schema":"https://github.com/citation-style-language/schema/raw/master/csl-citation.json"}</w:instrText>
      </w:r>
      <w:r w:rsidR="00253A47">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106</w:t>
      </w:r>
      <w:r w:rsidR="00253A47">
        <w:rPr>
          <w:rFonts w:ascii="Times New Roman" w:eastAsia="Times New Roman" w:hAnsi="Times New Roman" w:cs="Times New Roman"/>
          <w:sz w:val="22"/>
          <w:szCs w:val="22"/>
          <w:lang w:val="en-US"/>
        </w:rPr>
        <w:fldChar w:fldCharType="end"/>
      </w:r>
      <w:r w:rsidR="00253A47" w:rsidRPr="00253A47">
        <w:rPr>
          <w:rFonts w:ascii="Times New Roman" w:eastAsia="Times New Roman" w:hAnsi="Times New Roman" w:cs="Times New Roman"/>
          <w:sz w:val="22"/>
          <w:szCs w:val="22"/>
          <w:vertAlign w:val="superscript"/>
          <w:lang w:val="en-US"/>
        </w:rPr>
        <w:t>,</w:t>
      </w:r>
      <w:r w:rsidR="00253A47">
        <w:rPr>
          <w:rFonts w:ascii="Times New Roman" w:eastAsia="Times New Roman" w:hAnsi="Times New Roman" w:cs="Times New Roman"/>
          <w:sz w:val="22"/>
          <w:szCs w:val="22"/>
          <w:lang w:val="en-US"/>
        </w:rPr>
        <w:fldChar w:fldCharType="begin" w:fldLock="1"/>
      </w:r>
      <w:r w:rsidR="00253A47">
        <w:rPr>
          <w:rFonts w:ascii="Times New Roman" w:eastAsia="Times New Roman" w:hAnsi="Times New Roman" w:cs="Times New Roman"/>
          <w:sz w:val="22"/>
          <w:szCs w:val="22"/>
          <w:lang w:val="en-US"/>
        </w:rPr>
        <w:instrText>ADDIN CSL_CITATION {"citationItems":[{"id":"ITEM-1","itemData":{"DOI":"10.1016/0012-821x(67)90045-3","ISSN":"0012821X","abstract":"The concentrations and isotopic composition of Kr and Xe have been measured in the three carbonaceous chondrites Cold Bokkeveld, Lancé and Orgueil. Spallation corrections and, in the case of Cold Bokkeveld also neutron effects, are negligible and for the average Kr and Xe isotopic composition in carbonaceous chondrites we obtain:δ7886=-(3.4±0.8)% δ8086=-(2.4±0.8)% δ8286=-(1.7±0.4)% δ8386=-(1.35±0.35)% δ8486=-(1.35±0.35)% and δ124130=+(21.0±3.0)% δ126130=+(16.0±1.5)% δ128130=+(8.3±1.0)% δ131130=-(2.3±0.8)% δ132130=-(5.8±0.7)% δ134130=-(7.3±0.8)% δ136130=-(8.3±0.8)%. The significance and the possible origin of these anomalies are briefly discussed. © 1967.","author":[{"dropping-particle":"","family":"Eugster","given":"O.","non-dropping-particle":"","parse-names":false,"suffix":""},{"dropping-particle":"","family":"Eberhardt","given":"P.","non-dropping-particle":"","parse-names":false,"suffix":""},{"dropping-particle":"","family":"Geiss","given":"J.","non-dropping-particle":"","parse-names":false,"suffix":""}],"container-title":"Earth and Planetary Science Letters","id":"ITEM-1","issue":"C","issued":{"date-parts":[["1967"]]},"page":"249-257","title":"Krypton and xenon isotopic composition in three carbonaceous chondrites","type":"article-journal","volume":"3"},"uris":["http://www.mendeley.com/documents/?uuid=7be6d8cb-8923-4129-8d34-6dbfee60d5e7"]}],"mendeley":{"formattedCitation":"&lt;sup&gt;107&lt;/sup&gt;","plainTextFormattedCitation":"107","previouslyFormattedCitation":"&lt;sup&gt;107&lt;/sup&gt;"},"properties":{"noteIndex":0},"schema":"https://github.com/citation-style-language/schema/raw/master/csl-citation.json"}</w:instrText>
      </w:r>
      <w:r w:rsidR="00253A47">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107</w:t>
      </w:r>
      <w:r w:rsidR="00253A47">
        <w:rPr>
          <w:rFonts w:ascii="Times New Roman" w:eastAsia="Times New Roman" w:hAnsi="Times New Roman" w:cs="Times New Roman"/>
          <w:sz w:val="22"/>
          <w:szCs w:val="22"/>
          <w:lang w:val="en-US"/>
        </w:rPr>
        <w:fldChar w:fldCharType="end"/>
      </w:r>
      <w:r w:rsidR="00253A47" w:rsidRPr="00253A47">
        <w:rPr>
          <w:rFonts w:ascii="Times New Roman" w:eastAsia="Times New Roman" w:hAnsi="Times New Roman" w:cs="Times New Roman"/>
          <w:sz w:val="22"/>
          <w:szCs w:val="22"/>
          <w:vertAlign w:val="superscript"/>
          <w:lang w:val="en-US"/>
        </w:rPr>
        <w:t>,</w:t>
      </w:r>
      <w:r w:rsidR="00253A47">
        <w:rPr>
          <w:rFonts w:ascii="Times New Roman" w:eastAsia="Times New Roman" w:hAnsi="Times New Roman" w:cs="Times New Roman"/>
          <w:sz w:val="22"/>
          <w:szCs w:val="22"/>
          <w:lang w:val="en-US"/>
        </w:rPr>
        <w:fldChar w:fldCharType="begin" w:fldLock="1"/>
      </w:r>
      <w:r w:rsidR="00253A47">
        <w:rPr>
          <w:rFonts w:ascii="Times New Roman" w:eastAsia="Times New Roman" w:hAnsi="Times New Roman" w:cs="Times New Roman"/>
          <w:sz w:val="22"/>
          <w:szCs w:val="22"/>
          <w:lang w:val="en-US"/>
        </w:rPr>
        <w:instrText>ADDIN CSL_CITATION {"citationItems":[{"id":"ITEM-1","itemData":{"author":[{"dropping-particle":"","family":"Nagao","given":"K.","non-dropping-particle":"","parse-names":false,"suffix":""},{"dropping-particle":"","family":"Inoue","given":"K.","non-dropping-particle":"","parse-names":false,"suffix":""},{"dropping-particle":"","family":"Ogata","given":"K.","non-dropping-particle":"","parse-names":false,"suffix":""}],"container-title":"Memoirs of the National Institute of Polar Research, Special Issue","id":"ITEM-1","issued":{"date-parts":[["1984"]]},"page":"257-266","title":"Primordial rare gases in Belgica-7904 (C2) carbonaceous chondrite","type":"article-journal","volume":"35"},"uris":["http://www.mendeley.com/documents/?uuid=c6da863c-adc1-43a2-abca-209844aad423"]}],"mendeley":{"formattedCitation":"&lt;sup&gt;108&lt;/sup&gt;","plainTextFormattedCitation":"108","previouslyFormattedCitation":"&lt;sup&gt;108&lt;/sup&gt;"},"properties":{"noteIndex":0},"schema":"https://github.com/citation-style-language/schema/raw/master/csl-citation.json"}</w:instrText>
      </w:r>
      <w:r w:rsidR="00253A47">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108</w:t>
      </w:r>
      <w:r w:rsidR="00253A47">
        <w:rPr>
          <w:rFonts w:ascii="Times New Roman" w:eastAsia="Times New Roman" w:hAnsi="Times New Roman" w:cs="Times New Roman"/>
          <w:sz w:val="22"/>
          <w:szCs w:val="22"/>
          <w:lang w:val="en-US"/>
        </w:rPr>
        <w:fldChar w:fldCharType="end"/>
      </w:r>
      <w:r w:rsidR="00253A47" w:rsidRPr="00253A47">
        <w:rPr>
          <w:rFonts w:ascii="Times New Roman" w:eastAsia="Times New Roman" w:hAnsi="Times New Roman" w:cs="Times New Roman"/>
          <w:sz w:val="22"/>
          <w:szCs w:val="22"/>
          <w:vertAlign w:val="superscript"/>
          <w:lang w:val="en-US"/>
        </w:rPr>
        <w:t>,</w:t>
      </w:r>
      <w:r w:rsidR="00253A47">
        <w:rPr>
          <w:rFonts w:ascii="Times New Roman" w:eastAsia="Times New Roman" w:hAnsi="Times New Roman" w:cs="Times New Roman"/>
          <w:sz w:val="22"/>
          <w:szCs w:val="22"/>
          <w:lang w:val="en-US"/>
        </w:rPr>
        <w:fldChar w:fldCharType="begin" w:fldLock="1"/>
      </w:r>
      <w:r w:rsidR="00253A47">
        <w:rPr>
          <w:rFonts w:ascii="Times New Roman" w:eastAsia="Times New Roman" w:hAnsi="Times New Roman" w:cs="Times New Roman"/>
          <w:sz w:val="22"/>
          <w:szCs w:val="22"/>
          <w:lang w:val="en-US"/>
        </w:rPr>
        <w:instrText>ADDIN CSL_CITATION {"citationItems":[{"id":"ITEM-1","itemData":{"DOI":"10.1111/maps.13213","ISSN":"10869379","abstract":"The Paris carbonaceous chondrite represents the most pristine carbonaceous chondrite, providing a unique opportunity to investigate the composition of early solar system materials prior to the onset of significant aqueous alteration. A dual origin (namely from the inner and outer solar system) has been demonstrated for water in the Paris meteorite parent body (Piani et al.). Here, we aim to evaluate the contribution of outer solar system (cometary-like) water ice to the inner solar system water ice using Xe isotopes. We report Ar, Kr, and high-precision Xe isotopic measurements within bulk CM 2.9 and CM 2.7 fragments, as well as Ne, Ar, Kr, and Xe isotope compositions of the insoluble organic matter (IOM). Noble gas signatures are similar to chondritic phase Q with no evidence for a cometary-like Xe component. Small excesses in the heavy Xe isotopes relative to phase Q within bulk samples are attributed to contributions from presolar materials. CM 2.7 fragments have lower Ar/Xe relative to more pristine CM 2.9 fragments, with no systematic difference in Xe contents. We conclude that Kr and Xe were little affected by aqueous alteration, in agreement with (1) minor degrees of alteration and (2) no significant differences in the chemical signature of organic matter in CM 2.7 and CM 2.9 areas (Vinogradoff et al.). Xenon contents in the IOM are larger than previously published data of Xe in chondritic IOM, in line with the Xe component in Paris being pristine and preserved from Xe loss during aqueous alteration/thermal metamorphism.","author":[{"dropping-particle":"V.","family":"Bekaert","given":"David","non-dropping-particle":"","parse-names":false,"suffix":""},{"dropping-particle":"","family":"Marrocchi","given":"Yves","non-dropping-particle":"","parse-names":false,"suffix":""},{"dropping-particle":"","family":"Meshik","given":"Alex","non-dropping-particle":"","parse-names":false,"suffix":""},{"dropping-particle":"","family":"Remusat","given":"Laurent","non-dropping-particle":"","parse-names":false,"suffix":""},{"dropping-particle":"","family":"Marty","given":"Bernard","non-dropping-particle":"","parse-names":false,"suffix":""}],"container-title":"Meteoritics and Planetary Science","id":"ITEM-1","issue":"2","issued":{"date-parts":[["2019"]]},"page":"395-414","title":"Primordial heavy noble gases in the pristine Paris carbonaceous chondrite","type":"article-journal","volume":"54"},"uris":["http://www.mendeley.com/documents/?uuid=bac3c208-9ed3-4839-a460-bf0a74e9ba27"]}],"mendeley":{"formattedCitation":"&lt;sup&gt;109&lt;/sup&gt;","plainTextFormattedCitation":"109","previouslyFormattedCitation":"&lt;sup&gt;109&lt;/sup&gt;"},"properties":{"noteIndex":0},"schema":"https://github.com/citation-style-language/schema/raw/master/csl-citation.json"}</w:instrText>
      </w:r>
      <w:r w:rsidR="00253A47">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109</w:t>
      </w:r>
      <w:r w:rsidR="00253A47">
        <w:rPr>
          <w:rFonts w:ascii="Times New Roman" w:eastAsia="Times New Roman" w:hAnsi="Times New Roman" w:cs="Times New Roman"/>
          <w:sz w:val="22"/>
          <w:szCs w:val="22"/>
          <w:lang w:val="en-US"/>
        </w:rPr>
        <w:fldChar w:fldCharType="end"/>
      </w:r>
      <w:r w:rsidR="00253A47" w:rsidRPr="00253A47">
        <w:rPr>
          <w:rFonts w:ascii="Times New Roman" w:eastAsia="Times New Roman" w:hAnsi="Times New Roman" w:cs="Times New Roman"/>
          <w:sz w:val="22"/>
          <w:szCs w:val="22"/>
          <w:vertAlign w:val="superscript"/>
          <w:lang w:val="en-US"/>
        </w:rPr>
        <w:t>,</w:t>
      </w:r>
      <w:r w:rsidR="00253A47">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{"citationItems":[{"id":"ITEM-1","itemData":{"author":[{"dropping-particle":"","family":"Manuel","given":"O. K.","non-dropping-particle":"","parse-names":false,"suffix":""},{"dropping-particle":"","family":"Hennecke","given":"E. W.","non-dropping-particle":"","parse-names":false,"suffix":""},{"dropping-particle":"","family":"Sabu","given":"D. D.","non-dropping-particle":"","parse-names":false,"suffix":""}],"container-title":"Nature Physical Science","id":"ITEM-1","issued":{"date-parts":[["1972"]]},"page":"99-101","title":"Xenon in carbonaceous chondrites","type":"article-journal","volume":"240"},"uris":["http://www.mendeley.com/documents/?uuid=49dd5e2b-f907-4837-8bbf-c08e176b4b10"]}],"mendeley":{"formattedCitation":"&lt;sup&gt;110&lt;/sup&gt;","plainTextFormattedCitation":"110","previouslyFormattedCitation":"&lt;sup&gt;110&lt;/sup&gt;"},"properties":{"noteIndex":0},"schema":"https://github.com/citation-style-language/schema/raw/master/csl-citation.json"}</w:instrText>
      </w:r>
      <w:r w:rsidR="00253A47">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110</w:t>
      </w:r>
      <w:r w:rsidR="00253A47">
        <w:rPr>
          <w:rFonts w:ascii="Times New Roman" w:eastAsia="Times New Roman" w:hAnsi="Times New Roman" w:cs="Times New Roman"/>
          <w:sz w:val="22"/>
          <w:szCs w:val="22"/>
          <w:lang w:val="en-US"/>
        </w:rPr>
        <w:fldChar w:fldCharType="end"/>
      </w:r>
      <w:r w:rsidRPr="00253A47">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color w:val="222222"/>
          <w:sz w:val="22"/>
          <w:szCs w:val="22"/>
          <w:lang w:val="en-US"/>
        </w:rPr>
        <w:t xml:space="preserve">This AVCC end-member was computed by Péron </w:t>
      </w:r>
      <w:r w:rsidRPr="0084570B">
        <w:rPr>
          <w:rFonts w:ascii="Times New Roman" w:eastAsia="Times New Roman" w:hAnsi="Times New Roman" w:cs="Times New Roman"/>
          <w:i/>
          <w:color w:val="222222"/>
          <w:sz w:val="22"/>
          <w:szCs w:val="22"/>
          <w:lang w:val="en-US"/>
        </w:rPr>
        <w:t>et al.</w:t>
      </w:r>
      <w:r w:rsidRPr="0084570B">
        <w:rPr>
          <w:rFonts w:ascii="Times New Roman" w:eastAsia="Times New Roman" w:hAnsi="Times New Roman" w:cs="Times New Roman"/>
          <w:color w:val="222222"/>
          <w:sz w:val="22"/>
          <w:szCs w:val="22"/>
          <w:lang w:val="en-US"/>
        </w:rPr>
        <w:fldChar w:fldCharType="begin" w:fldLock="1"/>
      </w:r>
      <w:r w:rsidR="00A249A4">
        <w:rPr>
          <w:rFonts w:ascii="Times New Roman" w:eastAsia="Times New Roman" w:hAnsi="Times New Roman" w:cs="Times New Roman"/>
          <w:color w:val="222222"/>
          <w:sz w:val="22"/>
          <w:szCs w:val="22"/>
          <w:lang w:val="en-US"/>
        </w:rPr>
        <w:instrText>ADDIN CSL_CITATION {"citationItems":[{"id":"ITEM-1","itemData":{"DOI":"10.1038/s41586-021-04092-z","ISSN":"14764687","PMID":"34912082","abstract":"Establishing when, and from where, carbon, nitrogen and water were delivered to Earth is a fundamental objective in understanding the origin of habitable planets such as Earth. Yet, volatile delivery to Earth remains controversial1–5. Krypton isotopes provide insights on volatile delivery owing to their substantial isotopic variations among sources6–10, although pervasive atmospheric contamination has hampered analytical efforts. Here we present the full suite of krypton isotopes from the deep mantle of the Galápagos and Iceland plumes, which have the most primitive helium, neon and tungsten isotopic compositions11–16. Except for 86Kr, the krypton isotopic compositions are similar to a mixture of chondritic and atmospheric krypton. These results suggest early accretion of carbonaceous material by proto-Earth and rule out any combination of hydrodynamic loss with outgassing of the deep or shallow mantle to explain atmospheric noble gases. Unexpectedly, the deep-mantle sources have a deficit in the neutron-rich 86Kr relative to the average composition of carbonaceous meteorites, which suggests a nucleosynthetic anomaly. Although the relative depletion of neutron-rich isotopes on Earth compared with carbonaceous meteorites has been documented for a range of refractory elements1,17,18, our observations suggest such a depletion for a volatile element. This finding indicates that accretion of volatile and refractory elements occurred simultaneously, with krypton recording concomitant accretion of non-solar volatiles from more than one type of material, possibly including outer Solar System planetesimals.","author":[{"dropping-particle":"","family":"Péron","given":"Sandrine","non-dropping-particle":"","parse-names":false,"suffix":""},{"dropping-particle":"","family":"Mukhopadhyay","given":"Sujoy","non-dropping-particle":"","parse-names":false,"suffix":""},{"dropping-particle":"","family":"Kurz","given":"Mark D.","non-dropping-particle":"","parse-names":false,"suffix":""},{"dropping-particle":"","family":"Graham","given":"David W.","non-dropping-particle":"","parse-names":false,"suffix":""}],"container-title":"Nature","id":"ITEM-1","issue":"7889","issued":{"date-parts":[["2021"]]},"page":"462-467","publisher":"Springer US","title":"Deep-mantle krypton reveals Earth’s early accretion of carbonaceous matter","type":"article-journal","volume":"600"},"uris":["http://www.mendeley.com/documents/?uuid=e7533023-8039-425f-9db3-a4b6ca5d10a4"]}],"mendeley":{"formattedCitation":"&lt;sup&gt;57&lt;/sup&gt;","plainTextFormattedCitation":"57","previouslyFormattedCitation":"&lt;sup&gt;57&lt;/sup&gt;"},"properties":{"noteIndex":0},"schema":"https://github.com/citation-style-language/schema/raw/master/csl-citation.json"}</w:instrText>
      </w:r>
      <w:r w:rsidRPr="0084570B">
        <w:rPr>
          <w:rFonts w:ascii="Times New Roman" w:eastAsia="Times New Roman" w:hAnsi="Times New Roman" w:cs="Times New Roman"/>
          <w:color w:val="222222"/>
          <w:sz w:val="22"/>
          <w:szCs w:val="22"/>
          <w:lang w:val="en-US"/>
        </w:rPr>
        <w:fldChar w:fldCharType="separate"/>
      </w:r>
      <w:r w:rsidR="00DD29E3" w:rsidRPr="00DD29E3">
        <w:rPr>
          <w:rFonts w:ascii="Times New Roman" w:eastAsia="Times New Roman" w:hAnsi="Times New Roman" w:cs="Times New Roman"/>
          <w:noProof/>
          <w:color w:val="222222"/>
          <w:sz w:val="22"/>
          <w:szCs w:val="22"/>
          <w:vertAlign w:val="superscript"/>
          <w:lang w:val="en-US"/>
        </w:rPr>
        <w:t>57</w:t>
      </w:r>
      <w:r w:rsidRPr="0084570B">
        <w:rPr>
          <w:rFonts w:ascii="Times New Roman" w:eastAsia="Times New Roman" w:hAnsi="Times New Roman" w:cs="Times New Roman"/>
          <w:color w:val="222222"/>
          <w:sz w:val="22"/>
          <w:szCs w:val="22"/>
          <w:lang w:val="en-US"/>
        </w:rPr>
        <w:fldChar w:fldCharType="end"/>
      </w:r>
      <w:r w:rsidRPr="0084570B">
        <w:rPr>
          <w:rFonts w:ascii="Times New Roman" w:eastAsia="Times New Roman" w:hAnsi="Times New Roman" w:cs="Times New Roman"/>
          <w:color w:val="222222"/>
          <w:sz w:val="22"/>
          <w:szCs w:val="22"/>
          <w:lang w:val="en-US"/>
        </w:rPr>
        <w:t>, using the average and standard error of Kr isotope compositions from a subset of carbonaceous chondrites.</w:t>
      </w:r>
      <w:r w:rsidR="00987E42">
        <w:rPr>
          <w:rFonts w:ascii="Times New Roman" w:eastAsia="Times New Roman" w:hAnsi="Times New Roman" w:cs="Times New Roman"/>
          <w:color w:val="222222"/>
          <w:sz w:val="22"/>
          <w:szCs w:val="22"/>
          <w:lang w:val="en-US"/>
        </w:rPr>
        <w:t xml:space="preserve"> </w:t>
      </w:r>
      <w:r w:rsidR="00987E42" w:rsidRPr="0084570B">
        <w:rPr>
          <w:rFonts w:ascii="Times New Roman" w:eastAsia="Times New Roman" w:hAnsi="Times New Roman" w:cs="Times New Roman"/>
          <w:color w:val="222222"/>
          <w:sz w:val="22"/>
          <w:szCs w:val="22"/>
          <w:lang w:val="en-US"/>
        </w:rPr>
        <w:t>U</w:t>
      </w:r>
      <w:r w:rsidR="00987E42">
        <w:rPr>
          <w:rFonts w:ascii="Times New Roman" w:eastAsia="Times New Roman" w:hAnsi="Times New Roman" w:cs="Times New Roman"/>
          <w:sz w:val="22"/>
          <w:szCs w:val="22"/>
          <w:lang w:val="en-US"/>
        </w:rPr>
        <w:t>ncertainties are</w:t>
      </w:r>
      <w:r w:rsidR="00987E42" w:rsidRPr="0084570B">
        <w:rPr>
          <w:rFonts w:ascii="Times New Roman" w:eastAsia="Times New Roman" w:hAnsi="Times New Roman" w:cs="Times New Roman"/>
          <w:sz w:val="22"/>
          <w:szCs w:val="22"/>
          <w:lang w:val="en-US"/>
        </w:rPr>
        <w:t xml:space="preserve"> 1σ.</w:t>
      </w:r>
    </w:p>
    <w:p w14:paraId="1A58030D" w14:textId="77777777" w:rsidR="001914C6" w:rsidRPr="0084570B" w:rsidRDefault="001914C6" w:rsidP="001914C6">
      <w:pPr>
        <w:pStyle w:val="Normal1"/>
        <w:spacing w:line="360" w:lineRule="auto"/>
        <w:jc w:val="both"/>
        <w:rPr>
          <w:rFonts w:ascii="Times New Roman" w:eastAsia="Times New Roman" w:hAnsi="Times New Roman" w:cs="Times New Roman"/>
          <w:sz w:val="22"/>
          <w:szCs w:val="22"/>
          <w:lang w:val="en-US"/>
        </w:rPr>
      </w:pPr>
    </w:p>
    <w:p w14:paraId="4B33B29E" w14:textId="3DEFF9C5" w:rsidR="00927C11" w:rsidRPr="0084570B" w:rsidRDefault="00D1245C" w:rsidP="001914C6">
      <w:pPr>
        <w:pStyle w:val="Normal1"/>
        <w:spacing w:line="360" w:lineRule="auto"/>
        <w:jc w:val="both"/>
        <w:rPr>
          <w:rFonts w:ascii="Times New Roman" w:eastAsia="Times New Roman" w:hAnsi="Times New Roman" w:cs="Times New Roman"/>
          <w:color w:val="222222"/>
          <w:sz w:val="22"/>
          <w:szCs w:val="22"/>
          <w:lang w:val="en-US"/>
        </w:rPr>
      </w:pPr>
      <w:r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b/>
          <w:sz w:val="22"/>
          <w:szCs w:val="22"/>
          <w:lang w:val="en-GB"/>
        </w:rPr>
        <w:t xml:space="preserve">2- </w:t>
      </w:r>
      <w:r w:rsidRPr="0084570B">
        <w:rPr>
          <w:rFonts w:ascii="Times New Roman" w:eastAsia="Times New Roman" w:hAnsi="Times New Roman" w:cs="Times New Roman"/>
          <w:sz w:val="22"/>
          <w:szCs w:val="22"/>
          <w:lang w:val="en-GB"/>
        </w:rPr>
        <w:t>Bekaert et al. (2023)</w:t>
      </w:r>
      <w:r w:rsidR="003D32DA" w:rsidRPr="0084570B">
        <w:rPr>
          <w:rFonts w:ascii="Times New Roman" w:eastAsia="Times New Roman" w:hAnsi="Times New Roman" w:cs="Times New Roman"/>
          <w:sz w:val="22"/>
          <w:szCs w:val="22"/>
          <w:lang w:val="en-GB"/>
        </w:rPr>
        <w:fldChar w:fldCharType="begin" w:fldLock="1"/>
      </w:r>
      <w:r w:rsidR="009D2C8F" w:rsidRPr="0084570B">
        <w:rPr>
          <w:rFonts w:ascii="Times New Roman" w:eastAsia="Times New Roman" w:hAnsi="Times New Roman" w:cs="Times New Roman"/>
          <w:sz w:val="22"/>
          <w:szCs w:val="22"/>
          <w:lang w:val="en-GB"/>
        </w:rPr>
        <w:instrText>ADDIN CSL_CITATION {"citationItems":[{"id":"ITEM-1","itemData":{"author":[{"dropping-particle":"V","family":"Bekaert","given":"D","non-dropping-particle":"","parse-names":false,"suffix":""},{"dropping-particle":"","family":"Barry","given":"P H","non-dropping-particle":"","parse-names":false,"suffix":""},{"dropping-particle":"","family":"Broadley","given":"M W","non-dropping-particle":"","parse-names":false,"suffix":""},{"dropping-particle":"","family":"Byrne","given":"D J","non-dropping-particle":"","parse-names":false,"suffix":""},{"dropping-particle":"","family":"Marty","given":"B","non-dropping-particle":"","parse-names":false,"suffix":""},{"dropping-particle":"De","family":"Moor","given":"J M","non-dropping-particle":"","parse-names":false,"suffix":""},{"dropping-particle":"","family":"Rodriguez","given":"A","non-dropping-particle":"","parse-names":false,"suffix":""},{"dropping-particle":"","family":"Hudak","given":"M R","non-dropping-particle":"","parse-names":false,"suffix":""},{"dropping-particle":"V","family":"Subhas","given":"A","non-dropping-particle":"","parse-names":false,"suffix":""},{"dropping-particle":"","family":"Caracausi","given":"A","non-dropping-particle":"","parse-names":false,"suffix":""},{"dropping-particle":"","family":"Lloyd","given":"K G","non-dropping-particle":"","parse-names":false,"suffix":""},{"dropping-particle":"","family":"Giovannelli","given":"D","non-dropping-particle":"","parse-names":false,"suffix":""},{"dropping-particle":"","family":"Seltzer","given":"A M","non-dropping-particle":"","parse-names":false,"suffix":""}],"container-title":"Science Advances","id":"ITEM-1","issued":{"date-parts":[["2023"]]},"page":"136-149","title":"Ultra-high precision noble gas isotope analyses reveal pervasive subsurface fractionation in hydrothermal systems","type":"article-journal","volume":"328"},"uris":["http://www.mendeley.com/documents/?uuid=2c0e967a-00b8-489f-b985-d2e272d6f20f"]}],"mendeley":{"formattedCitation":"&lt;sup&gt;9&lt;/sup&gt;","plainTextFormattedCitation":"9","previouslyFormattedCitation":"&lt;sup&gt;9&lt;/sup&gt;"},"properties":{"noteIndex":0},"schema":"https://github.com/citation-style-language/schema/raw/master/csl-citation.json"}</w:instrText>
      </w:r>
      <w:r w:rsidR="003D32DA" w:rsidRPr="0084570B">
        <w:rPr>
          <w:rFonts w:ascii="Times New Roman" w:eastAsia="Times New Roman" w:hAnsi="Times New Roman" w:cs="Times New Roman"/>
          <w:sz w:val="22"/>
          <w:szCs w:val="22"/>
          <w:lang w:val="en-GB"/>
        </w:rPr>
        <w:fldChar w:fldCharType="separate"/>
      </w:r>
      <w:r w:rsidR="009D2C8F" w:rsidRPr="0084570B">
        <w:rPr>
          <w:rFonts w:ascii="Times New Roman" w:eastAsia="Times New Roman" w:hAnsi="Times New Roman" w:cs="Times New Roman"/>
          <w:noProof/>
          <w:sz w:val="22"/>
          <w:szCs w:val="22"/>
          <w:vertAlign w:val="superscript"/>
          <w:lang w:val="en-GB"/>
        </w:rPr>
        <w:t>9</w:t>
      </w:r>
      <w:r w:rsidR="003D32DA" w:rsidRPr="0084570B">
        <w:rPr>
          <w:rFonts w:ascii="Times New Roman" w:eastAsia="Times New Roman" w:hAnsi="Times New Roman" w:cs="Times New Roman"/>
          <w:sz w:val="22"/>
          <w:szCs w:val="22"/>
          <w:lang w:val="en-GB"/>
        </w:rPr>
        <w:fldChar w:fldCharType="end"/>
      </w:r>
      <w:r w:rsidR="00927C11" w:rsidRPr="0084570B">
        <w:rPr>
          <w:rFonts w:ascii="Times New Roman" w:eastAsia="Times New Roman" w:hAnsi="Times New Roman" w:cs="Times New Roman"/>
          <w:sz w:val="22"/>
          <w:szCs w:val="22"/>
          <w:lang w:val="en-GB"/>
        </w:rPr>
        <w:t xml:space="preserve"> recently showed </w:t>
      </w:r>
      <w:r w:rsidR="00927C11" w:rsidRPr="0084570B">
        <w:rPr>
          <w:rStyle w:val="hlfld-abstract"/>
          <w:rFonts w:ascii="Times New Roman" w:eastAsia="Times New Roman" w:hAnsi="Times New Roman" w:cs="Times New Roman"/>
          <w:sz w:val="22"/>
          <w:szCs w:val="22"/>
          <w:lang w:val="en-GB"/>
        </w:rPr>
        <w:t xml:space="preserve">that subsurface isotope fractionation within hydrothermal systems is a </w:t>
      </w:r>
      <w:r w:rsidR="00927C11" w:rsidRPr="0084570B">
        <w:rPr>
          <w:rFonts w:ascii="Times New Roman" w:hAnsi="Times New Roman"/>
          <w:sz w:val="22"/>
          <w:szCs w:val="22"/>
          <w:lang w:val="en-GB"/>
        </w:rPr>
        <w:t>globally pervasive process</w:t>
      </w:r>
      <w:r w:rsidR="00927C11" w:rsidRPr="0084570B">
        <w:rPr>
          <w:rStyle w:val="hlfld-abstract"/>
          <w:rFonts w:ascii="Times New Roman" w:eastAsia="Times New Roman" w:hAnsi="Times New Roman" w:cs="Times New Roman"/>
          <w:sz w:val="22"/>
          <w:szCs w:val="22"/>
          <w:lang w:val="en-GB"/>
        </w:rPr>
        <w:t xml:space="preserve"> that can cause significant (per mil-level) non-radiogenic Ar-Kr-Xe isotope variations, including in Eifel gas samples. </w:t>
      </w:r>
      <w:r w:rsidR="00741065" w:rsidRPr="0084570B">
        <w:rPr>
          <w:rStyle w:val="hlfld-abstract"/>
          <w:rFonts w:ascii="Times New Roman" w:eastAsia="Times New Roman" w:hAnsi="Times New Roman" w:cs="Times New Roman"/>
          <w:sz w:val="22"/>
          <w:szCs w:val="22"/>
          <w:lang w:val="en-GB"/>
        </w:rPr>
        <w:t xml:space="preserve">Notably, this process </w:t>
      </w:r>
      <w:r w:rsidR="00927C11" w:rsidRPr="0084570B">
        <w:rPr>
          <w:rStyle w:val="hlfld-abstract"/>
          <w:rFonts w:ascii="Times New Roman" w:eastAsia="Times New Roman" w:hAnsi="Times New Roman" w:cs="Times New Roman"/>
          <w:sz w:val="22"/>
          <w:szCs w:val="22"/>
          <w:lang w:val="en-GB"/>
        </w:rPr>
        <w:t>causes light noble gas isotope enrichments up to ~7 ‰, 2 ‰ and 1 ‰ per mass unit for Ar, Kr, and Xe isotopes, respectively</w:t>
      </w:r>
      <w:r w:rsidR="003D32DA" w:rsidRPr="0084570B">
        <w:rPr>
          <w:rFonts w:ascii="Times New Roman" w:eastAsia="Times New Roman" w:hAnsi="Times New Roman" w:cs="Times New Roman"/>
          <w:sz w:val="22"/>
          <w:szCs w:val="22"/>
          <w:lang w:val="en-GB"/>
        </w:rPr>
        <w:fldChar w:fldCharType="begin" w:fldLock="1"/>
      </w:r>
      <w:r w:rsidR="009D2C8F" w:rsidRPr="0084570B">
        <w:rPr>
          <w:rFonts w:ascii="Times New Roman" w:eastAsia="Times New Roman" w:hAnsi="Times New Roman" w:cs="Times New Roman"/>
          <w:sz w:val="22"/>
          <w:szCs w:val="22"/>
          <w:lang w:val="en-GB"/>
        </w:rPr>
        <w:instrText>ADDIN CSL_CITATION {"citationItems":[{"id":"ITEM-1","itemData":{"author":[{"dropping-particle":"V","family":"Bekaert","given":"D","non-dropping-particle":"","parse-names":false,"suffix":""},{"dropping-particle":"","family":"Barry","given":"P H","non-dropping-particle":"","parse-names":false,"suffix":""},{"dropping-particle":"","family":"Broadley","given":"M W","non-dropping-particle":"","parse-names":false,"suffix":""},{"dropping-particle":"","family":"Byrne","given":"D J","non-dropping-particle":"","parse-names":false,"suffix":""},{"dropping-particle":"","family":"Marty","given":"B","non-dropping-particle":"","parse-names":false,"suffix":""},{"dropping-particle":"De","family":"Moor","given":"J M","non-dropping-particle":"","parse-names":false,"suffix":""},{"dropping-particle":"","family":"Rodriguez","given":"A","non-dropping-particle":"","parse-names":false,"suffix":""},{"dropping-particle":"","family":"Hudak","given":"M R","non-dropping-particle":"","parse-names":false,"suffix":""},{"dropping-particle":"V","family":"Subhas","given":"A","non-dropping-particle":"","parse-names":false,"suffix":""},{"dropping-particle":"","family":"Caracausi","given":"A","non-dropping-particle":"","parse-names":false,"suffix":""},{"dropping-particle":"","family":"Lloyd","given":"K G","non-dropping-particle":"","parse-names":false,"suffix":""},{"dropping-particle":"","family":"Giovannelli","given":"D","non-dropping-particle":"","parse-names":false,"suffix":""},{"dropping-particle":"","family":"Seltzer","given":"A M","non-dropping-particle":"","parse-names":false,"suffix":""}],"container-title":"Science Advances","id":"ITEM-1","issued":{"date-parts":[["2023"]]},"page":"136-149","title":"Ultra-high precision noble gas isotope analyses reveal pervasive subsurface fractionation in hydrothermal systems","type":"article-journal","volume":"328"},"uris":["http://www.mendeley.com/documents/?uuid=2c0e967a-00b8-489f-b985-d2e272d6f20f"]}],"mendeley":{"formattedCitation":"&lt;sup&gt;9&lt;/sup&gt;","plainTextFormattedCitation":"9","previouslyFormattedCitation":"&lt;sup&gt;9&lt;/sup&gt;"},"properties":{"noteIndex":0},"schema":"https://github.com/citation-style-language/schema/raw/master/csl-citation.json"}</w:instrText>
      </w:r>
      <w:r w:rsidR="003D32DA" w:rsidRPr="0084570B">
        <w:rPr>
          <w:rFonts w:ascii="Times New Roman" w:eastAsia="Times New Roman" w:hAnsi="Times New Roman" w:cs="Times New Roman"/>
          <w:sz w:val="22"/>
          <w:szCs w:val="22"/>
          <w:lang w:val="en-GB"/>
        </w:rPr>
        <w:fldChar w:fldCharType="separate"/>
      </w:r>
      <w:r w:rsidR="009D2C8F" w:rsidRPr="0084570B">
        <w:rPr>
          <w:rFonts w:ascii="Times New Roman" w:eastAsia="Times New Roman" w:hAnsi="Times New Roman" w:cs="Times New Roman"/>
          <w:noProof/>
          <w:sz w:val="22"/>
          <w:szCs w:val="22"/>
          <w:vertAlign w:val="superscript"/>
          <w:lang w:val="en-GB"/>
        </w:rPr>
        <w:t>9</w:t>
      </w:r>
      <w:r w:rsidR="003D32DA" w:rsidRPr="0084570B">
        <w:rPr>
          <w:rFonts w:ascii="Times New Roman" w:eastAsia="Times New Roman" w:hAnsi="Times New Roman" w:cs="Times New Roman"/>
          <w:sz w:val="22"/>
          <w:szCs w:val="22"/>
          <w:lang w:val="en-GB"/>
        </w:rPr>
        <w:fldChar w:fldCharType="end"/>
      </w:r>
      <w:r w:rsidR="00927C11" w:rsidRPr="0084570B">
        <w:rPr>
          <w:rFonts w:ascii="Times New Roman" w:eastAsia="Times New Roman" w:hAnsi="Times New Roman" w:cs="Times New Roman"/>
          <w:sz w:val="22"/>
          <w:szCs w:val="22"/>
          <w:lang w:val="en-GB"/>
        </w:rPr>
        <w:t xml:space="preserve">. Although the Eifel gas sample measured in this study exhibits a high mantle source contribution </w:t>
      </w:r>
      <w:r w:rsidR="00741065" w:rsidRPr="0084570B">
        <w:rPr>
          <w:rFonts w:ascii="Times New Roman" w:eastAsia="Times New Roman" w:hAnsi="Times New Roman" w:cs="Times New Roman"/>
          <w:sz w:val="22"/>
          <w:szCs w:val="22"/>
          <w:lang w:val="en-GB"/>
        </w:rPr>
        <w:t>compared to previously measured samples (</w:t>
      </w:r>
      <w:r w:rsidR="00927C11" w:rsidRPr="0084570B">
        <w:rPr>
          <w:rFonts w:ascii="Times New Roman" w:eastAsia="Times New Roman" w:hAnsi="Times New Roman" w:cs="Times New Roman"/>
          <w:sz w:val="22"/>
          <w:szCs w:val="22"/>
          <w:lang w:val="en-GB"/>
        </w:rPr>
        <w:t xml:space="preserve">with a </w:t>
      </w:r>
      <w:r w:rsidR="00927C11" w:rsidRPr="0084570B">
        <w:rPr>
          <w:rFonts w:ascii="Times New Roman" w:eastAsia="Times New Roman" w:hAnsi="Times New Roman" w:cs="Times New Roman"/>
          <w:sz w:val="22"/>
          <w:szCs w:val="22"/>
          <w:vertAlign w:val="superscript"/>
          <w:lang w:val="en-GB"/>
        </w:rPr>
        <w:t>40</w:t>
      </w:r>
      <w:r w:rsidR="00927C11" w:rsidRPr="0084570B">
        <w:rPr>
          <w:rFonts w:ascii="Times New Roman" w:eastAsia="Times New Roman" w:hAnsi="Times New Roman" w:cs="Times New Roman"/>
          <w:sz w:val="22"/>
          <w:szCs w:val="22"/>
          <w:lang w:val="en-GB"/>
        </w:rPr>
        <w:t>Ar/</w:t>
      </w:r>
      <w:r w:rsidR="00927C11" w:rsidRPr="0084570B">
        <w:rPr>
          <w:rFonts w:ascii="Times New Roman" w:eastAsia="Times New Roman" w:hAnsi="Times New Roman" w:cs="Times New Roman"/>
          <w:sz w:val="22"/>
          <w:szCs w:val="22"/>
          <w:vertAlign w:val="superscript"/>
          <w:lang w:val="en-GB"/>
        </w:rPr>
        <w:t>36</w:t>
      </w:r>
      <w:r w:rsidR="00927C11" w:rsidRPr="0084570B">
        <w:rPr>
          <w:rFonts w:ascii="Times New Roman" w:eastAsia="Times New Roman" w:hAnsi="Times New Roman" w:cs="Times New Roman"/>
          <w:sz w:val="22"/>
          <w:szCs w:val="22"/>
          <w:lang w:val="en-GB"/>
        </w:rPr>
        <w:t xml:space="preserve">Ar (~10,177) far greater than any value </w:t>
      </w:r>
      <w:r w:rsidR="00741065" w:rsidRPr="0084570B">
        <w:rPr>
          <w:rFonts w:ascii="Times New Roman" w:eastAsia="Times New Roman" w:hAnsi="Times New Roman" w:cs="Times New Roman"/>
          <w:sz w:val="22"/>
          <w:szCs w:val="22"/>
          <w:lang w:val="en-GB"/>
        </w:rPr>
        <w:t>(≤ </w:t>
      </w:r>
      <w:r w:rsidR="00741065" w:rsidRPr="0084570B">
        <w:rPr>
          <w:rStyle w:val="hlfld-abstract"/>
          <w:rFonts w:ascii="Times New Roman" w:eastAsia="Times New Roman" w:hAnsi="Times New Roman" w:cs="Times New Roman"/>
          <w:sz w:val="22"/>
          <w:szCs w:val="22"/>
          <w:lang w:val="en-GB"/>
        </w:rPr>
        <w:t xml:space="preserve">1338) </w:t>
      </w:r>
      <w:r w:rsidR="00741065" w:rsidRPr="0084570B">
        <w:rPr>
          <w:rFonts w:ascii="Times New Roman" w:eastAsia="Times New Roman" w:hAnsi="Times New Roman" w:cs="Times New Roman"/>
          <w:sz w:val="22"/>
          <w:szCs w:val="22"/>
          <w:lang w:val="en-GB"/>
        </w:rPr>
        <w:t xml:space="preserve">previously </w:t>
      </w:r>
      <w:r w:rsidR="00927C11" w:rsidRPr="0084570B">
        <w:rPr>
          <w:rFonts w:ascii="Times New Roman" w:eastAsia="Times New Roman" w:hAnsi="Times New Roman" w:cs="Times New Roman"/>
          <w:sz w:val="22"/>
          <w:szCs w:val="22"/>
          <w:lang w:val="en-GB"/>
        </w:rPr>
        <w:t>reported by Bekaert et al. (2023)</w:t>
      </w:r>
      <w:r w:rsidR="003D32DA" w:rsidRPr="0084570B">
        <w:rPr>
          <w:rFonts w:ascii="Times New Roman" w:eastAsia="Times New Roman" w:hAnsi="Times New Roman" w:cs="Times New Roman"/>
          <w:sz w:val="22"/>
          <w:szCs w:val="22"/>
          <w:lang w:val="en-GB"/>
        </w:rPr>
        <w:fldChar w:fldCharType="begin" w:fldLock="1"/>
      </w:r>
      <w:r w:rsidR="009D2C8F" w:rsidRPr="0084570B">
        <w:rPr>
          <w:rFonts w:ascii="Times New Roman" w:eastAsia="Times New Roman" w:hAnsi="Times New Roman" w:cs="Times New Roman"/>
          <w:sz w:val="22"/>
          <w:szCs w:val="22"/>
          <w:lang w:val="en-GB"/>
        </w:rPr>
        <w:instrText>ADDIN CSL_CITATION {"citationItems":[{"id":"ITEM-1","itemData":{"author":[{"dropping-particle":"V","family":"Bekaert","given":"D","non-dropping-particle":"","parse-names":false,"suffix":""},{"dropping-particle":"","family":"Barry","given":"P H","non-dropping-particle":"","parse-names":false,"suffix":""},{"dropping-particle":"","family":"Broadley","given":"M W","non-dropping-particle":"","parse-names":false,"suffix":""},{"dropping-particle":"","family":"Byrne","given":"D J","non-dropping-particle":"","parse-names":false,"suffix":""},{"dropping-particle":"","family":"Marty","given":"B","non-dropping-particle":"","parse-names":false,"suffix":""},{"dropping-particle":"De","family":"Moor","given":"J M","non-dropping-particle":"","parse-names":false,"suffix":""},{"dropping-particle":"","family":"Rodriguez","given":"A","non-dropping-particle":"","parse-names":false,"suffix":""},{"dropping-particle":"","family":"Hudak","given":"M R","non-dropping-particle":"","parse-names":false,"suffix":""},{"dropping-particle":"V","family":"Subhas","given":"A","non-dropping-particle":"","parse-names":false,"suffix":""},{"dropping-particle":"","family":"Caracausi","given":"A","non-dropping-particle":"","parse-names":false,"suffix":""},{"dropping-particle":"","family":"Lloyd","given":"K G","non-dropping-particle":"","parse-names":false,"suffix":""},{"dropping-particle":"","family":"Giovannelli","given":"D","non-dropping-particle":"","parse-names":false,"suffix":""},{"dropping-particle":"","family":"Seltzer","given":"A M","non-dropping-particle":"","parse-names":false,"suffix":""}],"container-title":"Science Advances","id":"ITEM-1","issued":{"date-parts":[["2023"]]},"page":"136-149","title":"Ultra-high precision noble gas isotope analyses reveal pervasive subsurface fractionation in hydrothermal systems","type":"article-journal","volume":"328"},"uris":["http://www.mendeley.com/documents/?uuid=2c0e967a-00b8-489f-b985-d2e272d6f20f"]}],"mendeley":{"formattedCitation":"&lt;sup&gt;9&lt;/sup&gt;","plainTextFormattedCitation":"9","previouslyFormattedCitation":"&lt;sup&gt;9&lt;/sup&gt;"},"properties":{"noteIndex":0},"schema":"https://github.com/citation-style-language/schema/raw/master/csl-citation.json"}</w:instrText>
      </w:r>
      <w:r w:rsidR="003D32DA" w:rsidRPr="0084570B">
        <w:rPr>
          <w:rFonts w:ascii="Times New Roman" w:eastAsia="Times New Roman" w:hAnsi="Times New Roman" w:cs="Times New Roman"/>
          <w:sz w:val="22"/>
          <w:szCs w:val="22"/>
          <w:lang w:val="en-GB"/>
        </w:rPr>
        <w:fldChar w:fldCharType="separate"/>
      </w:r>
      <w:r w:rsidR="009D2C8F" w:rsidRPr="0084570B">
        <w:rPr>
          <w:rFonts w:ascii="Times New Roman" w:eastAsia="Times New Roman" w:hAnsi="Times New Roman" w:cs="Times New Roman"/>
          <w:noProof/>
          <w:sz w:val="22"/>
          <w:szCs w:val="22"/>
          <w:vertAlign w:val="superscript"/>
          <w:lang w:val="en-GB"/>
        </w:rPr>
        <w:t>9</w:t>
      </w:r>
      <w:r w:rsidR="003D32DA" w:rsidRPr="0084570B">
        <w:rPr>
          <w:rFonts w:ascii="Times New Roman" w:eastAsia="Times New Roman" w:hAnsi="Times New Roman" w:cs="Times New Roman"/>
          <w:sz w:val="22"/>
          <w:szCs w:val="22"/>
          <w:lang w:val="en-GB"/>
        </w:rPr>
        <w:fldChar w:fldCharType="end"/>
      </w:r>
      <w:r w:rsidR="00741065" w:rsidRPr="0084570B">
        <w:rPr>
          <w:rFonts w:ascii="Times New Roman" w:eastAsia="Times New Roman" w:hAnsi="Times New Roman" w:cs="Times New Roman"/>
          <w:sz w:val="22"/>
          <w:szCs w:val="22"/>
          <w:lang w:val="en-GB"/>
        </w:rPr>
        <w:t>)</w:t>
      </w:r>
      <w:r w:rsidR="00927C11" w:rsidRPr="0084570B">
        <w:rPr>
          <w:rStyle w:val="hlfld-abstract"/>
          <w:rFonts w:ascii="Times New Roman" w:eastAsia="Times New Roman" w:hAnsi="Times New Roman" w:cs="Times New Roman"/>
          <w:sz w:val="22"/>
          <w:szCs w:val="22"/>
          <w:lang w:val="en-GB"/>
        </w:rPr>
        <w:t>, we cannot exclude the possibility that</w:t>
      </w:r>
      <w:r w:rsidR="00FE2A0E" w:rsidRPr="0084570B">
        <w:rPr>
          <w:rStyle w:val="hlfld-abstract"/>
          <w:rFonts w:ascii="Times New Roman" w:eastAsia="Times New Roman" w:hAnsi="Times New Roman" w:cs="Times New Roman"/>
          <w:sz w:val="22"/>
          <w:szCs w:val="22"/>
          <w:lang w:val="en-GB"/>
        </w:rPr>
        <w:t xml:space="preserve"> the Eifel gas sample discussed here </w:t>
      </w:r>
      <w:r w:rsidR="00741065" w:rsidRPr="0084570B">
        <w:rPr>
          <w:rStyle w:val="hlfld-abstract"/>
          <w:rFonts w:ascii="Times New Roman" w:eastAsia="Times New Roman" w:hAnsi="Times New Roman" w:cs="Times New Roman"/>
          <w:sz w:val="22"/>
          <w:szCs w:val="22"/>
          <w:lang w:val="en-GB"/>
        </w:rPr>
        <w:t xml:space="preserve">has </w:t>
      </w:r>
      <w:r w:rsidR="00D549EB" w:rsidRPr="0084570B">
        <w:rPr>
          <w:rStyle w:val="hlfld-abstract"/>
          <w:rFonts w:ascii="Times New Roman" w:eastAsia="Times New Roman" w:hAnsi="Times New Roman" w:cs="Times New Roman"/>
          <w:sz w:val="22"/>
          <w:szCs w:val="22"/>
          <w:lang w:val="en-GB"/>
        </w:rPr>
        <w:t xml:space="preserve">also </w:t>
      </w:r>
      <w:r w:rsidR="00741065" w:rsidRPr="0084570B">
        <w:rPr>
          <w:rStyle w:val="hlfld-abstract"/>
          <w:rFonts w:ascii="Times New Roman" w:eastAsia="Times New Roman" w:hAnsi="Times New Roman" w:cs="Times New Roman"/>
          <w:sz w:val="22"/>
          <w:szCs w:val="22"/>
          <w:lang w:val="en-GB"/>
        </w:rPr>
        <w:t>been</w:t>
      </w:r>
      <w:r w:rsidR="00FE2A0E" w:rsidRPr="0084570B">
        <w:rPr>
          <w:rStyle w:val="hlfld-abstract"/>
          <w:rFonts w:ascii="Times New Roman" w:eastAsia="Times New Roman" w:hAnsi="Times New Roman" w:cs="Times New Roman"/>
          <w:sz w:val="22"/>
          <w:szCs w:val="22"/>
          <w:lang w:val="en-GB"/>
        </w:rPr>
        <w:t xml:space="preserve"> affected by subsurface isotope fractionation. </w:t>
      </w:r>
      <w:r w:rsidR="00490E9C" w:rsidRPr="0084570B">
        <w:rPr>
          <w:rStyle w:val="hlfld-abstract"/>
          <w:rFonts w:ascii="Times New Roman" w:eastAsia="Times New Roman" w:hAnsi="Times New Roman" w:cs="Times New Roman"/>
          <w:sz w:val="22"/>
          <w:szCs w:val="22"/>
          <w:lang w:val="en-GB"/>
        </w:rPr>
        <w:t xml:space="preserve">In this case, the proportion of atmosphere-derived Xe in the Eifel mantle source may only be seen as a minimum value. </w:t>
      </w:r>
      <w:r w:rsidR="006B474F" w:rsidRPr="0084570B">
        <w:rPr>
          <w:rStyle w:val="hlfld-abstract"/>
          <w:rFonts w:ascii="Times New Roman" w:eastAsia="Times New Roman" w:hAnsi="Times New Roman" w:cs="Times New Roman"/>
          <w:sz w:val="22"/>
          <w:szCs w:val="22"/>
          <w:lang w:val="en-GB"/>
        </w:rPr>
        <w:t xml:space="preserve">Because the Mt. Etna gas samples were collected from a ~60m deep </w:t>
      </w:r>
      <w:r w:rsidR="006B474F" w:rsidRPr="0084570B">
        <w:rPr>
          <w:rFonts w:ascii="Times New Roman" w:eastAsia="Times New Roman" w:hAnsi="Times New Roman" w:cs="Times New Roman"/>
          <w:sz w:val="22"/>
          <w:szCs w:val="22"/>
          <w:lang w:val="en-US"/>
        </w:rPr>
        <w:t xml:space="preserve">well, it is likely that the process of </w:t>
      </w:r>
      <w:r w:rsidR="006B474F" w:rsidRPr="0084570B">
        <w:rPr>
          <w:rStyle w:val="hlfld-abstract"/>
          <w:rFonts w:ascii="Times New Roman" w:eastAsia="Times New Roman" w:hAnsi="Times New Roman" w:cs="Times New Roman"/>
          <w:sz w:val="22"/>
          <w:szCs w:val="22"/>
          <w:lang w:val="en-GB"/>
        </w:rPr>
        <w:t xml:space="preserve">subsurface isotope fractionation potentially affecting Eifel data does not apply to Mt. Etna samples. </w:t>
      </w:r>
      <w:r w:rsidR="00741065" w:rsidRPr="0084570B">
        <w:rPr>
          <w:rStyle w:val="hlfld-abstract"/>
          <w:rFonts w:ascii="Times New Roman" w:eastAsia="Times New Roman" w:hAnsi="Times New Roman" w:cs="Times New Roman"/>
          <w:sz w:val="22"/>
          <w:szCs w:val="22"/>
          <w:lang w:val="en-GB"/>
        </w:rPr>
        <w:t xml:space="preserve">This possibility is notably </w:t>
      </w:r>
      <w:r w:rsidR="000A5110" w:rsidRPr="0084570B">
        <w:rPr>
          <w:rStyle w:val="hlfld-abstract"/>
          <w:rFonts w:ascii="Times New Roman" w:eastAsia="Times New Roman" w:hAnsi="Times New Roman" w:cs="Times New Roman"/>
          <w:sz w:val="22"/>
          <w:szCs w:val="22"/>
          <w:lang w:val="en-GB"/>
        </w:rPr>
        <w:t>supported by the observation that</w:t>
      </w:r>
      <w:r w:rsidR="00741065" w:rsidRPr="0084570B">
        <w:rPr>
          <w:rStyle w:val="hlfld-abstract"/>
          <w:rFonts w:ascii="Times New Roman" w:eastAsia="Times New Roman" w:hAnsi="Times New Roman" w:cs="Times New Roman"/>
          <w:sz w:val="22"/>
          <w:szCs w:val="22"/>
          <w:lang w:val="en-GB"/>
        </w:rPr>
        <w:t xml:space="preserve"> </w:t>
      </w:r>
      <w:r w:rsidR="0028470A" w:rsidRPr="0084570B">
        <w:rPr>
          <w:rStyle w:val="hlfld-abstract"/>
          <w:rFonts w:ascii="Times New Roman" w:eastAsia="Times New Roman" w:hAnsi="Times New Roman" w:cs="Times New Roman"/>
          <w:sz w:val="22"/>
          <w:szCs w:val="22"/>
          <w:lang w:val="en-GB"/>
        </w:rPr>
        <w:t>t</w:t>
      </w:r>
      <w:r w:rsidR="003644DE" w:rsidRPr="0084570B">
        <w:rPr>
          <w:rStyle w:val="hlfld-abstract"/>
          <w:rFonts w:ascii="Times New Roman" w:eastAsia="Times New Roman" w:hAnsi="Times New Roman" w:cs="Times New Roman"/>
          <w:sz w:val="22"/>
          <w:szCs w:val="22"/>
          <w:lang w:val="en-GB"/>
        </w:rPr>
        <w:t xml:space="preserve">he </w:t>
      </w:r>
      <w:r w:rsidR="00741065" w:rsidRPr="0084570B">
        <w:rPr>
          <w:rFonts w:ascii="Times New Roman" w:eastAsia="Times New Roman" w:hAnsi="Times New Roman" w:cs="Times New Roman"/>
          <w:sz w:val="22"/>
          <w:szCs w:val="22"/>
          <w:lang w:val="en-US"/>
        </w:rPr>
        <w:t>δ</w:t>
      </w:r>
      <w:r w:rsidR="00741065" w:rsidRPr="0084570B">
        <w:rPr>
          <w:rFonts w:ascii="Times New Roman" w:eastAsia="Times New Roman" w:hAnsi="Times New Roman" w:cs="Times New Roman"/>
          <w:color w:val="222222"/>
          <w:sz w:val="22"/>
          <w:szCs w:val="22"/>
          <w:vertAlign w:val="superscript"/>
          <w:lang w:val="en-US"/>
        </w:rPr>
        <w:t>128</w:t>
      </w:r>
      <w:r w:rsidR="00741065" w:rsidRPr="0084570B">
        <w:rPr>
          <w:rFonts w:ascii="Times New Roman" w:eastAsia="Times New Roman" w:hAnsi="Times New Roman" w:cs="Times New Roman"/>
          <w:color w:val="222222"/>
          <w:sz w:val="22"/>
          <w:szCs w:val="22"/>
          <w:lang w:val="en-US"/>
        </w:rPr>
        <w:t>Xe/</w:t>
      </w:r>
      <w:r w:rsidR="00741065" w:rsidRPr="0084570B">
        <w:rPr>
          <w:rFonts w:ascii="Times New Roman" w:eastAsia="Times New Roman" w:hAnsi="Times New Roman" w:cs="Times New Roman"/>
          <w:color w:val="222222"/>
          <w:sz w:val="22"/>
          <w:szCs w:val="22"/>
          <w:vertAlign w:val="superscript"/>
          <w:lang w:val="en-US"/>
        </w:rPr>
        <w:t>130</w:t>
      </w:r>
      <w:r w:rsidR="00741065" w:rsidRPr="0084570B">
        <w:rPr>
          <w:rFonts w:ascii="Times New Roman" w:eastAsia="Times New Roman" w:hAnsi="Times New Roman" w:cs="Times New Roman"/>
          <w:color w:val="222222"/>
          <w:sz w:val="22"/>
          <w:szCs w:val="22"/>
          <w:lang w:val="en-US"/>
        </w:rPr>
        <w:t xml:space="preserve">Xe </w:t>
      </w:r>
      <w:r w:rsidR="0028470A" w:rsidRPr="0084570B">
        <w:rPr>
          <w:rFonts w:ascii="Times New Roman" w:eastAsia="Times New Roman" w:hAnsi="Times New Roman" w:cs="Times New Roman"/>
          <w:color w:val="222222"/>
          <w:sz w:val="22"/>
          <w:szCs w:val="22"/>
          <w:lang w:val="en-US"/>
        </w:rPr>
        <w:t xml:space="preserve">estimated for </w:t>
      </w:r>
      <w:r w:rsidR="00741065" w:rsidRPr="0084570B">
        <w:rPr>
          <w:rFonts w:ascii="Times New Roman" w:eastAsia="Times New Roman" w:hAnsi="Times New Roman" w:cs="Times New Roman"/>
          <w:color w:val="222222"/>
          <w:sz w:val="22"/>
          <w:szCs w:val="22"/>
          <w:lang w:val="en-US"/>
        </w:rPr>
        <w:t>Eifel</w:t>
      </w:r>
      <w:r w:rsidR="003644DE" w:rsidRPr="0084570B">
        <w:rPr>
          <w:rFonts w:ascii="Times New Roman" w:eastAsia="Times New Roman" w:hAnsi="Times New Roman" w:cs="Times New Roman"/>
          <w:color w:val="222222"/>
          <w:sz w:val="22"/>
          <w:szCs w:val="22"/>
          <w:lang w:val="en-US"/>
        </w:rPr>
        <w:t xml:space="preserve"> </w:t>
      </w:r>
      <w:r w:rsidR="003644DE" w:rsidRPr="0084570B">
        <w:rPr>
          <w:rFonts w:ascii="Times New Roman" w:eastAsia="Times New Roman" w:hAnsi="Times New Roman" w:cs="Times New Roman"/>
          <w:sz w:val="22"/>
          <w:szCs w:val="22"/>
          <w:lang w:val="en-US"/>
        </w:rPr>
        <w:t>mantle source</w:t>
      </w:r>
      <w:r w:rsidR="00741065" w:rsidRPr="0084570B">
        <w:rPr>
          <w:rFonts w:ascii="Times New Roman" w:eastAsia="Times New Roman" w:hAnsi="Times New Roman" w:cs="Times New Roman"/>
          <w:color w:val="222222"/>
          <w:sz w:val="22"/>
          <w:szCs w:val="22"/>
          <w:lang w:val="en-US"/>
        </w:rPr>
        <w:t xml:space="preserve"> </w:t>
      </w:r>
      <w:r w:rsidR="0028470A" w:rsidRPr="0084570B">
        <w:rPr>
          <w:rFonts w:ascii="Times New Roman" w:eastAsia="Times New Roman" w:hAnsi="Times New Roman" w:cs="Times New Roman"/>
          <w:color w:val="222222"/>
          <w:sz w:val="22"/>
          <w:szCs w:val="22"/>
          <w:lang w:val="en-US"/>
        </w:rPr>
        <w:t>is</w:t>
      </w:r>
      <w:r w:rsidR="00741065" w:rsidRPr="0084570B">
        <w:rPr>
          <w:rFonts w:ascii="Times New Roman" w:eastAsia="Times New Roman" w:hAnsi="Times New Roman" w:cs="Times New Roman"/>
          <w:color w:val="222222"/>
          <w:sz w:val="22"/>
          <w:szCs w:val="22"/>
          <w:lang w:val="en-US"/>
        </w:rPr>
        <w:t xml:space="preserve"> slightly </w:t>
      </w:r>
      <w:r w:rsidR="0028470A" w:rsidRPr="0084570B">
        <w:rPr>
          <w:rFonts w:ascii="Times New Roman" w:eastAsia="Times New Roman" w:hAnsi="Times New Roman" w:cs="Times New Roman"/>
          <w:color w:val="222222"/>
          <w:sz w:val="22"/>
          <w:szCs w:val="22"/>
          <w:lang w:val="en-US"/>
        </w:rPr>
        <w:t>greater</w:t>
      </w:r>
      <w:r w:rsidR="00741065" w:rsidRPr="0084570B">
        <w:rPr>
          <w:rFonts w:ascii="Times New Roman" w:eastAsia="Times New Roman" w:hAnsi="Times New Roman" w:cs="Times New Roman"/>
          <w:color w:val="222222"/>
          <w:sz w:val="22"/>
          <w:szCs w:val="22"/>
          <w:lang w:val="en-US"/>
        </w:rPr>
        <w:t xml:space="preserve"> than that derived for Mt. Etna</w:t>
      </w:r>
      <w:r w:rsidR="003644DE" w:rsidRPr="0084570B">
        <w:rPr>
          <w:rFonts w:ascii="Times New Roman" w:eastAsia="Times New Roman" w:hAnsi="Times New Roman" w:cs="Times New Roman"/>
          <w:color w:val="222222"/>
          <w:sz w:val="22"/>
          <w:szCs w:val="22"/>
          <w:lang w:val="en-US"/>
        </w:rPr>
        <w:t xml:space="preserve"> (</w:t>
      </w:r>
      <w:r w:rsidR="003644DE" w:rsidRPr="0084570B">
        <w:rPr>
          <w:rFonts w:ascii="Times New Roman" w:eastAsia="Times New Roman" w:hAnsi="Times New Roman" w:cs="Times New Roman"/>
          <w:b/>
          <w:color w:val="222222"/>
          <w:sz w:val="22"/>
          <w:szCs w:val="22"/>
          <w:lang w:val="en-US"/>
        </w:rPr>
        <w:t>Figure S3</w:t>
      </w:r>
      <w:r w:rsidR="003644DE" w:rsidRPr="0084570B">
        <w:rPr>
          <w:rFonts w:ascii="Times New Roman" w:eastAsia="Times New Roman" w:hAnsi="Times New Roman" w:cs="Times New Roman"/>
          <w:color w:val="222222"/>
          <w:sz w:val="22"/>
          <w:szCs w:val="22"/>
          <w:lang w:val="en-US"/>
        </w:rPr>
        <w:t xml:space="preserve">). In any case, the possibility for the Xe isotope composition of the Eifel gas sample analyzed in this study to have been affected by </w:t>
      </w:r>
      <w:r w:rsidR="003644DE" w:rsidRPr="0084570B">
        <w:rPr>
          <w:rStyle w:val="hlfld-abstract"/>
          <w:rFonts w:ascii="Times New Roman" w:eastAsia="Times New Roman" w:hAnsi="Times New Roman" w:cs="Times New Roman"/>
          <w:sz w:val="22"/>
          <w:szCs w:val="22"/>
          <w:lang w:val="en-GB"/>
        </w:rPr>
        <w:t xml:space="preserve">subsurface isotope fractionation </w:t>
      </w:r>
      <w:r w:rsidR="00490E9C" w:rsidRPr="0084570B">
        <w:rPr>
          <w:rStyle w:val="hlfld-abstract"/>
          <w:rFonts w:ascii="Times New Roman" w:eastAsia="Times New Roman" w:hAnsi="Times New Roman" w:cs="Times New Roman"/>
          <w:sz w:val="22"/>
          <w:szCs w:val="22"/>
          <w:lang w:val="en-GB"/>
        </w:rPr>
        <w:t xml:space="preserve">strengthens our conclusion that the proportion of primordial Xe in the upper mantle is minor. </w:t>
      </w:r>
    </w:p>
    <w:p w14:paraId="04218DC2" w14:textId="77777777" w:rsidR="00FE2A0E" w:rsidRPr="0084570B" w:rsidRDefault="00FE2A0E">
      <w:pP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br w:type="page"/>
      </w:r>
    </w:p>
    <w:p w14:paraId="1C658E27" w14:textId="483F1D92" w:rsidR="00550287" w:rsidRPr="0084570B" w:rsidRDefault="00D971FA" w:rsidP="00F65B41">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SI-</w:t>
      </w:r>
      <w:r w:rsidR="00265BDB" w:rsidRPr="0084570B">
        <w:rPr>
          <w:rFonts w:ascii="Times New Roman" w:eastAsia="Times New Roman" w:hAnsi="Times New Roman" w:cs="Times New Roman"/>
          <w:b/>
          <w:sz w:val="28"/>
          <w:szCs w:val="28"/>
          <w:lang w:val="en-US"/>
        </w:rPr>
        <w:t>3</w:t>
      </w:r>
      <w:r w:rsidR="00473D3D" w:rsidRPr="0084570B">
        <w:rPr>
          <w:rFonts w:ascii="Times New Roman" w:eastAsia="Times New Roman" w:hAnsi="Times New Roman" w:cs="Times New Roman"/>
          <w:b/>
          <w:sz w:val="28"/>
          <w:szCs w:val="28"/>
          <w:lang w:val="en-US"/>
        </w:rPr>
        <w:t>°</w:t>
      </w:r>
      <w:r w:rsidR="00601C4A" w:rsidRPr="0084570B">
        <w:rPr>
          <w:rFonts w:ascii="Times New Roman" w:eastAsia="Times New Roman" w:hAnsi="Times New Roman" w:cs="Times New Roman"/>
          <w:b/>
          <w:sz w:val="28"/>
          <w:szCs w:val="28"/>
          <w:lang w:val="en-US"/>
        </w:rPr>
        <w:t xml:space="preserve"> </w:t>
      </w:r>
      <w:r w:rsidR="00F65B41"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660288" behindDoc="1" locked="0" layoutInCell="1" allowOverlap="1" wp14:anchorId="7B164216" wp14:editId="17580776">
                <wp:simplePos x="0" y="0"/>
                <wp:positionH relativeFrom="column">
                  <wp:posOffset>-2328</wp:posOffset>
                </wp:positionH>
                <wp:positionV relativeFrom="paragraph">
                  <wp:posOffset>-15240</wp:posOffset>
                </wp:positionV>
                <wp:extent cx="5754158" cy="270510"/>
                <wp:effectExtent l="0" t="0" r="12065" b="8890"/>
                <wp:wrapNone/>
                <wp:docPr id="22" name="Rectangle 22"/>
                <wp:cNvGraphicFramePr/>
                <a:graphic xmlns:a="http://schemas.openxmlformats.org/drawingml/2006/main">
                  <a:graphicData uri="http://schemas.microsoft.com/office/word/2010/wordprocessingShape">
                    <wps:wsp>
                      <wps:cNvSpPr/>
                      <wps:spPr>
                        <a:xfrm>
                          <a:off x="0" y="0"/>
                          <a:ext cx="5754158"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E07EC8" id="Rectangle 22" o:spid="_x0000_s1026" style="position:absolute;margin-left:-.2pt;margin-top:-1.2pt;width:453.1pt;height:21.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" fillcolor="#f2dbdb [661]" stroked="f"/>
            </w:pict>
          </mc:Fallback>
        </mc:AlternateContent>
      </w:r>
      <w:r w:rsidR="00265BDB" w:rsidRPr="0084570B">
        <w:rPr>
          <w:rFonts w:ascii="Times New Roman" w:eastAsia="Times New Roman" w:hAnsi="Times New Roman" w:cs="Times New Roman"/>
          <w:b/>
          <w:sz w:val="28"/>
          <w:szCs w:val="28"/>
          <w:lang w:val="en-US"/>
        </w:rPr>
        <w:t>Noble gas abundance ratio systematics</w:t>
      </w:r>
    </w:p>
    <w:p w14:paraId="30918C48" w14:textId="77777777" w:rsidR="00265BDB" w:rsidRPr="0084570B" w:rsidRDefault="00840EDE" w:rsidP="00DC398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r>
    </w:p>
    <w:p w14:paraId="23585D54" w14:textId="639221DA" w:rsidR="007B2956" w:rsidRPr="0084570B" w:rsidRDefault="00265BDB" w:rsidP="00832649">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r>
      <w:r w:rsidR="007B2956" w:rsidRPr="0084570B">
        <w:rPr>
          <w:rFonts w:ascii="Times New Roman" w:eastAsia="Times New Roman" w:hAnsi="Times New Roman" w:cs="Times New Roman"/>
          <w:sz w:val="22"/>
          <w:szCs w:val="22"/>
        </w:rPr>
        <w:t>Noble gas elemental ratios in volcanic gases have been previously shown to broadly span the entire range between unfractionated air (i.e., δ</w:t>
      </w:r>
      <w:r w:rsidR="007B2956" w:rsidRPr="0084570B">
        <w:rPr>
          <w:rFonts w:ascii="Times New Roman" w:eastAsia="Times New Roman" w:hAnsi="Times New Roman" w:cs="Times New Roman"/>
          <w:sz w:val="22"/>
          <w:szCs w:val="22"/>
          <w:vertAlign w:val="superscript"/>
        </w:rPr>
        <w:t>84</w:t>
      </w:r>
      <w:r w:rsidR="007B2956" w:rsidRPr="0084570B">
        <w:rPr>
          <w:rFonts w:ascii="Times New Roman" w:eastAsia="Times New Roman" w:hAnsi="Times New Roman" w:cs="Times New Roman"/>
          <w:sz w:val="22"/>
          <w:szCs w:val="22"/>
        </w:rPr>
        <w:t>Kr/</w:t>
      </w:r>
      <w:r w:rsidR="007B2956" w:rsidRPr="0084570B">
        <w:rPr>
          <w:rFonts w:ascii="Times New Roman" w:eastAsia="Times New Roman" w:hAnsi="Times New Roman" w:cs="Times New Roman"/>
          <w:sz w:val="22"/>
          <w:szCs w:val="22"/>
          <w:vertAlign w:val="superscript"/>
        </w:rPr>
        <w:t>36</w:t>
      </w:r>
      <w:r w:rsidR="007B2956" w:rsidRPr="0084570B">
        <w:rPr>
          <w:rFonts w:ascii="Times New Roman" w:eastAsia="Times New Roman" w:hAnsi="Times New Roman" w:cs="Times New Roman"/>
          <w:sz w:val="22"/>
          <w:szCs w:val="22"/>
        </w:rPr>
        <w:t>Ar and δ</w:t>
      </w:r>
      <w:r w:rsidR="007B2956" w:rsidRPr="0084570B">
        <w:rPr>
          <w:rFonts w:ascii="Times New Roman" w:eastAsia="Times New Roman" w:hAnsi="Times New Roman" w:cs="Times New Roman"/>
          <w:sz w:val="22"/>
          <w:szCs w:val="22"/>
          <w:vertAlign w:val="superscript"/>
        </w:rPr>
        <w:t>130</w:t>
      </w:r>
      <w:r w:rsidR="007B2956" w:rsidRPr="0084570B">
        <w:rPr>
          <w:rFonts w:ascii="Times New Roman" w:eastAsia="Times New Roman" w:hAnsi="Times New Roman" w:cs="Times New Roman"/>
          <w:sz w:val="22"/>
          <w:szCs w:val="22"/>
        </w:rPr>
        <w:t>Xe/</w:t>
      </w:r>
      <w:r w:rsidR="007B2956" w:rsidRPr="0084570B">
        <w:rPr>
          <w:rFonts w:ascii="Times New Roman" w:eastAsia="Times New Roman" w:hAnsi="Times New Roman" w:cs="Times New Roman"/>
          <w:sz w:val="22"/>
          <w:szCs w:val="22"/>
          <w:vertAlign w:val="superscript"/>
        </w:rPr>
        <w:t>36</w:t>
      </w:r>
      <w:r w:rsidR="007B2956" w:rsidRPr="0084570B">
        <w:rPr>
          <w:rFonts w:ascii="Times New Roman" w:eastAsia="Times New Roman" w:hAnsi="Times New Roman" w:cs="Times New Roman"/>
          <w:sz w:val="22"/>
          <w:szCs w:val="22"/>
        </w:rPr>
        <w:t xml:space="preserve">Ar ~ 0‰) and </w:t>
      </w:r>
      <w:r w:rsidR="007B2956" w:rsidRPr="0084570B">
        <w:rPr>
          <w:rFonts w:ascii="Times New Roman" w:eastAsia="Times New Roman" w:hAnsi="Times New Roman" w:cs="Times New Roman"/>
          <w:sz w:val="22"/>
          <w:szCs w:val="22"/>
          <w:lang w:val="en-US"/>
        </w:rPr>
        <w:t>Air-Equilibrated Water (</w:t>
      </w:r>
      <w:r w:rsidR="007B2956" w:rsidRPr="0084570B">
        <w:rPr>
          <w:rFonts w:ascii="Times New Roman" w:eastAsia="Times New Roman" w:hAnsi="Times New Roman" w:cs="Times New Roman"/>
          <w:sz w:val="22"/>
          <w:szCs w:val="22"/>
        </w:rPr>
        <w:t>AEW), with small, but significant, deviations from an air-AEW mixing line toward higher δ</w:t>
      </w:r>
      <w:r w:rsidR="007B2956" w:rsidRPr="0084570B">
        <w:rPr>
          <w:rFonts w:ascii="Times New Roman" w:eastAsia="Times New Roman" w:hAnsi="Times New Roman" w:cs="Times New Roman"/>
          <w:sz w:val="22"/>
          <w:szCs w:val="22"/>
          <w:vertAlign w:val="superscript"/>
        </w:rPr>
        <w:t>132</w:t>
      </w:r>
      <w:r w:rsidR="007B2956" w:rsidRPr="0084570B">
        <w:rPr>
          <w:rFonts w:ascii="Times New Roman" w:eastAsia="Times New Roman" w:hAnsi="Times New Roman" w:cs="Times New Roman"/>
          <w:sz w:val="22"/>
          <w:szCs w:val="22"/>
        </w:rPr>
        <w:t>Xe/</w:t>
      </w:r>
      <w:r w:rsidR="007B2956" w:rsidRPr="0084570B">
        <w:rPr>
          <w:rFonts w:ascii="Times New Roman" w:eastAsia="Times New Roman" w:hAnsi="Times New Roman" w:cs="Times New Roman"/>
          <w:sz w:val="22"/>
          <w:szCs w:val="22"/>
          <w:vertAlign w:val="superscript"/>
        </w:rPr>
        <w:t>36</w:t>
      </w:r>
      <w:r w:rsidR="007B2956" w:rsidRPr="0084570B">
        <w:rPr>
          <w:rFonts w:ascii="Times New Roman" w:eastAsia="Times New Roman" w:hAnsi="Times New Roman" w:cs="Times New Roman"/>
          <w:sz w:val="22"/>
          <w:szCs w:val="22"/>
        </w:rPr>
        <w:t>Ar values</w:t>
      </w:r>
      <w:r w:rsidR="007B2956" w:rsidRPr="0084570B">
        <w:rPr>
          <w:rFonts w:ascii="Times New Roman" w:eastAsia="Times New Roman" w:hAnsi="Times New Roman" w:cs="Times New Roman"/>
          <w:sz w:val="22"/>
          <w:szCs w:val="22"/>
        </w:rPr>
        <w:fldChar w:fldCharType="begin" w:fldLock="1"/>
      </w:r>
      <w:r w:rsidR="00DB5D30" w:rsidRPr="0084570B">
        <w:rPr>
          <w:rFonts w:ascii="Times New Roman" w:eastAsia="Times New Roman" w:hAnsi="Times New Roman" w:cs="Times New Roman"/>
          <w:sz w:val="22"/>
          <w:szCs w:val="22"/>
        </w:rPr>
        <w:instrText>ADDIN CSL_CITATION {"citationItems":[{"id":"ITEM-1","itemData":{"author":[{"dropping-particle":"V","family":"Bekaert","given":"D","non-dropping-particle":"","parse-names":false,"suffix":""},{"dropping-particle":"","family":"Barry","given":"P H","non-dropping-particle":"","parse-names":false,"suffix":""},{"dropping-particle":"","family":"Broadley","given":"M W","non-dropping-particle":"","parse-names":false,"suffix":""},{"dropping-particle":"","family":"Byrne","given":"D J","non-dropping-particle":"","parse-names":false,"suffix":""},{"dropping-particle":"","family":"Marty","given":"B","non-dropping-particle":"","parse-names":false,"suffix":""},{"dropping-particle":"De","family":"Moor","given":"J M","non-dropping-particle":"","parse-names":false,"suffix":""},{"dropping-particle":"","family":"Rodriguez","given":"A","non-dropping-particle":"","parse-names":false,"suffix":""},{"dropping-particle":"","family":"Hudak","given":"M R","non-dropping-particle":"","parse-names":false,"suffix":""},{"dropping-particle":"V","family":"Subhas","given":"A","non-dropping-particle":"","parse-names":false,"suffix":""},{"dropping-particle":"","family":"Caracausi","given":"A","non-dropping-particle":"","parse-names":false,"suffix":""},{"dropping-particle":"","family":"Lloyd","given":"K G","non-dropping-particle":"","parse-names":false,"suffix":""},{"dropping-particle":"","family":"Giovannelli","given":"D","non-dropping-particle":"","parse-names":false,"suffix":""},{"dropping-particle":"","family":"Seltzer","given":"A M","non-dropping-particle":"","parse-names":false,"suffix":""}],"container-title":"Science Advances","id":"ITEM-1","issued":{"date-parts":[["2023"]]},"page":"136-149","title":"Ultra-high precision noble gas isotope analyses reveal pervasive subsurface fractionation in hydrothermal systems","type":"article-journal","volume":"328"},"uris":["http://www.mendeley.com/documents/?uuid=2c0e967a-00b8-489f-b985-d2e272d6f20f"]}],"mendeley":{"formattedCitation":"&lt;sup&gt;9&lt;/sup&gt;","plainTextFormattedCitation":"9","previouslyFormattedCitation":"&lt;sup&gt;9&lt;/sup&gt;"},"properties":{"noteIndex":0},"schema":"https://github.com/citation-style-language/schema/raw/master/csl-citation.json"}</w:instrText>
      </w:r>
      <w:r w:rsidR="007B2956" w:rsidRPr="0084570B">
        <w:rPr>
          <w:rFonts w:ascii="Times New Roman" w:eastAsia="Times New Roman" w:hAnsi="Times New Roman" w:cs="Times New Roman"/>
          <w:sz w:val="22"/>
          <w:szCs w:val="22"/>
        </w:rPr>
        <w:fldChar w:fldCharType="separate"/>
      </w:r>
      <w:r w:rsidR="007B2956" w:rsidRPr="0084570B">
        <w:rPr>
          <w:rFonts w:ascii="Times New Roman" w:eastAsia="Times New Roman" w:hAnsi="Times New Roman" w:cs="Times New Roman"/>
          <w:noProof/>
          <w:sz w:val="22"/>
          <w:szCs w:val="22"/>
          <w:vertAlign w:val="superscript"/>
        </w:rPr>
        <w:t>9</w:t>
      </w:r>
      <w:r w:rsidR="007B2956" w:rsidRPr="0084570B">
        <w:rPr>
          <w:rFonts w:ascii="Times New Roman" w:eastAsia="Times New Roman" w:hAnsi="Times New Roman" w:cs="Times New Roman"/>
          <w:sz w:val="22"/>
          <w:szCs w:val="22"/>
        </w:rPr>
        <w:fldChar w:fldCharType="end"/>
      </w:r>
      <w:r w:rsidR="007B2956" w:rsidRPr="0084570B">
        <w:rPr>
          <w:rFonts w:ascii="Times New Roman" w:eastAsia="Times New Roman" w:hAnsi="Times New Roman" w:cs="Times New Roman"/>
          <w:sz w:val="22"/>
          <w:szCs w:val="22"/>
        </w:rPr>
        <w:t xml:space="preserve">. Our new data from Mt. Etna and Eifel fully support these previous observations, with both samples showing </w:t>
      </w:r>
      <w:r w:rsidR="007B2956" w:rsidRPr="0084570B">
        <w:rPr>
          <w:rFonts w:ascii="Times New Roman" w:eastAsia="Times New Roman" w:hAnsi="Times New Roman" w:cs="Times New Roman"/>
          <w:sz w:val="22"/>
          <w:szCs w:val="22"/>
          <w:lang w:val="en-US"/>
        </w:rPr>
        <w:t xml:space="preserve">heavy noble gas compositions most compatible with </w:t>
      </w:r>
      <w:r w:rsidR="00E207D9" w:rsidRPr="0084570B">
        <w:rPr>
          <w:rFonts w:ascii="Times New Roman" w:eastAsia="Times New Roman" w:hAnsi="Times New Roman" w:cs="Times New Roman"/>
          <w:sz w:val="22"/>
          <w:szCs w:val="22"/>
          <w:lang w:val="en-US"/>
        </w:rPr>
        <w:t xml:space="preserve">Xe addition to an originally </w:t>
      </w:r>
      <w:r w:rsidR="007B2956" w:rsidRPr="0084570B">
        <w:rPr>
          <w:rFonts w:ascii="Times New Roman" w:eastAsia="Times New Roman" w:hAnsi="Times New Roman" w:cs="Times New Roman"/>
          <w:sz w:val="22"/>
          <w:szCs w:val="22"/>
          <w:lang w:val="en-US"/>
        </w:rPr>
        <w:t>AEW</w:t>
      </w:r>
      <w:r w:rsidR="00E207D9" w:rsidRPr="0084570B">
        <w:rPr>
          <w:rFonts w:ascii="Times New Roman" w:eastAsia="Times New Roman" w:hAnsi="Times New Roman" w:cs="Times New Roman"/>
          <w:sz w:val="22"/>
          <w:szCs w:val="22"/>
          <w:lang w:val="en-US"/>
        </w:rPr>
        <w:t>-like end-member</w:t>
      </w:r>
      <w:r w:rsidR="007B2956" w:rsidRPr="0084570B">
        <w:rPr>
          <w:rFonts w:ascii="Times New Roman" w:eastAsia="Times New Roman" w:hAnsi="Times New Roman" w:cs="Times New Roman"/>
          <w:sz w:val="22"/>
          <w:szCs w:val="22"/>
          <w:lang w:val="en-US"/>
        </w:rPr>
        <w:t xml:space="preserve"> (</w:t>
      </w:r>
      <w:r w:rsidR="007B2956" w:rsidRPr="0084570B">
        <w:rPr>
          <w:rFonts w:ascii="Times New Roman" w:eastAsia="Times New Roman" w:hAnsi="Times New Roman" w:cs="Times New Roman"/>
          <w:b/>
          <w:sz w:val="22"/>
          <w:szCs w:val="22"/>
          <w:lang w:val="en-US"/>
        </w:rPr>
        <w:t>Figure S4</w:t>
      </w:r>
      <w:r w:rsidR="007B2956" w:rsidRPr="0084570B">
        <w:rPr>
          <w:rFonts w:ascii="Times New Roman" w:eastAsia="Times New Roman" w:hAnsi="Times New Roman" w:cs="Times New Roman"/>
          <w:sz w:val="22"/>
          <w:szCs w:val="22"/>
          <w:lang w:val="en-US"/>
        </w:rPr>
        <w:t xml:space="preserve">). </w:t>
      </w:r>
      <w:r w:rsidR="00E207D9" w:rsidRPr="0084570B">
        <w:rPr>
          <w:rFonts w:ascii="Times New Roman" w:eastAsia="Times New Roman" w:hAnsi="Times New Roman" w:cs="Times New Roman"/>
          <w:sz w:val="22"/>
          <w:szCs w:val="22"/>
        </w:rPr>
        <w:t>Note that s</w:t>
      </w:r>
      <w:r w:rsidR="007B2956" w:rsidRPr="0084570B">
        <w:rPr>
          <w:rFonts w:ascii="Times New Roman" w:eastAsia="Times New Roman" w:hAnsi="Times New Roman" w:cs="Times New Roman"/>
          <w:sz w:val="22"/>
          <w:szCs w:val="22"/>
        </w:rPr>
        <w:t xml:space="preserve">everal samples (e.g., from the Chilean volcanic arc) had </w:t>
      </w:r>
      <w:r w:rsidR="00E207D9" w:rsidRPr="0084570B">
        <w:rPr>
          <w:rFonts w:ascii="Times New Roman" w:eastAsia="Times New Roman" w:hAnsi="Times New Roman" w:cs="Times New Roman"/>
          <w:sz w:val="22"/>
          <w:szCs w:val="22"/>
        </w:rPr>
        <w:t>previously</w:t>
      </w:r>
      <w:r w:rsidR="007B2956" w:rsidRPr="0084570B">
        <w:rPr>
          <w:rFonts w:ascii="Times New Roman" w:eastAsia="Times New Roman" w:hAnsi="Times New Roman" w:cs="Times New Roman"/>
          <w:sz w:val="22"/>
          <w:szCs w:val="22"/>
        </w:rPr>
        <w:t xml:space="preserve"> been shown to exhibit δ</w:t>
      </w:r>
      <w:r w:rsidR="007B2956" w:rsidRPr="0084570B">
        <w:rPr>
          <w:rFonts w:ascii="Times New Roman" w:eastAsia="Times New Roman" w:hAnsi="Times New Roman" w:cs="Times New Roman"/>
          <w:sz w:val="22"/>
          <w:szCs w:val="22"/>
          <w:vertAlign w:val="superscript"/>
        </w:rPr>
        <w:t>84</w:t>
      </w:r>
      <w:r w:rsidR="007B2956" w:rsidRPr="0084570B">
        <w:rPr>
          <w:rFonts w:ascii="Times New Roman" w:eastAsia="Times New Roman" w:hAnsi="Times New Roman" w:cs="Times New Roman"/>
          <w:sz w:val="22"/>
          <w:szCs w:val="22"/>
        </w:rPr>
        <w:t>Kr/</w:t>
      </w:r>
      <w:r w:rsidR="007B2956" w:rsidRPr="0084570B">
        <w:rPr>
          <w:rFonts w:ascii="Times New Roman" w:eastAsia="Times New Roman" w:hAnsi="Times New Roman" w:cs="Times New Roman"/>
          <w:sz w:val="22"/>
          <w:szCs w:val="22"/>
          <w:vertAlign w:val="superscript"/>
        </w:rPr>
        <w:t>36</w:t>
      </w:r>
      <w:r w:rsidR="007B2956" w:rsidRPr="0084570B">
        <w:rPr>
          <w:rFonts w:ascii="Times New Roman" w:eastAsia="Times New Roman" w:hAnsi="Times New Roman" w:cs="Times New Roman"/>
          <w:sz w:val="22"/>
          <w:szCs w:val="22"/>
        </w:rPr>
        <w:t>Ar and δ</w:t>
      </w:r>
      <w:r w:rsidR="007B2956" w:rsidRPr="0084570B">
        <w:rPr>
          <w:rFonts w:ascii="Times New Roman" w:eastAsia="Times New Roman" w:hAnsi="Times New Roman" w:cs="Times New Roman"/>
          <w:sz w:val="22"/>
          <w:szCs w:val="22"/>
          <w:vertAlign w:val="superscript"/>
        </w:rPr>
        <w:t>130</w:t>
      </w:r>
      <w:r w:rsidR="007B2956" w:rsidRPr="0084570B">
        <w:rPr>
          <w:rFonts w:ascii="Times New Roman" w:eastAsia="Times New Roman" w:hAnsi="Times New Roman" w:cs="Times New Roman"/>
          <w:sz w:val="22"/>
          <w:szCs w:val="22"/>
        </w:rPr>
        <w:t>Xe/</w:t>
      </w:r>
      <w:r w:rsidR="007B2956" w:rsidRPr="0084570B">
        <w:rPr>
          <w:rFonts w:ascii="Times New Roman" w:eastAsia="Times New Roman" w:hAnsi="Times New Roman" w:cs="Times New Roman"/>
          <w:sz w:val="22"/>
          <w:szCs w:val="22"/>
          <w:vertAlign w:val="superscript"/>
        </w:rPr>
        <w:t>36</w:t>
      </w:r>
      <w:r w:rsidR="007B2956" w:rsidRPr="0084570B">
        <w:rPr>
          <w:rFonts w:ascii="Times New Roman" w:eastAsia="Times New Roman" w:hAnsi="Times New Roman" w:cs="Times New Roman"/>
          <w:sz w:val="22"/>
          <w:szCs w:val="22"/>
        </w:rPr>
        <w:t xml:space="preserve">Ar values above the AEW range, </w:t>
      </w:r>
      <w:r w:rsidR="00E207D9" w:rsidRPr="0084570B">
        <w:rPr>
          <w:rFonts w:ascii="Times New Roman" w:eastAsia="Times New Roman" w:hAnsi="Times New Roman" w:cs="Times New Roman"/>
          <w:sz w:val="22"/>
          <w:szCs w:val="22"/>
        </w:rPr>
        <w:t>attributed to</w:t>
      </w:r>
      <w:r w:rsidR="007B2956" w:rsidRPr="0084570B">
        <w:rPr>
          <w:rFonts w:ascii="Times New Roman" w:eastAsia="Times New Roman" w:hAnsi="Times New Roman" w:cs="Times New Roman"/>
          <w:sz w:val="22"/>
          <w:szCs w:val="22"/>
        </w:rPr>
        <w:t xml:space="preserve"> contributions from Kr- and Xe-rich components possibly associated with subducted organic and sedimentary material</w:t>
      </w:r>
      <w:r w:rsidR="007B2956" w:rsidRPr="0084570B">
        <w:rPr>
          <w:rFonts w:ascii="Times New Roman" w:eastAsia="Times New Roman" w:hAnsi="Times New Roman" w:cs="Times New Roman"/>
          <w:sz w:val="22"/>
          <w:szCs w:val="22"/>
        </w:rPr>
        <w:fldChar w:fldCharType="begin" w:fldLock="1"/>
      </w:r>
      <w:r w:rsidR="00DB5D30" w:rsidRPr="0084570B">
        <w:rPr>
          <w:rFonts w:ascii="Times New Roman" w:eastAsia="Times New Roman" w:hAnsi="Times New Roman" w:cs="Times New Roman"/>
          <w:sz w:val="22"/>
          <w:szCs w:val="22"/>
        </w:rPr>
        <w:instrText>ADDIN CSL_CITATION {"citationItems":[{"id":"ITEM-1","itemData":{"author":[{"dropping-particle":"V","family":"Bekaert","given":"D","non-dropping-particle":"","parse-names":false,"suffix":""},{"dropping-particle":"","family":"Barry","given":"P H","non-dropping-particle":"","parse-names":false,"suffix":""},{"dropping-particle":"","family":"Broadley","given":"M W","non-dropping-particle":"","parse-names":false,"suffix":""},{"dropping-particle":"","family":"Byrne","given":"D J","non-dropping-particle":"","parse-names":false,"suffix":""},{"dropping-particle":"","family":"Marty","given":"B","non-dropping-particle":"","parse-names":false,"suffix":""},{"dropping-particle":"De","family":"Moor","given":"J M","non-dropping-particle":"","parse-names":false,"suffix":""},{"dropping-particle":"","family":"Rodriguez","given":"A","non-dropping-particle":"","parse-names":false,"suffix":""},{"dropping-particle":"","family":"Hudak","given":"M R","non-dropping-particle":"","parse-names":false,"suffix":""},{"dropping-particle":"V","family":"Subhas","given":"A","non-dropping-particle":"","parse-names":false,"suffix":""},{"dropping-particle":"","family":"Caracausi","given":"A","non-dropping-particle":"","parse-names":false,"suffix":""},{"dropping-particle":"","family":"Lloyd","given":"K G","non-dropping-particle":"","parse-names":false,"suffix":""},{"dropping-particle":"","family":"Giovannelli","given":"D","non-dropping-particle":"","parse-names":false,"suffix":""},{"dropping-particle":"","family":"Seltzer","given":"A M","non-dropping-particle":"","parse-names":false,"suffix":""}],"container-title":"Science Advances","id":"ITEM-1","issued":{"date-parts":[["2023"]]},"page":"136-149","title":"Ultra-high precision noble gas isotope analyses reveal pervasive subsurface fractionation in hydrothermal systems","type":"article-journal","volume":"328"},"uris":["http://www.mendeley.com/documents/?uuid=2c0e967a-00b8-489f-b985-d2e272d6f20f"]}],"mendeley":{"formattedCitation":"&lt;sup&gt;9&lt;/sup&gt;","plainTextFormattedCitation":"9","previouslyFormattedCitation":"&lt;sup&gt;9&lt;/sup&gt;"},"properties":{"noteIndex":0},"schema":"https://github.com/citation-style-language/schema/raw/master/csl-citation.json"}</w:instrText>
      </w:r>
      <w:r w:rsidR="007B2956" w:rsidRPr="0084570B">
        <w:rPr>
          <w:rFonts w:ascii="Times New Roman" w:eastAsia="Times New Roman" w:hAnsi="Times New Roman" w:cs="Times New Roman"/>
          <w:sz w:val="22"/>
          <w:szCs w:val="22"/>
        </w:rPr>
        <w:fldChar w:fldCharType="separate"/>
      </w:r>
      <w:r w:rsidR="007B2956" w:rsidRPr="0084570B">
        <w:rPr>
          <w:rFonts w:ascii="Times New Roman" w:eastAsia="Times New Roman" w:hAnsi="Times New Roman" w:cs="Times New Roman"/>
          <w:noProof/>
          <w:sz w:val="22"/>
          <w:szCs w:val="22"/>
          <w:vertAlign w:val="superscript"/>
        </w:rPr>
        <w:t>9</w:t>
      </w:r>
      <w:r w:rsidR="007B2956" w:rsidRPr="0084570B">
        <w:rPr>
          <w:rFonts w:ascii="Times New Roman" w:eastAsia="Times New Roman" w:hAnsi="Times New Roman" w:cs="Times New Roman"/>
          <w:sz w:val="22"/>
          <w:szCs w:val="22"/>
        </w:rPr>
        <w:fldChar w:fldCharType="end"/>
      </w:r>
      <w:r w:rsidR="007B2956" w:rsidRPr="0084570B">
        <w:rPr>
          <w:rFonts w:ascii="Times New Roman" w:eastAsia="Times New Roman" w:hAnsi="Times New Roman" w:cs="Times New Roman"/>
          <w:sz w:val="22"/>
          <w:szCs w:val="22"/>
        </w:rPr>
        <w:t>, which is not observed in the present study.</w:t>
      </w:r>
    </w:p>
    <w:p w14:paraId="5CF39DBA" w14:textId="69D173E7" w:rsidR="00265BDB" w:rsidRPr="0084570B" w:rsidRDefault="00265BDB" w:rsidP="00265BDB">
      <w:pPr>
        <w:pStyle w:val="Normal1"/>
        <w:spacing w:line="360" w:lineRule="auto"/>
        <w:jc w:val="both"/>
        <w:rPr>
          <w:rFonts w:ascii="Times New Roman" w:eastAsia="Times New Roman" w:hAnsi="Times New Roman" w:cs="Times New Roman"/>
          <w:sz w:val="22"/>
          <w:szCs w:val="22"/>
          <w:lang w:val="en-US"/>
        </w:rPr>
      </w:pPr>
    </w:p>
    <w:p w14:paraId="05BEB1F9" w14:textId="102B272E" w:rsidR="00550287" w:rsidRPr="0084570B" w:rsidRDefault="003C758F" w:rsidP="00DC398E">
      <w:pPr>
        <w:pStyle w:val="Normal1"/>
        <w:spacing w:line="360" w:lineRule="auto"/>
        <w:jc w:val="center"/>
        <w:rPr>
          <w:rFonts w:ascii="Times New Roman" w:eastAsia="Times New Roman" w:hAnsi="Times New Roman" w:cs="Times New Roman"/>
          <w:sz w:val="20"/>
          <w:szCs w:val="20"/>
          <w:lang w:val="en-US"/>
        </w:rPr>
      </w:pPr>
      <w:r w:rsidRPr="0084570B">
        <w:rPr>
          <w:rFonts w:ascii="Times New Roman" w:eastAsia="Times New Roman" w:hAnsi="Times New Roman" w:cs="Times New Roman"/>
          <w:noProof/>
          <w:sz w:val="20"/>
          <w:szCs w:val="20"/>
          <w:lang w:val="fr-FR"/>
        </w:rPr>
        <w:drawing>
          <wp:inline distT="0" distB="0" distL="0" distR="0" wp14:anchorId="20B934DB" wp14:editId="5FA370FF">
            <wp:extent cx="3828223" cy="2771140"/>
            <wp:effectExtent l="0" t="0" r="0" b="0"/>
            <wp:docPr id="4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28964" cy="2771676"/>
                    </a:xfrm>
                    <a:prstGeom prst="rect">
                      <a:avLst/>
                    </a:prstGeom>
                    <a:noFill/>
                    <a:ln>
                      <a:noFill/>
                    </a:ln>
                  </pic:spPr>
                </pic:pic>
              </a:graphicData>
            </a:graphic>
          </wp:inline>
        </w:drawing>
      </w:r>
    </w:p>
    <w:p w14:paraId="7FBE635D" w14:textId="77777777" w:rsidR="00550287" w:rsidRPr="0084570B" w:rsidRDefault="00550287" w:rsidP="00DC398E">
      <w:pPr>
        <w:pStyle w:val="Normal1"/>
        <w:spacing w:line="360" w:lineRule="auto"/>
        <w:jc w:val="center"/>
        <w:rPr>
          <w:rFonts w:ascii="Times New Roman" w:eastAsia="Times New Roman" w:hAnsi="Times New Roman" w:cs="Times New Roman"/>
          <w:sz w:val="14"/>
          <w:szCs w:val="20"/>
          <w:lang w:val="en-US"/>
        </w:rPr>
      </w:pPr>
    </w:p>
    <w:p w14:paraId="45F6D2AF" w14:textId="48A15398" w:rsidR="00550287" w:rsidRPr="0084570B" w:rsidRDefault="00840EDE" w:rsidP="00DC398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w:t>
      </w:r>
      <w:r w:rsidR="00832649" w:rsidRPr="0084570B">
        <w:rPr>
          <w:rFonts w:ascii="Times New Roman" w:eastAsia="Times New Roman" w:hAnsi="Times New Roman" w:cs="Times New Roman"/>
          <w:b/>
          <w:sz w:val="22"/>
          <w:szCs w:val="22"/>
          <w:lang w:val="en-US"/>
        </w:rPr>
        <w:t>4</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 xml:space="preserve">Heavy noble gas abundance ratios in Mt. Etna </w:t>
      </w:r>
      <w:r w:rsidR="003C758F" w:rsidRPr="0084570B">
        <w:rPr>
          <w:rFonts w:ascii="Times New Roman" w:eastAsia="Times New Roman" w:hAnsi="Times New Roman" w:cs="Times New Roman"/>
          <w:b/>
          <w:sz w:val="22"/>
          <w:szCs w:val="22"/>
          <w:lang w:val="en-US"/>
        </w:rPr>
        <w:t xml:space="preserve">and Eifel </w:t>
      </w:r>
      <w:r w:rsidRPr="0084570B">
        <w:rPr>
          <w:rFonts w:ascii="Times New Roman" w:eastAsia="Times New Roman" w:hAnsi="Times New Roman" w:cs="Times New Roman"/>
          <w:b/>
          <w:sz w:val="22"/>
          <w:szCs w:val="22"/>
          <w:lang w:val="en-US"/>
        </w:rPr>
        <w:t>volcanic gases, expressed in delta notation relative to the atmospheric composition.</w:t>
      </w:r>
      <w:r w:rsidRPr="0084570B">
        <w:rPr>
          <w:rFonts w:ascii="Times New Roman" w:eastAsia="Times New Roman" w:hAnsi="Times New Roman" w:cs="Times New Roman"/>
          <w:sz w:val="22"/>
          <w:szCs w:val="22"/>
          <w:lang w:val="en-US"/>
        </w:rPr>
        <w:t xml:space="preserve"> </w:t>
      </w:r>
      <w:r w:rsidR="00265BDB" w:rsidRPr="0084570B">
        <w:rPr>
          <w:rFonts w:ascii="Times New Roman" w:eastAsia="Times New Roman" w:hAnsi="Times New Roman" w:cs="Times New Roman"/>
          <w:sz w:val="22"/>
          <w:szCs w:val="22"/>
          <w:lang w:val="en-US"/>
        </w:rPr>
        <w:t>The Air-Equilibrated Water (AEW) component is shown at variable temperatures (in the range 0-50°C) for comparison</w:t>
      </w:r>
      <w:r w:rsidR="00265BDB"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{"citationItems":[{"id":"ITEM-1","itemData":{"DOI":"10.1016/j.marchem.2019.03.007","ISSN":"0304-4203","author":[{"dropping-particle":"","family":"Jenkins","given":"W J","non-dropping-particle":"","parse-names":false,"suffix":""},{"dropping-particle":"","family":"Iii","given":"D E Lott","non-dropping-particle":"","parse-names":false,"suffix":""},{"dropping-particle":"","family":"Cahill","given":"K L","non-dropping-particle":"","parse-names":false,"suffix":""}],"container-title":"Marine Chemistry","id":"ITEM-1","issue":"April","issued":{"date-parts":[["2019"]]},"page":"94-107","publisher":"Elsevier","title":"A determination of atmospheric helium , neon , argon , krypton , and xenon solubility concentrations in water and seawater","type":"article-journal","volume":"211"},"uris":["http://www.mendeley.com/documents/?uuid=9d96c789-d069-4084-b3e7-1220d0b8b97e"]}],"mendeley":{"formattedCitation":"&lt;sup&gt;111&lt;/sup&gt;","plainTextFormattedCitation":"111","previouslyFormattedCitation":"&lt;sup&gt;111&lt;/sup&gt;"},"properties":{"noteIndex":0},"schema":"https://github.com/citation-style-language/schema/raw/master/csl-citation.json"}</w:instrText>
      </w:r>
      <w:r w:rsidR="00265BDB"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111</w:t>
      </w:r>
      <w:r w:rsidR="00265BDB" w:rsidRPr="0084570B">
        <w:rPr>
          <w:rFonts w:ascii="Times New Roman" w:eastAsia="Times New Roman" w:hAnsi="Times New Roman" w:cs="Times New Roman"/>
          <w:sz w:val="22"/>
          <w:szCs w:val="22"/>
          <w:lang w:val="en-US"/>
        </w:rPr>
        <w:fldChar w:fldCharType="end"/>
      </w:r>
      <w:r w:rsidR="00265BDB" w:rsidRPr="0084570B">
        <w:rPr>
          <w:rFonts w:ascii="Times New Roman" w:eastAsia="Times New Roman" w:hAnsi="Times New Roman" w:cs="Times New Roman"/>
          <w:sz w:val="22"/>
          <w:szCs w:val="22"/>
          <w:lang w:val="en-US"/>
        </w:rPr>
        <w:t>.</w:t>
      </w:r>
      <w:r w:rsidR="00987E42">
        <w:rPr>
          <w:rFonts w:ascii="Times New Roman" w:eastAsia="Times New Roman" w:hAnsi="Times New Roman" w:cs="Times New Roman"/>
          <w:sz w:val="22"/>
          <w:szCs w:val="22"/>
          <w:lang w:val="en-US"/>
        </w:rPr>
        <w:t xml:space="preserve"> </w:t>
      </w:r>
      <w:r w:rsidR="00987E42" w:rsidRPr="0084570B">
        <w:rPr>
          <w:rFonts w:ascii="Times New Roman" w:eastAsia="Times New Roman" w:hAnsi="Times New Roman" w:cs="Times New Roman"/>
          <w:color w:val="222222"/>
          <w:sz w:val="22"/>
          <w:szCs w:val="22"/>
          <w:lang w:val="en-US"/>
        </w:rPr>
        <w:t>U</w:t>
      </w:r>
      <w:r w:rsidR="00987E42">
        <w:rPr>
          <w:rFonts w:ascii="Times New Roman" w:eastAsia="Times New Roman" w:hAnsi="Times New Roman" w:cs="Times New Roman"/>
          <w:sz w:val="22"/>
          <w:szCs w:val="22"/>
          <w:lang w:val="en-US"/>
        </w:rPr>
        <w:t>ncertainties (</w:t>
      </w:r>
      <w:r w:rsidR="00987E42" w:rsidRPr="0084570B">
        <w:rPr>
          <w:rFonts w:ascii="Times New Roman" w:eastAsia="Times New Roman" w:hAnsi="Times New Roman" w:cs="Times New Roman"/>
          <w:sz w:val="22"/>
          <w:szCs w:val="22"/>
          <w:lang w:val="en-US"/>
        </w:rPr>
        <w:t>1σ</w:t>
      </w:r>
      <w:r w:rsidR="00987E42">
        <w:rPr>
          <w:rFonts w:ascii="Times New Roman" w:eastAsia="Times New Roman" w:hAnsi="Times New Roman" w:cs="Times New Roman"/>
          <w:sz w:val="22"/>
          <w:szCs w:val="22"/>
          <w:lang w:val="en-US"/>
        </w:rPr>
        <w:t xml:space="preserve">) are </w:t>
      </w:r>
      <w:r w:rsidR="005A411A">
        <w:rPr>
          <w:rFonts w:ascii="Times New Roman" w:eastAsia="Times New Roman" w:hAnsi="Times New Roman" w:cs="Times New Roman"/>
          <w:sz w:val="22"/>
          <w:szCs w:val="22"/>
          <w:lang w:val="en-US"/>
        </w:rPr>
        <w:t>smaller than</w:t>
      </w:r>
      <w:r w:rsidR="00987E42">
        <w:rPr>
          <w:rFonts w:ascii="Times New Roman" w:eastAsia="Times New Roman" w:hAnsi="Times New Roman" w:cs="Times New Roman"/>
          <w:sz w:val="22"/>
          <w:szCs w:val="22"/>
          <w:lang w:val="en-US"/>
        </w:rPr>
        <w:t xml:space="preserve"> symbol</w:t>
      </w:r>
      <w:r w:rsidR="005A411A">
        <w:rPr>
          <w:rFonts w:ascii="Times New Roman" w:eastAsia="Times New Roman" w:hAnsi="Times New Roman" w:cs="Times New Roman"/>
          <w:sz w:val="22"/>
          <w:szCs w:val="22"/>
          <w:lang w:val="en-US"/>
        </w:rPr>
        <w:t xml:space="preserve"> sizes</w:t>
      </w:r>
      <w:r w:rsidR="00987E42">
        <w:rPr>
          <w:rFonts w:ascii="Times New Roman" w:eastAsia="Times New Roman" w:hAnsi="Times New Roman" w:cs="Times New Roman"/>
          <w:sz w:val="22"/>
          <w:szCs w:val="22"/>
          <w:lang w:val="en-US"/>
        </w:rPr>
        <w:t>.</w:t>
      </w:r>
      <w:r w:rsidR="005A411A">
        <w:rPr>
          <w:rFonts w:ascii="Times New Roman" w:eastAsia="Times New Roman" w:hAnsi="Times New Roman" w:cs="Times New Roman"/>
          <w:sz w:val="22"/>
          <w:szCs w:val="22"/>
          <w:lang w:val="en-US"/>
        </w:rPr>
        <w:t xml:space="preserve"> </w:t>
      </w:r>
    </w:p>
    <w:p w14:paraId="283B9730" w14:textId="77777777" w:rsidR="007A2F21" w:rsidRPr="0084570B" w:rsidRDefault="007A2F21" w:rsidP="00DC398E">
      <w:pPr>
        <w:pStyle w:val="Normal1"/>
        <w:spacing w:line="360" w:lineRule="auto"/>
        <w:jc w:val="both"/>
        <w:rPr>
          <w:rFonts w:ascii="Times New Roman" w:eastAsia="Times New Roman" w:hAnsi="Times New Roman" w:cs="Times New Roman"/>
          <w:sz w:val="22"/>
          <w:szCs w:val="22"/>
          <w:lang w:val="en-US"/>
        </w:rPr>
      </w:pPr>
    </w:p>
    <w:p w14:paraId="2903E671" w14:textId="372DF7C3" w:rsidR="007A2F21" w:rsidRPr="0084570B" w:rsidRDefault="007A2F21" w:rsidP="00DC398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r>
      <w:r w:rsidR="00602585" w:rsidRPr="0084570B">
        <w:rPr>
          <w:rFonts w:ascii="Times New Roman" w:eastAsia="Times New Roman" w:hAnsi="Times New Roman" w:cs="Times New Roman"/>
          <w:sz w:val="22"/>
          <w:szCs w:val="22"/>
          <w:lang w:val="en-US"/>
        </w:rPr>
        <w:t xml:space="preserve"> </w:t>
      </w:r>
    </w:p>
    <w:p w14:paraId="10961CCA" w14:textId="77777777" w:rsidR="00602585" w:rsidRPr="0084570B" w:rsidRDefault="00602585" w:rsidP="00DC398E">
      <w:pPr>
        <w:pStyle w:val="Normal1"/>
        <w:spacing w:line="360" w:lineRule="auto"/>
        <w:jc w:val="both"/>
        <w:rPr>
          <w:rFonts w:ascii="Times New Roman" w:eastAsia="Times New Roman" w:hAnsi="Times New Roman" w:cs="Times New Roman"/>
          <w:sz w:val="22"/>
          <w:szCs w:val="22"/>
          <w:lang w:val="en-US"/>
        </w:rPr>
      </w:pPr>
    </w:p>
    <w:p w14:paraId="11068518" w14:textId="77777777" w:rsidR="00265BDB" w:rsidRPr="0084570B" w:rsidRDefault="00265BDB">
      <w:pPr>
        <w:pStyle w:val="Normal1"/>
        <w:spacing w:line="360" w:lineRule="auto"/>
        <w:jc w:val="center"/>
        <w:rPr>
          <w:rFonts w:ascii="Times New Roman" w:eastAsia="Times New Roman" w:hAnsi="Times New Roman" w:cs="Times New Roman"/>
          <w:b/>
          <w:sz w:val="22"/>
          <w:szCs w:val="22"/>
          <w:lang w:val="en-US"/>
        </w:rPr>
      </w:pPr>
    </w:p>
    <w:p w14:paraId="422CA74F" w14:textId="77777777" w:rsidR="00265BDB" w:rsidRPr="0084570B" w:rsidRDefault="00265BDB">
      <w:pPr>
        <w:pStyle w:val="Normal1"/>
        <w:spacing w:line="360" w:lineRule="auto"/>
        <w:jc w:val="center"/>
        <w:rPr>
          <w:rFonts w:ascii="Times New Roman" w:eastAsia="Times New Roman" w:hAnsi="Times New Roman" w:cs="Times New Roman"/>
          <w:b/>
          <w:sz w:val="22"/>
          <w:szCs w:val="22"/>
          <w:lang w:val="en-US"/>
        </w:rPr>
      </w:pPr>
    </w:p>
    <w:p w14:paraId="461B6760" w14:textId="77777777" w:rsidR="00265BDB" w:rsidRPr="0084570B" w:rsidRDefault="00265BDB">
      <w:pPr>
        <w:pStyle w:val="Normal1"/>
        <w:spacing w:line="360" w:lineRule="auto"/>
        <w:jc w:val="center"/>
        <w:rPr>
          <w:rFonts w:ascii="Times New Roman" w:eastAsia="Times New Roman" w:hAnsi="Times New Roman" w:cs="Times New Roman"/>
          <w:b/>
          <w:sz w:val="22"/>
          <w:szCs w:val="22"/>
          <w:lang w:val="en-US"/>
        </w:rPr>
      </w:pPr>
    </w:p>
    <w:p w14:paraId="2459BA60" w14:textId="77777777" w:rsidR="00265BDB" w:rsidRPr="0084570B" w:rsidRDefault="00265BDB">
      <w:pPr>
        <w:pStyle w:val="Normal1"/>
        <w:spacing w:line="360" w:lineRule="auto"/>
        <w:jc w:val="center"/>
        <w:rPr>
          <w:rFonts w:ascii="Times New Roman" w:eastAsia="Times New Roman" w:hAnsi="Times New Roman" w:cs="Times New Roman"/>
          <w:b/>
          <w:sz w:val="22"/>
          <w:szCs w:val="22"/>
          <w:lang w:val="en-US"/>
        </w:rPr>
      </w:pPr>
    </w:p>
    <w:p w14:paraId="214FA8F4" w14:textId="77777777" w:rsidR="00265BDB" w:rsidRPr="0084570B" w:rsidRDefault="00265BDB">
      <w:pPr>
        <w:pStyle w:val="Normal1"/>
        <w:spacing w:line="360" w:lineRule="auto"/>
        <w:jc w:val="center"/>
        <w:rPr>
          <w:rFonts w:ascii="Times New Roman" w:eastAsia="Times New Roman" w:hAnsi="Times New Roman" w:cs="Times New Roman"/>
          <w:b/>
          <w:sz w:val="22"/>
          <w:szCs w:val="22"/>
          <w:lang w:val="en-US"/>
        </w:rPr>
      </w:pPr>
    </w:p>
    <w:p w14:paraId="16B881F9" w14:textId="77777777" w:rsidR="00832649" w:rsidRPr="0084570B" w:rsidRDefault="00832649">
      <w:pP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br w:type="page"/>
      </w:r>
    </w:p>
    <w:p w14:paraId="19EA2A2D" w14:textId="30891A08" w:rsidR="00265BDB" w:rsidRPr="0084570B" w:rsidRDefault="00265BDB" w:rsidP="00265BDB">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 xml:space="preserve">SI-4° </w:t>
      </w:r>
      <w:r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703296" behindDoc="1" locked="0" layoutInCell="1" allowOverlap="1" wp14:anchorId="4760C369" wp14:editId="66355C6C">
                <wp:simplePos x="0" y="0"/>
                <wp:positionH relativeFrom="column">
                  <wp:posOffset>-2328</wp:posOffset>
                </wp:positionH>
                <wp:positionV relativeFrom="paragraph">
                  <wp:posOffset>-15240</wp:posOffset>
                </wp:positionV>
                <wp:extent cx="5754158" cy="270510"/>
                <wp:effectExtent l="0" t="0" r="12065" b="8890"/>
                <wp:wrapNone/>
                <wp:docPr id="18" name="Rectangle 18"/>
                <wp:cNvGraphicFramePr/>
                <a:graphic xmlns:a="http://schemas.openxmlformats.org/drawingml/2006/main">
                  <a:graphicData uri="http://schemas.microsoft.com/office/word/2010/wordprocessingShape">
                    <wps:wsp>
                      <wps:cNvSpPr/>
                      <wps:spPr>
                        <a:xfrm>
                          <a:off x="0" y="0"/>
                          <a:ext cx="5754158"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2698DB" id="Rectangle 18" o:spid="_x0000_s1026" style="position:absolute;margin-left:-.2pt;margin-top:-1.2pt;width:453.1pt;height:21.3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" fillcolor="#f2dbdb [661]" stroked="f"/>
            </w:pict>
          </mc:Fallback>
        </mc:AlternateContent>
      </w:r>
      <w:r w:rsidRPr="00987E42">
        <w:rPr>
          <w:rFonts w:ascii="Times New Roman" w:eastAsia="Times New Roman" w:hAnsi="Times New Roman" w:cs="Times New Roman"/>
          <w:b/>
          <w:noProof/>
          <w:sz w:val="28"/>
          <w:szCs w:val="28"/>
          <w:lang w:val="en-US"/>
        </w:rPr>
        <w:t>Xe isotope correction for gravitational settling</w:t>
      </w:r>
    </w:p>
    <w:p w14:paraId="2CCB9A46" w14:textId="77777777" w:rsidR="00265BDB" w:rsidRPr="0084570B" w:rsidRDefault="00265BDB">
      <w:pPr>
        <w:pStyle w:val="Normal1"/>
        <w:spacing w:line="360" w:lineRule="auto"/>
        <w:jc w:val="center"/>
        <w:rPr>
          <w:rFonts w:ascii="Times New Roman" w:eastAsia="Times New Roman" w:hAnsi="Times New Roman" w:cs="Times New Roman"/>
          <w:b/>
          <w:sz w:val="22"/>
          <w:szCs w:val="22"/>
          <w:lang w:val="en-US"/>
        </w:rPr>
      </w:pPr>
    </w:p>
    <w:p w14:paraId="59337F97" w14:textId="77777777" w:rsidR="00550287" w:rsidRPr="0084570B" w:rsidRDefault="00840EDE">
      <w:pPr>
        <w:pStyle w:val="Normal1"/>
        <w:spacing w:line="360" w:lineRule="auto"/>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drawing>
          <wp:inline distT="114300" distB="114300" distL="114300" distR="114300" wp14:anchorId="77BA7E27" wp14:editId="06C44FA2">
            <wp:extent cx="3607837" cy="2954694"/>
            <wp:effectExtent l="0" t="0" r="0" b="0"/>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4"/>
                    <a:srcRect/>
                    <a:stretch>
                      <a:fillRect/>
                    </a:stretch>
                  </pic:blipFill>
                  <pic:spPr>
                    <a:xfrm>
                      <a:off x="0" y="0"/>
                      <a:ext cx="3608238" cy="2955023"/>
                    </a:xfrm>
                    <a:prstGeom prst="rect">
                      <a:avLst/>
                    </a:prstGeom>
                    <a:ln/>
                  </pic:spPr>
                </pic:pic>
              </a:graphicData>
            </a:graphic>
          </wp:inline>
        </w:drawing>
      </w:r>
    </w:p>
    <w:p w14:paraId="71B2CA95" w14:textId="77777777" w:rsidR="00832649" w:rsidRPr="0084570B" w:rsidRDefault="00832649" w:rsidP="00EC37D0">
      <w:pPr>
        <w:pStyle w:val="Normal1"/>
        <w:spacing w:line="276" w:lineRule="auto"/>
        <w:jc w:val="both"/>
        <w:rPr>
          <w:rFonts w:ascii="Times New Roman" w:eastAsia="Times New Roman" w:hAnsi="Times New Roman" w:cs="Times New Roman"/>
          <w:b/>
          <w:sz w:val="22"/>
          <w:szCs w:val="22"/>
          <w:lang w:val="en-US"/>
        </w:rPr>
      </w:pPr>
    </w:p>
    <w:p w14:paraId="6E751F58" w14:textId="43E06907" w:rsidR="00BF0CCB" w:rsidRPr="0084570B" w:rsidRDefault="00840EDE" w:rsidP="005A411A">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w:t>
      </w:r>
      <w:r w:rsidR="00832649" w:rsidRPr="0084570B">
        <w:rPr>
          <w:rFonts w:ascii="Times New Roman" w:eastAsia="Times New Roman" w:hAnsi="Times New Roman" w:cs="Times New Roman"/>
          <w:b/>
          <w:sz w:val="22"/>
          <w:szCs w:val="22"/>
          <w:lang w:val="en-US"/>
        </w:rPr>
        <w:t>5</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 xml:space="preserve">Correction of the Xe isotope composition of Mt. Etna volcanic gas for potential fractionation due to </w:t>
      </w:r>
      <w:r w:rsidRPr="0084570B">
        <w:rPr>
          <w:rFonts w:ascii="Times New Roman" w:eastAsia="Times New Roman" w:hAnsi="Times New Roman" w:cs="Times New Roman"/>
          <w:b/>
          <w:color w:val="222222"/>
          <w:sz w:val="22"/>
          <w:szCs w:val="22"/>
          <w:lang w:val="en-US"/>
        </w:rPr>
        <w:t>depth-proportional gravitational settling in soil air at the time of groundwater recharge</w:t>
      </w:r>
      <w:r w:rsidR="00F654A5" w:rsidRPr="0084570B">
        <w:rPr>
          <w:rFonts w:ascii="Times New Roman" w:eastAsia="Times New Roman" w:hAnsi="Times New Roman" w:cs="Times New Roman"/>
          <w:b/>
          <w:color w:val="222222"/>
          <w:sz w:val="22"/>
          <w:szCs w:val="22"/>
          <w:lang w:val="en-US"/>
        </w:rPr>
        <w:fldChar w:fldCharType="begin" w:fldLock="1"/>
      </w:r>
      <w:r w:rsidR="00DB5D30" w:rsidRPr="0084570B">
        <w:rPr>
          <w:rFonts w:ascii="Times New Roman" w:eastAsia="Times New Roman" w:hAnsi="Times New Roman" w:cs="Times New Roman"/>
          <w:b/>
          <w:color w:val="222222"/>
          <w:sz w:val="22"/>
          <w:szCs w:val="22"/>
          <w:lang w:val="en-US"/>
        </w:rPr>
        <w:instrText>ADDIN CSL_CITATION {"citationItems":[{"id":"ITEM-1","itemData":{"DOI":"10.1038/s41467-019-13693-2","ISBN":"4146701913693","ISSN":"20411723","PMID":"31844053","abstract":"Constraining the magnitude of past hydrological change may improve understanding and predictions of future shifts in water availability. Here we demonstrate that water-table depth, a sensitive indicator of hydroclimate, can be quantitatively reconstructed using Kr and Xe isotopes in groundwater. We present the first-ever measurements of these dissolved noble gas isotopes in groundwater at high precision (≤0.005‰ amu−1; 1σ), which reveal depth-proportional signals set by gravitational settling in soil air at the time of recharge. Analyses of California groundwater successfully reproduce modern groundwater levels and indicate a 17.9 ± 1.3 m (±1 SE) decline in water-table depth in Southern California during the last deglaciation. This hydroclimatic transition from the wetter glacial period to more arid Holocene accompanies a surface warming of 6.2 ± 0.6 °C (±1 SE). This new hydroclimate proxy builds upon an existing paleo-temperature application of noble gases and may identify regions prone to future hydrological change.","author":[{"dropping-particle":"","family":"Seltzer","given":"Alan M.","non-dropping-particle":"","parse-names":false,"suffix":""},{"dropping-particle":"","family":"Ng","given":"Jessica","non-dropping-particle":"","parse-names":false,"suffix":""},{"dropping-particle":"","family":"Danskin","given":"Wesley R.","non-dropping-particle":"","parse-names":false,"suffix":""},{"dropping-particle":"","family":"Kulongoski","given":"Justin T.","non-dropping-particle":"","parse-names":false,"suffix":""},{"dropping-particle":"","family":"Gannon","given":"Riley S.","non-dropping-particle":"","parse-names":false,"suffix":""},{"dropping-particle":"","family":"Stute","given":"Martin","non-dropping-particle":"","parse-names":false,"suffix":""},{"dropping-particle":"","family":"Severinghaus","given":"Jeffrey P.","non-dropping-particle":"","parse-names":false,"suffix":""}],"container-title":"Nature Communications","id":"ITEM-1","issue":"1","issued":{"date-parts":[["2019"]]},"page":"1-6","publisher":"Springer US","title":"Deglacial water-table decline in Southern California recorded by noble gas isotopes","type":"article-journal","volume":"10"},"uris":["http://www.mendeley.com/documents/?uuid=725cd76a-f238-46ff-98b0-dcad3629e2d5"]}],"mendeley":{"formattedCitation":"&lt;sup&gt;20&lt;/sup&gt;","plainTextFormattedCitation":"20","previouslyFormattedCitation":"&lt;sup&gt;20&lt;/sup&gt;"},"properties":{"noteIndex":0},"schema":"https://github.com/citation-style-language/schema/raw/master/csl-citation.json"}</w:instrText>
      </w:r>
      <w:r w:rsidR="00F654A5" w:rsidRPr="0084570B">
        <w:rPr>
          <w:rFonts w:ascii="Times New Roman" w:eastAsia="Times New Roman" w:hAnsi="Times New Roman" w:cs="Times New Roman"/>
          <w:b/>
          <w:color w:val="222222"/>
          <w:sz w:val="22"/>
          <w:szCs w:val="22"/>
          <w:lang w:val="en-US"/>
        </w:rPr>
        <w:fldChar w:fldCharType="separate"/>
      </w:r>
      <w:r w:rsidR="00DB5D30" w:rsidRPr="0084570B">
        <w:rPr>
          <w:rFonts w:ascii="Times New Roman" w:eastAsia="Times New Roman" w:hAnsi="Times New Roman" w:cs="Times New Roman"/>
          <w:noProof/>
          <w:color w:val="222222"/>
          <w:sz w:val="22"/>
          <w:szCs w:val="22"/>
          <w:vertAlign w:val="superscript"/>
          <w:lang w:val="en-US"/>
        </w:rPr>
        <w:t>20</w:t>
      </w:r>
      <w:r w:rsidR="00F654A5" w:rsidRPr="0084570B">
        <w:rPr>
          <w:rFonts w:ascii="Times New Roman" w:eastAsia="Times New Roman" w:hAnsi="Times New Roman" w:cs="Times New Roman"/>
          <w:b/>
          <w:color w:val="222222"/>
          <w:sz w:val="22"/>
          <w:szCs w:val="22"/>
          <w:lang w:val="en-US"/>
        </w:rPr>
        <w:fldChar w:fldCharType="end"/>
      </w:r>
      <w:r w:rsidR="00F654A5" w:rsidRPr="0084570B">
        <w:rPr>
          <w:rFonts w:ascii="Times New Roman" w:eastAsia="Times New Roman" w:hAnsi="Times New Roman" w:cs="Times New Roman"/>
          <w:color w:val="222222"/>
          <w:sz w:val="22"/>
          <w:szCs w:val="22"/>
          <w:lang w:val="en-US"/>
        </w:rPr>
        <w:t xml:space="preserve"> </w:t>
      </w:r>
      <w:r w:rsidRPr="0084570B">
        <w:rPr>
          <w:rFonts w:ascii="Times New Roman" w:eastAsia="Times New Roman" w:hAnsi="Times New Roman" w:cs="Times New Roman"/>
          <w:sz w:val="22"/>
          <w:szCs w:val="22"/>
          <w:lang w:val="en-US"/>
        </w:rPr>
        <w:t>(considering a water table depth of 30 </w:t>
      </w:r>
      <w:r w:rsidR="004B398D" w:rsidRPr="0084570B">
        <w:rPr>
          <w:rFonts w:ascii="Times New Roman" w:eastAsia="Times New Roman" w:hAnsi="Times New Roman" w:cs="Times New Roman"/>
          <w:sz w:val="22"/>
          <w:szCs w:val="22"/>
          <w:lang w:val="en-US"/>
        </w:rPr>
        <w:t>meters</w:t>
      </w:r>
      <w:r w:rsidRPr="0084570B">
        <w:rPr>
          <w:rFonts w:ascii="Times New Roman" w:eastAsia="Times New Roman" w:hAnsi="Times New Roman" w:cs="Times New Roman"/>
          <w:sz w:val="22"/>
          <w:szCs w:val="22"/>
          <w:lang w:val="en-US"/>
        </w:rPr>
        <w:t xml:space="preserve">, as potentially suggested by Kr isotope systematics; </w:t>
      </w:r>
      <w:r w:rsidR="00913426" w:rsidRPr="0084570B">
        <w:rPr>
          <w:rFonts w:ascii="Times New Roman" w:eastAsia="Times New Roman" w:hAnsi="Times New Roman" w:cs="Times New Roman"/>
          <w:b/>
          <w:sz w:val="22"/>
          <w:szCs w:val="22"/>
          <w:lang w:val="en-US"/>
        </w:rPr>
        <w:t>Figure</w:t>
      </w:r>
      <w:r w:rsidR="00832649" w:rsidRPr="0084570B">
        <w:rPr>
          <w:rFonts w:ascii="Times New Roman" w:eastAsia="Times New Roman" w:hAnsi="Times New Roman" w:cs="Times New Roman"/>
          <w:b/>
          <w:sz w:val="22"/>
          <w:szCs w:val="22"/>
          <w:lang w:val="en-US"/>
        </w:rPr>
        <w:t xml:space="preserve"> 2</w:t>
      </w:r>
      <w:r w:rsidRPr="0084570B">
        <w:rPr>
          <w:rFonts w:ascii="Times New Roman" w:eastAsia="Times New Roman" w:hAnsi="Times New Roman" w:cs="Times New Roman"/>
          <w:sz w:val="22"/>
          <w:szCs w:val="22"/>
          <w:lang w:val="en-US"/>
        </w:rPr>
        <w:t xml:space="preserve">). </w:t>
      </w:r>
      <w:r w:rsidR="005A411A" w:rsidRPr="0084570B">
        <w:rPr>
          <w:rFonts w:ascii="Times New Roman" w:eastAsia="Times New Roman" w:hAnsi="Times New Roman" w:cs="Times New Roman"/>
          <w:color w:val="222222"/>
          <w:sz w:val="22"/>
          <w:szCs w:val="22"/>
          <w:lang w:val="en-US"/>
        </w:rPr>
        <w:t>U</w:t>
      </w:r>
      <w:r w:rsidR="005A411A">
        <w:rPr>
          <w:rFonts w:ascii="Times New Roman" w:eastAsia="Times New Roman" w:hAnsi="Times New Roman" w:cs="Times New Roman"/>
          <w:sz w:val="22"/>
          <w:szCs w:val="22"/>
          <w:lang w:val="en-US"/>
        </w:rPr>
        <w:t>ncertainties are</w:t>
      </w:r>
      <w:r w:rsidR="005A411A" w:rsidRPr="0084570B">
        <w:rPr>
          <w:rFonts w:ascii="Times New Roman" w:eastAsia="Times New Roman" w:hAnsi="Times New Roman" w:cs="Times New Roman"/>
          <w:sz w:val="22"/>
          <w:szCs w:val="22"/>
          <w:lang w:val="en-US"/>
        </w:rPr>
        <w:t xml:space="preserve"> 1σ.</w:t>
      </w:r>
      <w:r w:rsidR="00BF0CCB" w:rsidRPr="0084570B">
        <w:rPr>
          <w:rFonts w:ascii="Times New Roman" w:eastAsia="Times New Roman" w:hAnsi="Times New Roman" w:cs="Times New Roman"/>
          <w:sz w:val="22"/>
          <w:szCs w:val="22"/>
          <w:lang w:val="en-US"/>
        </w:rPr>
        <w:br w:type="page"/>
      </w:r>
    </w:p>
    <w:p w14:paraId="594DEC41" w14:textId="3D998AB8" w:rsidR="008120DE" w:rsidRPr="0084570B" w:rsidRDefault="00D971FA" w:rsidP="00610BCC">
      <w:pPr>
        <w:pStyle w:val="Normal1"/>
        <w:spacing w:line="360" w:lineRule="auto"/>
        <w:ind w:firstLine="720"/>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SI-</w:t>
      </w:r>
      <w:r w:rsidR="008120DE"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696128" behindDoc="1" locked="0" layoutInCell="1" allowOverlap="1" wp14:anchorId="3954399D" wp14:editId="62ECCC7D">
                <wp:simplePos x="0" y="0"/>
                <wp:positionH relativeFrom="column">
                  <wp:posOffset>-28177</wp:posOffset>
                </wp:positionH>
                <wp:positionV relativeFrom="paragraph">
                  <wp:posOffset>-15585</wp:posOffset>
                </wp:positionV>
                <wp:extent cx="5753735" cy="270510"/>
                <wp:effectExtent l="0" t="0" r="12065" b="8890"/>
                <wp:wrapNone/>
                <wp:docPr id="43" name="Rectangle 43"/>
                <wp:cNvGraphicFramePr/>
                <a:graphic xmlns:a="http://schemas.openxmlformats.org/drawingml/2006/main">
                  <a:graphicData uri="http://schemas.microsoft.com/office/word/2010/wordprocessingShape">
                    <wps:wsp>
                      <wps:cNvSpPr/>
                      <wps:spPr>
                        <a:xfrm>
                          <a:off x="0" y="0"/>
                          <a:ext cx="5753735"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09841B" id="Rectangle 43" o:spid="_x0000_s1026" style="position:absolute;margin-left:-2.2pt;margin-top:-1.25pt;width:453.05pt;height:21.3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" fillcolor="#f2dbdb [661]" stroked="f"/>
            </w:pict>
          </mc:Fallback>
        </mc:AlternateContent>
      </w:r>
      <w:r w:rsidR="00265BDB" w:rsidRPr="0084570B">
        <w:rPr>
          <w:rFonts w:ascii="Times New Roman" w:eastAsia="Times New Roman" w:hAnsi="Times New Roman" w:cs="Times New Roman"/>
          <w:b/>
          <w:sz w:val="28"/>
          <w:szCs w:val="28"/>
          <w:lang w:val="en-US"/>
        </w:rPr>
        <w:t>5</w:t>
      </w:r>
      <w:r w:rsidR="008120DE" w:rsidRPr="0084570B">
        <w:rPr>
          <w:rFonts w:ascii="Times New Roman" w:eastAsia="Times New Roman" w:hAnsi="Times New Roman" w:cs="Times New Roman"/>
          <w:b/>
          <w:sz w:val="28"/>
          <w:szCs w:val="28"/>
          <w:lang w:val="en-US"/>
        </w:rPr>
        <w:t>° Monte Carlo deconvolution of Xe isotope signals</w:t>
      </w:r>
    </w:p>
    <w:p w14:paraId="4592F4EF" w14:textId="28DF28E3" w:rsidR="00610BCC" w:rsidRPr="0084570B" w:rsidRDefault="00417040" w:rsidP="00610BCC">
      <w:pPr>
        <w:pStyle w:val="Normal1"/>
        <w:spacing w:line="360" w:lineRule="auto"/>
        <w:ind w:firstLine="720"/>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tab/>
      </w:r>
    </w:p>
    <w:p w14:paraId="7BCB42BC" w14:textId="59AFC53C" w:rsidR="00521889" w:rsidRPr="005A411A" w:rsidRDefault="00417040" w:rsidP="005A411A">
      <w:pPr>
        <w:widowControl w:val="0"/>
        <w:autoSpaceDE w:val="0"/>
        <w:autoSpaceDN w:val="0"/>
        <w:adjustRightInd w:val="0"/>
        <w:spacing w:line="360" w:lineRule="auto"/>
        <w:jc w:val="both"/>
        <w:rPr>
          <w:rFonts w:ascii="Times New Roman" w:hAnsi="Times New Roman" w:cs="Arial"/>
          <w:sz w:val="22"/>
          <w:szCs w:val="22"/>
          <w:lang w:val="en-GB"/>
        </w:rPr>
      </w:pPr>
      <w:r w:rsidRPr="0084570B">
        <w:rPr>
          <w:rFonts w:ascii="Times New Roman" w:hAnsi="Times New Roman" w:cs="Arial"/>
          <w:sz w:val="22"/>
          <w:szCs w:val="22"/>
          <w:lang w:val="en-GB"/>
        </w:rPr>
        <w:tab/>
        <w:t xml:space="preserve">It is clear from </w:t>
      </w:r>
      <w:r w:rsidRPr="0084570B">
        <w:rPr>
          <w:rFonts w:ascii="Times New Roman" w:hAnsi="Times New Roman" w:cs="Arial"/>
          <w:b/>
          <w:sz w:val="22"/>
          <w:szCs w:val="22"/>
          <w:lang w:val="en-GB"/>
        </w:rPr>
        <w:t>Figure S1</w:t>
      </w:r>
      <w:r w:rsidRPr="0084570B">
        <w:rPr>
          <w:rFonts w:ascii="Times New Roman" w:hAnsi="Times New Roman" w:cs="Arial"/>
          <w:sz w:val="22"/>
          <w:szCs w:val="22"/>
          <w:lang w:val="en-GB"/>
        </w:rPr>
        <w:t xml:space="preserve"> that our data are most compatible with </w:t>
      </w:r>
      <w:r w:rsidR="004D5F86" w:rsidRPr="0084570B">
        <w:rPr>
          <w:rFonts w:ascii="Times New Roman" w:hAnsi="Times New Roman" w:cs="Arial"/>
          <w:sz w:val="22"/>
          <w:szCs w:val="22"/>
          <w:lang w:val="en-GB"/>
        </w:rPr>
        <w:t xml:space="preserve">fissiogenic Xe isotopes in the upper mantle being primarily (if not almost exclusively) derived from </w:t>
      </w:r>
      <w:r w:rsidR="004D5F86" w:rsidRPr="0084570B">
        <w:rPr>
          <w:rFonts w:ascii="Times New Roman" w:hAnsi="Times New Roman" w:cs="Arial"/>
          <w:sz w:val="22"/>
          <w:szCs w:val="22"/>
          <w:vertAlign w:val="superscript"/>
          <w:lang w:val="en-GB"/>
        </w:rPr>
        <w:t>238</w:t>
      </w:r>
      <w:r w:rsidR="004D5F86" w:rsidRPr="0084570B">
        <w:rPr>
          <w:rFonts w:ascii="Times New Roman" w:hAnsi="Times New Roman" w:cs="Arial"/>
          <w:sz w:val="22"/>
          <w:szCs w:val="22"/>
          <w:lang w:val="en-GB"/>
        </w:rPr>
        <w:t xml:space="preserve">U fission, rather than </w:t>
      </w:r>
      <w:r w:rsidR="004D5F86" w:rsidRPr="0084570B">
        <w:rPr>
          <w:rFonts w:ascii="Times New Roman" w:hAnsi="Times New Roman" w:cs="Arial"/>
          <w:sz w:val="22"/>
          <w:szCs w:val="22"/>
          <w:vertAlign w:val="superscript"/>
          <w:lang w:val="en-GB"/>
        </w:rPr>
        <w:t>244</w:t>
      </w:r>
      <w:r w:rsidR="004D5F86" w:rsidRPr="0084570B">
        <w:rPr>
          <w:rFonts w:ascii="Times New Roman" w:hAnsi="Times New Roman" w:cs="Arial"/>
          <w:sz w:val="22"/>
          <w:szCs w:val="22"/>
          <w:lang w:val="en-GB"/>
        </w:rPr>
        <w:t>Pu. In order to quantify the exact amount of Pu-Xe in the upper mantle from our new DMS data, w</w:t>
      </w:r>
      <w:r w:rsidRPr="0084570B">
        <w:rPr>
          <w:rFonts w:ascii="Times New Roman" w:hAnsi="Times New Roman" w:cs="Arial"/>
          <w:sz w:val="22"/>
          <w:szCs w:val="22"/>
          <w:lang w:val="en-GB"/>
        </w:rPr>
        <w:t>e used a Monte Carlo linear least square code adapted from Parai and Mukhopadhyay (2015)</w:t>
      </w:r>
      <w:r w:rsidR="00571BBA" w:rsidRPr="0084570B">
        <w:rPr>
          <w:rFonts w:ascii="Times New Roman" w:hAnsi="Times New Roman" w:cs="Arial"/>
          <w:sz w:val="22"/>
          <w:szCs w:val="22"/>
          <w:lang w:val="en-GB"/>
        </w:rPr>
        <w:fldChar w:fldCharType="begin" w:fldLock="1"/>
      </w:r>
      <w:r w:rsidR="00A249A4">
        <w:rPr>
          <w:rFonts w:ascii="Times New Roman" w:hAnsi="Times New Roman" w:cs="Arial"/>
          <w:sz w:val="22"/>
          <w:szCs w:val="22"/>
          <w:lang w:val="en-GB"/>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00571BBA" w:rsidRPr="0084570B">
        <w:rPr>
          <w:rFonts w:ascii="Times New Roman" w:hAnsi="Times New Roman" w:cs="Arial"/>
          <w:sz w:val="22"/>
          <w:szCs w:val="22"/>
          <w:lang w:val="en-GB"/>
        </w:rPr>
        <w:fldChar w:fldCharType="separate"/>
      </w:r>
      <w:r w:rsidR="00DD29E3" w:rsidRPr="00DD29E3">
        <w:rPr>
          <w:rFonts w:ascii="Times New Roman" w:hAnsi="Times New Roman" w:cs="Arial"/>
          <w:noProof/>
          <w:sz w:val="22"/>
          <w:szCs w:val="22"/>
          <w:vertAlign w:val="superscript"/>
          <w:lang w:val="en-GB"/>
        </w:rPr>
        <w:t>26</w:t>
      </w:r>
      <w:r w:rsidR="00571BBA" w:rsidRPr="0084570B">
        <w:rPr>
          <w:rFonts w:ascii="Times New Roman" w:hAnsi="Times New Roman" w:cs="Arial"/>
          <w:sz w:val="22"/>
          <w:szCs w:val="22"/>
          <w:lang w:val="en-GB"/>
        </w:rPr>
        <w:fldChar w:fldCharType="end"/>
      </w:r>
      <w:r w:rsidR="006C5866" w:rsidRPr="0084570B">
        <w:rPr>
          <w:rFonts w:ascii="Times New Roman" w:hAnsi="Times New Roman" w:cs="Arial"/>
          <w:sz w:val="22"/>
          <w:szCs w:val="22"/>
          <w:lang w:val="en-GB"/>
        </w:rPr>
        <w:t xml:space="preserve"> to compute the best-</w:t>
      </w:r>
      <w:r w:rsidRPr="0084570B">
        <w:rPr>
          <w:rFonts w:ascii="Times New Roman" w:hAnsi="Times New Roman" w:cs="Arial"/>
          <w:sz w:val="22"/>
          <w:szCs w:val="22"/>
          <w:lang w:val="en-GB"/>
        </w:rPr>
        <w:t>fit mixing of Xe from initial mantle</w:t>
      </w:r>
      <w:r w:rsidR="004D5F86" w:rsidRPr="0084570B">
        <w:rPr>
          <w:rFonts w:ascii="Times New Roman" w:hAnsi="Times New Roman" w:cs="Arial"/>
          <w:sz w:val="22"/>
          <w:szCs w:val="22"/>
          <w:lang w:val="en-GB"/>
        </w:rPr>
        <w:t xml:space="preserve"> (AVCC)</w:t>
      </w:r>
      <w:r w:rsidRPr="0084570B">
        <w:rPr>
          <w:rFonts w:ascii="Times New Roman" w:hAnsi="Times New Roman" w:cs="Arial"/>
          <w:sz w:val="22"/>
          <w:szCs w:val="22"/>
          <w:lang w:val="en-GB"/>
        </w:rPr>
        <w:t xml:space="preserve">, modern atmosphere (recycled in to the mantle and acting as a contaminant during sampling), </w:t>
      </w:r>
      <w:r w:rsidRPr="0084570B">
        <w:rPr>
          <w:rFonts w:ascii="Times New Roman" w:hAnsi="Times New Roman" w:cs="Arial"/>
          <w:sz w:val="22"/>
          <w:szCs w:val="22"/>
          <w:vertAlign w:val="superscript"/>
          <w:lang w:val="en-GB"/>
        </w:rPr>
        <w:t>238</w:t>
      </w:r>
      <w:r w:rsidRPr="0084570B">
        <w:rPr>
          <w:rFonts w:ascii="Times New Roman" w:hAnsi="Times New Roman" w:cs="Arial"/>
          <w:sz w:val="22"/>
          <w:szCs w:val="22"/>
          <w:lang w:val="en-GB"/>
        </w:rPr>
        <w:t xml:space="preserve">U-fission Xe and </w:t>
      </w:r>
      <w:r w:rsidRPr="0084570B">
        <w:rPr>
          <w:rFonts w:ascii="Times New Roman" w:hAnsi="Times New Roman" w:cs="Arial"/>
          <w:sz w:val="22"/>
          <w:szCs w:val="22"/>
          <w:vertAlign w:val="superscript"/>
          <w:lang w:val="en-GB"/>
        </w:rPr>
        <w:t>244</w:t>
      </w:r>
      <w:r w:rsidRPr="0084570B">
        <w:rPr>
          <w:rFonts w:ascii="Times New Roman" w:hAnsi="Times New Roman" w:cs="Arial"/>
          <w:sz w:val="22"/>
          <w:szCs w:val="22"/>
          <w:lang w:val="en-GB"/>
        </w:rPr>
        <w:t>Pu-Xe</w:t>
      </w:r>
      <w:r w:rsidR="00832649" w:rsidRPr="0084570B">
        <w:rPr>
          <w:rFonts w:ascii="Times New Roman" w:hAnsi="Times New Roman" w:cs="Arial"/>
          <w:sz w:val="22"/>
          <w:szCs w:val="22"/>
          <w:lang w:val="en-GB"/>
        </w:rPr>
        <w:t xml:space="preserve"> (</w:t>
      </w:r>
      <w:r w:rsidR="00832649" w:rsidRPr="0084570B">
        <w:rPr>
          <w:rFonts w:ascii="Times New Roman" w:hAnsi="Times New Roman" w:cs="Arial"/>
          <w:b/>
          <w:sz w:val="22"/>
          <w:szCs w:val="22"/>
          <w:lang w:val="en-GB"/>
        </w:rPr>
        <w:t>Figure S6, S7,</w:t>
      </w:r>
      <w:r w:rsidR="00832649" w:rsidRPr="0084570B">
        <w:rPr>
          <w:rFonts w:ascii="Times New Roman" w:hAnsi="Times New Roman" w:cs="Arial"/>
          <w:sz w:val="22"/>
          <w:szCs w:val="22"/>
          <w:lang w:val="en-GB"/>
        </w:rPr>
        <w:t xml:space="preserve"> and </w:t>
      </w:r>
      <w:r w:rsidR="00832649" w:rsidRPr="0084570B">
        <w:rPr>
          <w:rFonts w:ascii="Times New Roman" w:eastAsia="Times New Roman" w:hAnsi="Times New Roman" w:cs="Times New Roman"/>
          <w:b/>
          <w:sz w:val="22"/>
          <w:szCs w:val="22"/>
          <w:lang w:val="en-US"/>
        </w:rPr>
        <w:t>S8</w:t>
      </w:r>
      <w:r w:rsidR="00832649" w:rsidRPr="0084570B">
        <w:rPr>
          <w:rFonts w:ascii="Times New Roman" w:hAnsi="Times New Roman" w:cs="Arial"/>
          <w:sz w:val="22"/>
          <w:szCs w:val="22"/>
          <w:lang w:val="en-GB"/>
        </w:rPr>
        <w:t>)</w:t>
      </w:r>
      <w:r w:rsidRPr="0084570B">
        <w:rPr>
          <w:rFonts w:ascii="Times New Roman" w:hAnsi="Times New Roman" w:cs="Arial"/>
          <w:sz w:val="22"/>
          <w:szCs w:val="22"/>
          <w:lang w:val="en-GB"/>
        </w:rPr>
        <w:t xml:space="preserve">. The initial Xe mantle composition is </w:t>
      </w:r>
      <w:r w:rsidR="004D5F86" w:rsidRPr="0084570B">
        <w:rPr>
          <w:rFonts w:ascii="Times New Roman" w:hAnsi="Times New Roman" w:cs="Arial"/>
          <w:sz w:val="22"/>
          <w:szCs w:val="22"/>
          <w:lang w:val="en-GB"/>
        </w:rPr>
        <w:t>considered</w:t>
      </w:r>
      <w:r w:rsidRPr="0084570B">
        <w:rPr>
          <w:rFonts w:ascii="Times New Roman" w:hAnsi="Times New Roman" w:cs="Arial"/>
          <w:sz w:val="22"/>
          <w:szCs w:val="22"/>
          <w:lang w:val="en-GB"/>
        </w:rPr>
        <w:t xml:space="preserve"> to be chondritic and not solar, and is taken to be the average carbonaceous chondrite composition. G</w:t>
      </w:r>
      <w:r w:rsidR="006C5866" w:rsidRPr="0084570B">
        <w:rPr>
          <w:rFonts w:ascii="Times New Roman" w:hAnsi="Times New Roman" w:cs="Arial"/>
          <w:sz w:val="22"/>
          <w:szCs w:val="22"/>
          <w:lang w:val="en-GB"/>
        </w:rPr>
        <w:t>iven that substantial full-</w:t>
      </w:r>
      <w:r w:rsidRPr="0084570B">
        <w:rPr>
          <w:rFonts w:ascii="Times New Roman" w:hAnsi="Times New Roman" w:cs="Arial"/>
          <w:sz w:val="22"/>
          <w:szCs w:val="22"/>
          <w:lang w:val="en-GB"/>
        </w:rPr>
        <w:t>scale recycling of atmospheric Xe into the deep Earth would have become significant only when the atmosphere had reached its present-day isotopic composition</w:t>
      </w:r>
      <w:r w:rsidR="004D5F86" w:rsidRPr="0084570B">
        <w:rPr>
          <w:rFonts w:ascii="Times New Roman" w:hAnsi="Times New Roman" w:cs="Arial"/>
          <w:sz w:val="22"/>
          <w:szCs w:val="22"/>
          <w:lang w:val="en-GB"/>
        </w:rPr>
        <w:fldChar w:fldCharType="begin" w:fldLock="1"/>
      </w:r>
      <w:r w:rsidR="009D2C8F" w:rsidRPr="0084570B">
        <w:rPr>
          <w:rFonts w:ascii="Times New Roman" w:hAnsi="Times New Roman" w:cs="Arial"/>
          <w:sz w:val="22"/>
          <w:szCs w:val="22"/>
          <w:lang w:val="en-GB"/>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004D5F86" w:rsidRPr="0084570B">
        <w:rPr>
          <w:rFonts w:ascii="Times New Roman" w:hAnsi="Times New Roman" w:cs="Arial"/>
          <w:sz w:val="22"/>
          <w:szCs w:val="22"/>
          <w:lang w:val="en-GB"/>
        </w:rPr>
        <w:fldChar w:fldCharType="separate"/>
      </w:r>
      <w:r w:rsidR="009D2C8F" w:rsidRPr="0084570B">
        <w:rPr>
          <w:rFonts w:ascii="Times New Roman" w:hAnsi="Times New Roman" w:cs="Arial"/>
          <w:noProof/>
          <w:sz w:val="22"/>
          <w:szCs w:val="22"/>
          <w:vertAlign w:val="superscript"/>
          <w:lang w:val="en-GB"/>
        </w:rPr>
        <w:t>11</w:t>
      </w:r>
      <w:r w:rsidR="004D5F86" w:rsidRPr="0084570B">
        <w:rPr>
          <w:rFonts w:ascii="Times New Roman" w:hAnsi="Times New Roman" w:cs="Arial"/>
          <w:sz w:val="22"/>
          <w:szCs w:val="22"/>
          <w:lang w:val="en-GB"/>
        </w:rPr>
        <w:fldChar w:fldCharType="end"/>
      </w:r>
      <w:r w:rsidRPr="0084570B">
        <w:rPr>
          <w:rFonts w:ascii="Times New Roman" w:hAnsi="Times New Roman" w:cs="Arial"/>
          <w:sz w:val="22"/>
          <w:szCs w:val="22"/>
          <w:lang w:val="en-GB"/>
        </w:rPr>
        <w:t xml:space="preserve">, the recycled atmosphere component is taken to have a modern-like isotopic composition. Also note that, since </w:t>
      </w:r>
      <w:r w:rsidRPr="0084570B">
        <w:rPr>
          <w:rFonts w:ascii="Times New Roman" w:hAnsi="Times New Roman" w:cs="Arial"/>
          <w:sz w:val="22"/>
          <w:szCs w:val="22"/>
          <w:vertAlign w:val="superscript"/>
          <w:lang w:val="en-GB"/>
        </w:rPr>
        <w:t>128</w:t>
      </w:r>
      <w:r w:rsidRPr="0084570B">
        <w:rPr>
          <w:rFonts w:ascii="Times New Roman" w:hAnsi="Times New Roman" w:cs="Arial"/>
          <w:sz w:val="22"/>
          <w:szCs w:val="22"/>
          <w:lang w:val="en-GB"/>
        </w:rPr>
        <w:t xml:space="preserve">Xe is the only isotope among </w:t>
      </w:r>
      <w:r w:rsidRPr="0084570B">
        <w:rPr>
          <w:rFonts w:ascii="Times New Roman" w:hAnsi="Times New Roman" w:cs="Arial"/>
          <w:sz w:val="22"/>
          <w:szCs w:val="22"/>
          <w:vertAlign w:val="superscript"/>
          <w:lang w:val="en-GB"/>
        </w:rPr>
        <w:t>128-136</w:t>
      </w:r>
      <w:r w:rsidRPr="0084570B">
        <w:rPr>
          <w:rFonts w:ascii="Times New Roman" w:hAnsi="Times New Roman" w:cs="Arial"/>
          <w:sz w:val="22"/>
          <w:szCs w:val="22"/>
          <w:lang w:val="en-GB"/>
        </w:rPr>
        <w:t xml:space="preserve">Xe (except the normalizing isotope </w:t>
      </w:r>
      <w:r w:rsidRPr="0084570B">
        <w:rPr>
          <w:rFonts w:ascii="Times New Roman" w:hAnsi="Times New Roman" w:cs="Arial"/>
          <w:sz w:val="22"/>
          <w:szCs w:val="22"/>
          <w:vertAlign w:val="superscript"/>
          <w:lang w:val="en-GB"/>
        </w:rPr>
        <w:t>130</w:t>
      </w:r>
      <w:r w:rsidRPr="0084570B">
        <w:rPr>
          <w:rFonts w:ascii="Times New Roman" w:hAnsi="Times New Roman" w:cs="Arial"/>
          <w:sz w:val="22"/>
          <w:szCs w:val="22"/>
          <w:lang w:val="en-GB"/>
        </w:rPr>
        <w:t>Xe) that is not contribu</w:t>
      </w:r>
      <w:r w:rsidR="004D5F86" w:rsidRPr="0084570B">
        <w:rPr>
          <w:rFonts w:ascii="Times New Roman" w:hAnsi="Times New Roman" w:cs="Arial"/>
          <w:sz w:val="22"/>
          <w:szCs w:val="22"/>
          <w:lang w:val="en-GB"/>
        </w:rPr>
        <w:t>ted by any radiogenic or fissio</w:t>
      </w:r>
      <w:r w:rsidRPr="0084570B">
        <w:rPr>
          <w:rFonts w:ascii="Times New Roman" w:hAnsi="Times New Roman" w:cs="Arial"/>
          <w:sz w:val="22"/>
          <w:szCs w:val="22"/>
          <w:lang w:val="en-GB"/>
        </w:rPr>
        <w:t>gen</w:t>
      </w:r>
      <w:r w:rsidR="006C5866" w:rsidRPr="0084570B">
        <w:rPr>
          <w:rFonts w:ascii="Times New Roman" w:hAnsi="Times New Roman" w:cs="Arial"/>
          <w:sz w:val="22"/>
          <w:szCs w:val="22"/>
          <w:lang w:val="en-GB"/>
        </w:rPr>
        <w:t>ic production, we also ran best-</w:t>
      </w:r>
      <w:r w:rsidRPr="0084570B">
        <w:rPr>
          <w:rFonts w:ascii="Times New Roman" w:hAnsi="Times New Roman" w:cs="Arial"/>
          <w:sz w:val="22"/>
          <w:szCs w:val="22"/>
          <w:lang w:val="en-GB"/>
        </w:rPr>
        <w:t xml:space="preserve">fit mixing calculations excluding </w:t>
      </w:r>
      <w:r w:rsidRPr="0084570B">
        <w:rPr>
          <w:rFonts w:ascii="Times New Roman" w:hAnsi="Times New Roman" w:cs="Arial"/>
          <w:sz w:val="22"/>
          <w:szCs w:val="22"/>
          <w:vertAlign w:val="superscript"/>
          <w:lang w:val="en-GB"/>
        </w:rPr>
        <w:t>128</w:t>
      </w:r>
      <w:r w:rsidRPr="0084570B">
        <w:rPr>
          <w:rFonts w:ascii="Times New Roman" w:hAnsi="Times New Roman" w:cs="Arial"/>
          <w:sz w:val="22"/>
          <w:szCs w:val="22"/>
          <w:lang w:val="en-GB"/>
        </w:rPr>
        <w:t>Xe</w:t>
      </w:r>
      <w:r w:rsidR="004D5F86" w:rsidRPr="0084570B">
        <w:rPr>
          <w:rFonts w:ascii="Times New Roman" w:hAnsi="Times New Roman" w:cs="Arial"/>
          <w:sz w:val="22"/>
          <w:szCs w:val="22"/>
          <w:lang w:val="en-GB"/>
        </w:rPr>
        <w:t xml:space="preserve"> (</w:t>
      </w:r>
      <w:r w:rsidR="004D5F86" w:rsidRPr="0084570B">
        <w:rPr>
          <w:rFonts w:ascii="Times New Roman" w:hAnsi="Times New Roman" w:cs="Arial"/>
          <w:b/>
          <w:sz w:val="22"/>
          <w:szCs w:val="22"/>
          <w:lang w:val="en-GB"/>
        </w:rPr>
        <w:t>Figure S</w:t>
      </w:r>
      <w:r w:rsidR="00832649" w:rsidRPr="0084570B">
        <w:rPr>
          <w:rFonts w:ascii="Times New Roman" w:hAnsi="Times New Roman" w:cs="Arial"/>
          <w:b/>
          <w:sz w:val="22"/>
          <w:szCs w:val="22"/>
          <w:lang w:val="en-GB"/>
        </w:rPr>
        <w:t>6</w:t>
      </w:r>
      <w:r w:rsidR="004D5F86" w:rsidRPr="0084570B">
        <w:rPr>
          <w:rFonts w:ascii="Times New Roman" w:hAnsi="Times New Roman" w:cs="Arial"/>
          <w:sz w:val="22"/>
          <w:szCs w:val="22"/>
          <w:lang w:val="en-GB"/>
        </w:rPr>
        <w:t xml:space="preserve"> and </w:t>
      </w:r>
      <w:r w:rsidR="004D5F86" w:rsidRPr="0084570B">
        <w:rPr>
          <w:rFonts w:ascii="Times New Roman" w:hAnsi="Times New Roman" w:cs="Arial"/>
          <w:b/>
          <w:sz w:val="22"/>
          <w:szCs w:val="22"/>
          <w:lang w:val="en-GB"/>
        </w:rPr>
        <w:t>S</w:t>
      </w:r>
      <w:r w:rsidR="00832649" w:rsidRPr="0084570B">
        <w:rPr>
          <w:rFonts w:ascii="Times New Roman" w:hAnsi="Times New Roman" w:cs="Arial"/>
          <w:b/>
          <w:sz w:val="22"/>
          <w:szCs w:val="22"/>
          <w:lang w:val="en-GB"/>
        </w:rPr>
        <w:t>7</w:t>
      </w:r>
      <w:r w:rsidR="004D5F86" w:rsidRPr="0084570B">
        <w:rPr>
          <w:rFonts w:ascii="Times New Roman" w:hAnsi="Times New Roman" w:cs="Arial"/>
          <w:sz w:val="22"/>
          <w:szCs w:val="22"/>
          <w:lang w:val="en-GB"/>
        </w:rPr>
        <w:t>), following previous approach by Bekaert et al. (2019)</w:t>
      </w:r>
      <w:r w:rsidR="004D5F86" w:rsidRPr="0084570B">
        <w:rPr>
          <w:rFonts w:ascii="Times New Roman" w:hAnsi="Times New Roman" w:cs="Arial"/>
          <w:sz w:val="22"/>
          <w:szCs w:val="22"/>
          <w:lang w:val="en-GB"/>
        </w:rPr>
        <w:fldChar w:fldCharType="begin" w:fldLock="1"/>
      </w:r>
      <w:r w:rsidR="00A249A4">
        <w:rPr>
          <w:rFonts w:ascii="Times New Roman" w:hAnsi="Times New Roman" w:cs="Arial"/>
          <w:sz w:val="22"/>
          <w:szCs w:val="22"/>
          <w:lang w:val="en-GB"/>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00A249A4">
        <w:rPr>
          <w:rFonts w:ascii="Cambria Math" w:hAnsi="Cambria Math" w:cs="Cambria Math"/>
          <w:sz w:val="22"/>
          <w:szCs w:val="22"/>
          <w:lang w:val="en-GB"/>
        </w:rPr>
        <w:instrText>∼</w:instrText>
      </w:r>
      <w:r w:rsidR="00A249A4">
        <w:rPr>
          <w:rFonts w:ascii="Times New Roman" w:hAnsi="Times New Roman" w:cs="Arial"/>
          <w:sz w:val="22"/>
          <w:szCs w:val="22"/>
          <w:lang w:val="en-GB"/>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Letters","id":"ITEM-1","issued":{"date-parts":[["2019"]]},"page":"115766","publisher":"Elsevier B.V.","title":"Novel insights into the degassing history of Earth's mantle from high precision noble gas analysis of magmatic gas","type":"article-journal","volume":"525"},"uris":["http://www.mendeley.com/documents/?uuid=871e74de-dfc9-489a-a5a1-d67859233fc2"]}],"mendeley":{"formattedCitation":"&lt;sup&gt;23&lt;/sup&gt;","plainTextFormattedCitation":"23","previouslyFormattedCitation":"&lt;sup&gt;23&lt;/sup&gt;"},"properties":{"noteIndex":0},"schema":"https://github.com/citation-style-language/schema/raw/master/csl-citation.json"}</w:instrText>
      </w:r>
      <w:r w:rsidR="004D5F86" w:rsidRPr="0084570B">
        <w:rPr>
          <w:rFonts w:ascii="Times New Roman" w:hAnsi="Times New Roman" w:cs="Arial"/>
          <w:sz w:val="22"/>
          <w:szCs w:val="22"/>
          <w:lang w:val="en-GB"/>
        </w:rPr>
        <w:fldChar w:fldCharType="separate"/>
      </w:r>
      <w:r w:rsidR="00DD29E3" w:rsidRPr="00DD29E3">
        <w:rPr>
          <w:rFonts w:ascii="Times New Roman" w:hAnsi="Times New Roman" w:cs="Arial"/>
          <w:noProof/>
          <w:sz w:val="22"/>
          <w:szCs w:val="22"/>
          <w:vertAlign w:val="superscript"/>
          <w:lang w:val="en-GB"/>
        </w:rPr>
        <w:t>23</w:t>
      </w:r>
      <w:r w:rsidR="004D5F86" w:rsidRPr="0084570B">
        <w:rPr>
          <w:rFonts w:ascii="Times New Roman" w:hAnsi="Times New Roman" w:cs="Arial"/>
          <w:sz w:val="22"/>
          <w:szCs w:val="22"/>
          <w:lang w:val="en-GB"/>
        </w:rPr>
        <w:fldChar w:fldCharType="end"/>
      </w:r>
      <w:r w:rsidRPr="0084570B">
        <w:rPr>
          <w:rFonts w:ascii="Times New Roman" w:hAnsi="Times New Roman" w:cs="Arial"/>
          <w:sz w:val="22"/>
          <w:szCs w:val="22"/>
          <w:lang w:val="en-GB"/>
        </w:rPr>
        <w:t xml:space="preserve">. If the </w:t>
      </w:r>
      <w:r w:rsidRPr="0084570B">
        <w:rPr>
          <w:rFonts w:ascii="Times New Roman" w:hAnsi="Times New Roman" w:cs="Arial"/>
          <w:sz w:val="22"/>
          <w:szCs w:val="22"/>
          <w:vertAlign w:val="superscript"/>
          <w:lang w:val="en-GB"/>
        </w:rPr>
        <w:t>128</w:t>
      </w:r>
      <w:r w:rsidRPr="0084570B">
        <w:rPr>
          <w:rFonts w:ascii="Times New Roman" w:hAnsi="Times New Roman" w:cs="Arial"/>
          <w:sz w:val="22"/>
          <w:szCs w:val="22"/>
          <w:lang w:val="en-GB"/>
        </w:rPr>
        <w:t>Xe/</w:t>
      </w:r>
      <w:r w:rsidRPr="0084570B">
        <w:rPr>
          <w:rFonts w:ascii="Times New Roman" w:hAnsi="Times New Roman" w:cs="Arial"/>
          <w:sz w:val="22"/>
          <w:szCs w:val="22"/>
          <w:vertAlign w:val="superscript"/>
          <w:lang w:val="en-GB"/>
        </w:rPr>
        <w:t>130</w:t>
      </w:r>
      <w:r w:rsidRPr="0084570B">
        <w:rPr>
          <w:rFonts w:ascii="Times New Roman" w:hAnsi="Times New Roman" w:cs="Arial"/>
          <w:sz w:val="22"/>
          <w:szCs w:val="22"/>
          <w:lang w:val="en-GB"/>
        </w:rPr>
        <w:t xml:space="preserve">Xe are not affected by any </w:t>
      </w:r>
      <w:r w:rsidR="004D5F86" w:rsidRPr="0084570B">
        <w:rPr>
          <w:rFonts w:ascii="Times New Roman" w:hAnsi="Times New Roman" w:cs="Arial"/>
          <w:sz w:val="22"/>
          <w:szCs w:val="22"/>
          <w:lang w:val="en-GB"/>
        </w:rPr>
        <w:t xml:space="preserve">secondary effect of </w:t>
      </w:r>
      <w:r w:rsidR="006C5866" w:rsidRPr="0084570B">
        <w:rPr>
          <w:rFonts w:ascii="Times New Roman" w:hAnsi="Times New Roman" w:cs="Arial"/>
          <w:sz w:val="22"/>
          <w:szCs w:val="22"/>
          <w:lang w:val="en-GB"/>
        </w:rPr>
        <w:t>mass-</w:t>
      </w:r>
      <w:r w:rsidRPr="0084570B">
        <w:rPr>
          <w:rFonts w:ascii="Times New Roman" w:hAnsi="Times New Roman" w:cs="Arial"/>
          <w:sz w:val="22"/>
          <w:szCs w:val="22"/>
          <w:lang w:val="en-GB"/>
        </w:rPr>
        <w:t>dependent fractionation</w:t>
      </w:r>
      <w:r w:rsidR="004D5F86" w:rsidRPr="0084570B">
        <w:rPr>
          <w:rFonts w:ascii="Times New Roman" w:hAnsi="Times New Roman" w:cs="Arial"/>
          <w:sz w:val="22"/>
          <w:szCs w:val="22"/>
          <w:lang w:val="en-GB"/>
        </w:rPr>
        <w:t xml:space="preserve"> in the subsurface</w:t>
      </w:r>
      <w:r w:rsidR="004D5F86" w:rsidRPr="0084570B">
        <w:rPr>
          <w:rFonts w:ascii="Times New Roman" w:hAnsi="Times New Roman" w:cs="Arial"/>
          <w:sz w:val="22"/>
          <w:szCs w:val="22"/>
          <w:lang w:val="en-GB"/>
        </w:rPr>
        <w:fldChar w:fldCharType="begin" w:fldLock="1"/>
      </w:r>
      <w:r w:rsidR="009D2C8F" w:rsidRPr="0084570B">
        <w:rPr>
          <w:rFonts w:ascii="Times New Roman" w:hAnsi="Times New Roman" w:cs="Arial"/>
          <w:sz w:val="22"/>
          <w:szCs w:val="22"/>
          <w:lang w:val="en-GB"/>
        </w:rPr>
        <w:instrText>ADDIN CSL_CITATION {"citationItems":[{"id":"ITEM-1","itemData":{"author":[{"dropping-particle":"V","family":"Bekaert","given":"D","non-dropping-particle":"","parse-names":false,"suffix":""},{"dropping-particle":"","family":"Barry","given":"P H","non-dropping-particle":"","parse-names":false,"suffix":""},{"dropping-particle":"","family":"Broadley","given":"M W","non-dropping-particle":"","parse-names":false,"suffix":""},{"dropping-particle":"","family":"Byrne","given":"D J","non-dropping-particle":"","parse-names":false,"suffix":""},{"dropping-particle":"","family":"Marty","given":"B","non-dropping-particle":"","parse-names":false,"suffix":""},{"dropping-particle":"De","family":"Moor","given":"J M","non-dropping-particle":"","parse-names":false,"suffix":""},{"dropping-particle":"","family":"Rodriguez","given":"A","non-dropping-particle":"","parse-names":false,"suffix":""},{"dropping-particle":"","family":"Hudak","given":"M R","non-dropping-particle":"","parse-names":false,"suffix":""},{"dropping-particle":"V","family":"Subhas","given":"A","non-dropping-particle":"","parse-names":false,"suffix":""},{"dropping-particle":"","family":"Caracausi","given":"A","non-dropping-particle":"","parse-names":false,"suffix":""},{"dropping-particle":"","family":"Lloyd","given":"K G","non-dropping-particle":"","parse-names":false,"suffix":""},{"dropping-particle":"","family":"Giovannelli","given":"D","non-dropping-particle":"","parse-names":false,"suffix":""},{"dropping-particle":"","family":"Seltzer","given":"A M","non-dropping-particle":"","parse-names":false,"suffix":""}],"container-title":"Science Advances","id":"ITEM-1","issued":{"date-parts":[["2023"]]},"page":"136-149","title":"Ultra-high precision noble gas isotope analyses reveal pervasive subsurface fractionation in hydrothermal systems","type":"article-journal","volume":"328"},"uris":["http://www.mendeley.com/documents/?uuid=2c0e967a-00b8-489f-b985-d2e272d6f20f"]}],"mendeley":{"formattedCitation":"&lt;sup&gt;9&lt;/sup&gt;","plainTextFormattedCitation":"9","previouslyFormattedCitation":"&lt;sup&gt;9&lt;/sup&gt;"},"properties":{"noteIndex":0},"schema":"https://github.com/citation-style-language/schema/raw/master/csl-citation.json"}</w:instrText>
      </w:r>
      <w:r w:rsidR="004D5F86" w:rsidRPr="0084570B">
        <w:rPr>
          <w:rFonts w:ascii="Times New Roman" w:hAnsi="Times New Roman" w:cs="Arial"/>
          <w:sz w:val="22"/>
          <w:szCs w:val="22"/>
          <w:lang w:val="en-GB"/>
        </w:rPr>
        <w:fldChar w:fldCharType="separate"/>
      </w:r>
      <w:r w:rsidR="009D2C8F" w:rsidRPr="0084570B">
        <w:rPr>
          <w:rFonts w:ascii="Times New Roman" w:hAnsi="Times New Roman" w:cs="Arial"/>
          <w:noProof/>
          <w:sz w:val="22"/>
          <w:szCs w:val="22"/>
          <w:vertAlign w:val="superscript"/>
          <w:lang w:val="en-GB"/>
        </w:rPr>
        <w:t>9</w:t>
      </w:r>
      <w:r w:rsidR="004D5F86" w:rsidRPr="0084570B">
        <w:rPr>
          <w:rFonts w:ascii="Times New Roman" w:hAnsi="Times New Roman" w:cs="Arial"/>
          <w:sz w:val="22"/>
          <w:szCs w:val="22"/>
          <w:lang w:val="en-GB"/>
        </w:rPr>
        <w:fldChar w:fldCharType="end"/>
      </w:r>
      <w:r w:rsidR="004D5F86" w:rsidRPr="0084570B">
        <w:rPr>
          <w:rFonts w:ascii="Times New Roman" w:hAnsi="Times New Roman" w:cs="Arial"/>
          <w:sz w:val="22"/>
          <w:szCs w:val="22"/>
          <w:lang w:val="en-GB"/>
        </w:rPr>
        <w:t xml:space="preserve"> or during sample handling</w:t>
      </w:r>
      <w:r w:rsidR="004D5F86" w:rsidRPr="0084570B">
        <w:rPr>
          <w:rFonts w:ascii="Times New Roman" w:hAnsi="Times New Roman" w:cs="Arial"/>
          <w:sz w:val="22"/>
          <w:szCs w:val="22"/>
          <w:lang w:val="en-GB"/>
        </w:rPr>
        <w:fldChar w:fldCharType="begin" w:fldLock="1"/>
      </w:r>
      <w:r w:rsidR="00A249A4">
        <w:rPr>
          <w:rFonts w:ascii="Times New Roman" w:hAnsi="Times New Roman" w:cs="Arial"/>
          <w:sz w:val="22"/>
          <w:szCs w:val="22"/>
          <w:lang w:val="en-GB"/>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00A249A4">
        <w:rPr>
          <w:rFonts w:ascii="Cambria Math" w:hAnsi="Cambria Math" w:cs="Cambria Math"/>
          <w:sz w:val="22"/>
          <w:szCs w:val="22"/>
          <w:lang w:val="en-GB"/>
        </w:rPr>
        <w:instrText>∼</w:instrText>
      </w:r>
      <w:r w:rsidR="00A249A4">
        <w:rPr>
          <w:rFonts w:ascii="Times New Roman" w:hAnsi="Times New Roman" w:cs="Arial"/>
          <w:sz w:val="22"/>
          <w:szCs w:val="22"/>
          <w:lang w:val="en-GB"/>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Letters","id":"ITEM-1","issued":{"date-parts":[["2019"]]},"page":"115766","publisher":"Elsevier B.V.","title":"Novel insights into the degassing history of Earth's mantle from high precision noble gas analysis of magmatic gas","type":"article-journal","volume":"525"},"uris":["http://www.mendeley.com/documents/?uuid=871e74de-dfc9-489a-a5a1-d67859233fc2"]}],"mendeley":{"formattedCitation":"&lt;sup&gt;23&lt;/sup&gt;","plainTextFormattedCitation":"23","previouslyFormattedCitation":"&lt;sup&gt;23&lt;/sup&gt;"},"properties":{"noteIndex":0},"schema":"https://github.com/citation-style-language/schema/raw/master/csl-citation.json"}</w:instrText>
      </w:r>
      <w:r w:rsidR="004D5F86" w:rsidRPr="0084570B">
        <w:rPr>
          <w:rFonts w:ascii="Times New Roman" w:hAnsi="Times New Roman" w:cs="Arial"/>
          <w:sz w:val="22"/>
          <w:szCs w:val="22"/>
          <w:lang w:val="en-GB"/>
        </w:rPr>
        <w:fldChar w:fldCharType="separate"/>
      </w:r>
      <w:r w:rsidR="00DD29E3" w:rsidRPr="00DD29E3">
        <w:rPr>
          <w:rFonts w:ascii="Times New Roman" w:hAnsi="Times New Roman" w:cs="Arial"/>
          <w:noProof/>
          <w:sz w:val="22"/>
          <w:szCs w:val="22"/>
          <w:vertAlign w:val="superscript"/>
          <w:lang w:val="en-GB"/>
        </w:rPr>
        <w:t>23</w:t>
      </w:r>
      <w:r w:rsidR="004D5F86" w:rsidRPr="0084570B">
        <w:rPr>
          <w:rFonts w:ascii="Times New Roman" w:hAnsi="Times New Roman" w:cs="Arial"/>
          <w:sz w:val="22"/>
          <w:szCs w:val="22"/>
          <w:lang w:val="en-GB"/>
        </w:rPr>
        <w:fldChar w:fldCharType="end"/>
      </w:r>
      <w:r w:rsidRPr="0084570B">
        <w:rPr>
          <w:rFonts w:ascii="Times New Roman" w:hAnsi="Times New Roman" w:cs="Arial"/>
          <w:sz w:val="22"/>
          <w:szCs w:val="22"/>
          <w:lang w:val="en-GB"/>
        </w:rPr>
        <w:t xml:space="preserve">, simulations taking </w:t>
      </w:r>
      <w:r w:rsidRPr="0084570B">
        <w:rPr>
          <w:rFonts w:ascii="Times New Roman" w:hAnsi="Times New Roman" w:cs="Arial"/>
          <w:sz w:val="22"/>
          <w:szCs w:val="22"/>
          <w:vertAlign w:val="superscript"/>
          <w:lang w:val="en-GB"/>
        </w:rPr>
        <w:t>128</w:t>
      </w:r>
      <w:r w:rsidR="006C5866" w:rsidRPr="0084570B">
        <w:rPr>
          <w:rFonts w:ascii="Times New Roman" w:hAnsi="Times New Roman" w:cs="Arial"/>
          <w:sz w:val="22"/>
          <w:szCs w:val="22"/>
          <w:lang w:val="en-GB"/>
        </w:rPr>
        <w:t>Xe in</w:t>
      </w:r>
      <w:r w:rsidRPr="0084570B">
        <w:rPr>
          <w:rFonts w:ascii="Times New Roman" w:hAnsi="Times New Roman" w:cs="Arial"/>
          <w:sz w:val="22"/>
          <w:szCs w:val="22"/>
          <w:lang w:val="en-GB"/>
        </w:rPr>
        <w:t>to account or not should give similar outcomes.</w:t>
      </w:r>
      <w:r w:rsidR="00610BCC" w:rsidRPr="0084570B">
        <w:rPr>
          <w:rFonts w:ascii="Times New Roman" w:eastAsia="Times New Roman" w:hAnsi="Times New Roman" w:cs="Times New Roman"/>
          <w:b/>
          <w:sz w:val="22"/>
          <w:szCs w:val="22"/>
          <w:lang w:val="en-US"/>
        </w:rPr>
        <w:br w:type="page"/>
      </w:r>
    </w:p>
    <w:p w14:paraId="4901C83C" w14:textId="77777777" w:rsidR="00521889" w:rsidRPr="0084570B" w:rsidRDefault="00521889">
      <w:pPr>
        <w:rPr>
          <w:rFonts w:ascii="Times New Roman" w:eastAsia="Times New Roman" w:hAnsi="Times New Roman" w:cs="Times New Roman"/>
          <w:b/>
          <w:sz w:val="22"/>
          <w:szCs w:val="22"/>
          <w:lang w:val="en-US"/>
        </w:rPr>
        <w:sectPr w:rsidR="00521889" w:rsidRPr="0084570B" w:rsidSect="00360EB0">
          <w:pgSz w:w="11900" w:h="16840"/>
          <w:pgMar w:top="1417" w:right="1417" w:bottom="1417" w:left="1417" w:header="708" w:footer="708" w:gutter="0"/>
          <w:lnNumType w:countBy="1" w:restart="continuous"/>
          <w:pgNumType w:start="26"/>
          <w:cols w:space="720"/>
        </w:sectPr>
      </w:pPr>
    </w:p>
    <w:p w14:paraId="1E8C2B54" w14:textId="210E0C2D" w:rsidR="00D5053A" w:rsidRPr="0084570B" w:rsidRDefault="00D5053A" w:rsidP="00571BBA">
      <w:pPr>
        <w:jc w:val="both"/>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lastRenderedPageBreak/>
        <w:drawing>
          <wp:anchor distT="0" distB="0" distL="114300" distR="114300" simplePos="0" relativeHeight="251699200" behindDoc="0" locked="0" layoutInCell="1" allowOverlap="1" wp14:anchorId="44E69F7C" wp14:editId="3FCBE8F1">
            <wp:simplePos x="0" y="0"/>
            <wp:positionH relativeFrom="column">
              <wp:posOffset>-62230</wp:posOffset>
            </wp:positionH>
            <wp:positionV relativeFrom="paragraph">
              <wp:posOffset>-123825</wp:posOffset>
            </wp:positionV>
            <wp:extent cx="6059170" cy="5751195"/>
            <wp:effectExtent l="0" t="0" r="11430" b="0"/>
            <wp:wrapTight wrapText="bothSides">
              <wp:wrapPolygon edited="0">
                <wp:start x="0" y="0"/>
                <wp:lineTo x="0" y="21464"/>
                <wp:lineTo x="21550" y="21464"/>
                <wp:lineTo x="21550" y="0"/>
                <wp:lineTo x="0" y="0"/>
              </wp:wrapPolygon>
            </wp:wrapTight>
            <wp:docPr id="13" name="Image 13" descr="Bekaert:Users:dbekaert:Desktop:Eifel_fig.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kaert:Users:dbekaert:Desktop:Eifel_fig.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59170" cy="575119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pic:spPr>
                </pic:pic>
              </a:graphicData>
            </a:graphic>
            <wp14:sizeRelH relativeFrom="page">
              <wp14:pctWidth>0</wp14:pctWidth>
            </wp14:sizeRelH>
            <wp14:sizeRelV relativeFrom="page">
              <wp14:pctHeight>0</wp14:pctHeight>
            </wp14:sizeRelV>
          </wp:anchor>
        </w:drawing>
      </w:r>
    </w:p>
    <w:p w14:paraId="0C76289A" w14:textId="77777777" w:rsidR="00D964B4" w:rsidRPr="0084570B" w:rsidRDefault="00D964B4" w:rsidP="00571BBA">
      <w:pPr>
        <w:jc w:val="both"/>
        <w:rPr>
          <w:rFonts w:ascii="Times New Roman" w:eastAsia="Times New Roman" w:hAnsi="Times New Roman" w:cs="Times New Roman"/>
          <w:b/>
          <w:sz w:val="22"/>
          <w:szCs w:val="22"/>
          <w:lang w:val="en-US"/>
        </w:rPr>
      </w:pPr>
    </w:p>
    <w:p w14:paraId="2C004AA1" w14:textId="77777777" w:rsidR="00D964B4" w:rsidRPr="0084570B" w:rsidRDefault="00D964B4" w:rsidP="00571BBA">
      <w:pPr>
        <w:jc w:val="both"/>
        <w:rPr>
          <w:rFonts w:ascii="Times New Roman" w:eastAsia="Times New Roman" w:hAnsi="Times New Roman" w:cs="Times New Roman"/>
          <w:b/>
          <w:sz w:val="22"/>
          <w:szCs w:val="22"/>
          <w:lang w:val="en-US"/>
        </w:rPr>
      </w:pPr>
    </w:p>
    <w:p w14:paraId="223BBC2F" w14:textId="77777777" w:rsidR="00D964B4" w:rsidRPr="0084570B" w:rsidRDefault="00D964B4" w:rsidP="00571BBA">
      <w:pPr>
        <w:jc w:val="both"/>
        <w:rPr>
          <w:rFonts w:ascii="Times New Roman" w:eastAsia="Times New Roman" w:hAnsi="Times New Roman" w:cs="Times New Roman"/>
          <w:b/>
          <w:sz w:val="22"/>
          <w:szCs w:val="22"/>
          <w:lang w:val="en-US"/>
        </w:rPr>
      </w:pPr>
    </w:p>
    <w:p w14:paraId="68AF2BAB" w14:textId="77777777" w:rsidR="00D964B4" w:rsidRPr="0084570B" w:rsidRDefault="00D964B4" w:rsidP="00571BBA">
      <w:pPr>
        <w:jc w:val="both"/>
        <w:rPr>
          <w:rFonts w:ascii="Times New Roman" w:eastAsia="Times New Roman" w:hAnsi="Times New Roman" w:cs="Times New Roman"/>
          <w:b/>
          <w:sz w:val="22"/>
          <w:szCs w:val="22"/>
          <w:lang w:val="en-US"/>
        </w:rPr>
      </w:pPr>
    </w:p>
    <w:p w14:paraId="232B1BBC" w14:textId="77777777" w:rsidR="00D964B4" w:rsidRPr="0084570B" w:rsidRDefault="00D964B4" w:rsidP="00571BBA">
      <w:pPr>
        <w:jc w:val="both"/>
        <w:rPr>
          <w:rFonts w:ascii="Times New Roman" w:eastAsia="Times New Roman" w:hAnsi="Times New Roman" w:cs="Times New Roman"/>
          <w:b/>
          <w:sz w:val="22"/>
          <w:szCs w:val="22"/>
          <w:lang w:val="en-US"/>
        </w:rPr>
      </w:pPr>
    </w:p>
    <w:p w14:paraId="47D3C241" w14:textId="77777777" w:rsidR="00D964B4" w:rsidRPr="0084570B" w:rsidRDefault="00D964B4" w:rsidP="00571BBA">
      <w:pPr>
        <w:jc w:val="both"/>
        <w:rPr>
          <w:rFonts w:ascii="Times New Roman" w:eastAsia="Times New Roman" w:hAnsi="Times New Roman" w:cs="Times New Roman"/>
          <w:b/>
          <w:sz w:val="22"/>
          <w:szCs w:val="22"/>
          <w:lang w:val="en-US"/>
        </w:rPr>
      </w:pPr>
    </w:p>
    <w:p w14:paraId="21D011FB" w14:textId="77777777" w:rsidR="00D964B4" w:rsidRPr="0084570B" w:rsidRDefault="00D964B4" w:rsidP="00571BBA">
      <w:pPr>
        <w:jc w:val="both"/>
        <w:rPr>
          <w:rFonts w:ascii="Times New Roman" w:eastAsia="Times New Roman" w:hAnsi="Times New Roman" w:cs="Times New Roman"/>
          <w:b/>
          <w:sz w:val="22"/>
          <w:szCs w:val="22"/>
          <w:lang w:val="en-US"/>
        </w:rPr>
      </w:pPr>
    </w:p>
    <w:p w14:paraId="464E7FE8" w14:textId="77777777" w:rsidR="00D964B4" w:rsidRPr="0084570B" w:rsidRDefault="00D964B4" w:rsidP="00571BBA">
      <w:pPr>
        <w:jc w:val="both"/>
        <w:rPr>
          <w:rFonts w:ascii="Times New Roman" w:eastAsia="Times New Roman" w:hAnsi="Times New Roman" w:cs="Times New Roman"/>
          <w:b/>
          <w:sz w:val="22"/>
          <w:szCs w:val="22"/>
          <w:lang w:val="en-US"/>
        </w:rPr>
      </w:pPr>
    </w:p>
    <w:p w14:paraId="4C8DCA30" w14:textId="77777777" w:rsidR="00D964B4" w:rsidRPr="0084570B" w:rsidRDefault="00D964B4" w:rsidP="00571BBA">
      <w:pPr>
        <w:jc w:val="both"/>
        <w:rPr>
          <w:rFonts w:ascii="Times New Roman" w:eastAsia="Times New Roman" w:hAnsi="Times New Roman" w:cs="Times New Roman"/>
          <w:b/>
          <w:sz w:val="22"/>
          <w:szCs w:val="22"/>
          <w:lang w:val="en-US"/>
        </w:rPr>
      </w:pPr>
    </w:p>
    <w:p w14:paraId="76926448" w14:textId="77777777" w:rsidR="00D964B4" w:rsidRPr="0084570B" w:rsidRDefault="00D964B4" w:rsidP="00571BBA">
      <w:pPr>
        <w:jc w:val="both"/>
        <w:rPr>
          <w:rFonts w:ascii="Times New Roman" w:eastAsia="Times New Roman" w:hAnsi="Times New Roman" w:cs="Times New Roman"/>
          <w:b/>
          <w:sz w:val="22"/>
          <w:szCs w:val="22"/>
          <w:lang w:val="en-US"/>
        </w:rPr>
      </w:pPr>
    </w:p>
    <w:p w14:paraId="691E1DFB" w14:textId="77777777" w:rsidR="00D964B4" w:rsidRPr="0084570B" w:rsidRDefault="00D964B4" w:rsidP="00571BBA">
      <w:pPr>
        <w:jc w:val="both"/>
        <w:rPr>
          <w:rFonts w:ascii="Times New Roman" w:eastAsia="Times New Roman" w:hAnsi="Times New Roman" w:cs="Times New Roman"/>
          <w:b/>
          <w:sz w:val="22"/>
          <w:szCs w:val="22"/>
          <w:lang w:val="en-US"/>
        </w:rPr>
      </w:pPr>
    </w:p>
    <w:p w14:paraId="437121E4" w14:textId="77777777" w:rsidR="00D964B4" w:rsidRPr="0084570B" w:rsidRDefault="00D964B4" w:rsidP="00571BBA">
      <w:pPr>
        <w:jc w:val="both"/>
        <w:rPr>
          <w:rFonts w:ascii="Times New Roman" w:eastAsia="Times New Roman" w:hAnsi="Times New Roman" w:cs="Times New Roman"/>
          <w:b/>
          <w:sz w:val="22"/>
          <w:szCs w:val="22"/>
          <w:lang w:val="en-US"/>
        </w:rPr>
      </w:pPr>
    </w:p>
    <w:p w14:paraId="662DFD65" w14:textId="77777777" w:rsidR="00D964B4" w:rsidRPr="0084570B" w:rsidRDefault="00D964B4" w:rsidP="00571BBA">
      <w:pPr>
        <w:jc w:val="both"/>
        <w:rPr>
          <w:rFonts w:ascii="Times New Roman" w:eastAsia="Times New Roman" w:hAnsi="Times New Roman" w:cs="Times New Roman"/>
          <w:b/>
          <w:sz w:val="22"/>
          <w:szCs w:val="22"/>
          <w:lang w:val="en-US"/>
        </w:rPr>
      </w:pPr>
    </w:p>
    <w:p w14:paraId="0D5EF62B" w14:textId="77777777" w:rsidR="00D964B4" w:rsidRPr="0084570B" w:rsidRDefault="00D964B4" w:rsidP="00571BBA">
      <w:pPr>
        <w:jc w:val="both"/>
        <w:rPr>
          <w:rFonts w:ascii="Times New Roman" w:eastAsia="Times New Roman" w:hAnsi="Times New Roman" w:cs="Times New Roman"/>
          <w:b/>
          <w:sz w:val="22"/>
          <w:szCs w:val="22"/>
          <w:lang w:val="en-US"/>
        </w:rPr>
      </w:pPr>
    </w:p>
    <w:p w14:paraId="0F16875F" w14:textId="77777777" w:rsidR="00D964B4" w:rsidRPr="0084570B" w:rsidRDefault="00D964B4" w:rsidP="00571BBA">
      <w:pPr>
        <w:jc w:val="both"/>
        <w:rPr>
          <w:rFonts w:ascii="Times New Roman" w:eastAsia="Times New Roman" w:hAnsi="Times New Roman" w:cs="Times New Roman"/>
          <w:b/>
          <w:sz w:val="22"/>
          <w:szCs w:val="22"/>
          <w:lang w:val="en-US"/>
        </w:rPr>
      </w:pPr>
    </w:p>
    <w:p w14:paraId="6E540061" w14:textId="77777777" w:rsidR="00D964B4" w:rsidRPr="0084570B" w:rsidRDefault="00D964B4" w:rsidP="00571BBA">
      <w:pPr>
        <w:jc w:val="both"/>
        <w:rPr>
          <w:rFonts w:ascii="Times New Roman" w:eastAsia="Times New Roman" w:hAnsi="Times New Roman" w:cs="Times New Roman"/>
          <w:b/>
          <w:sz w:val="22"/>
          <w:szCs w:val="22"/>
          <w:lang w:val="en-US"/>
        </w:rPr>
      </w:pPr>
    </w:p>
    <w:p w14:paraId="279F8446" w14:textId="77777777" w:rsidR="00D964B4" w:rsidRPr="0084570B" w:rsidRDefault="00D964B4" w:rsidP="00571BBA">
      <w:pPr>
        <w:jc w:val="both"/>
        <w:rPr>
          <w:rFonts w:ascii="Times New Roman" w:eastAsia="Times New Roman" w:hAnsi="Times New Roman" w:cs="Times New Roman"/>
          <w:b/>
          <w:sz w:val="22"/>
          <w:szCs w:val="22"/>
          <w:lang w:val="en-US"/>
        </w:rPr>
      </w:pPr>
    </w:p>
    <w:p w14:paraId="2DA22ECC" w14:textId="77777777" w:rsidR="00D964B4" w:rsidRPr="0084570B" w:rsidRDefault="00D964B4" w:rsidP="00571BBA">
      <w:pPr>
        <w:jc w:val="both"/>
        <w:rPr>
          <w:rFonts w:ascii="Times New Roman" w:eastAsia="Times New Roman" w:hAnsi="Times New Roman" w:cs="Times New Roman"/>
          <w:b/>
          <w:sz w:val="22"/>
          <w:szCs w:val="22"/>
          <w:lang w:val="en-US"/>
        </w:rPr>
      </w:pPr>
    </w:p>
    <w:p w14:paraId="41EA18E2" w14:textId="77777777" w:rsidR="00D964B4" w:rsidRPr="0084570B" w:rsidRDefault="00D964B4" w:rsidP="00571BBA">
      <w:pPr>
        <w:jc w:val="both"/>
        <w:rPr>
          <w:rFonts w:ascii="Times New Roman" w:eastAsia="Times New Roman" w:hAnsi="Times New Roman" w:cs="Times New Roman"/>
          <w:b/>
          <w:sz w:val="22"/>
          <w:szCs w:val="22"/>
          <w:lang w:val="en-US"/>
        </w:rPr>
      </w:pPr>
    </w:p>
    <w:p w14:paraId="4CC96899" w14:textId="77777777" w:rsidR="00D964B4" w:rsidRPr="0084570B" w:rsidRDefault="00D964B4" w:rsidP="00571BBA">
      <w:pPr>
        <w:jc w:val="both"/>
        <w:rPr>
          <w:rFonts w:ascii="Times New Roman" w:eastAsia="Times New Roman" w:hAnsi="Times New Roman" w:cs="Times New Roman"/>
          <w:b/>
          <w:sz w:val="22"/>
          <w:szCs w:val="22"/>
          <w:lang w:val="en-US"/>
        </w:rPr>
      </w:pPr>
    </w:p>
    <w:p w14:paraId="65BE8EE5" w14:textId="77777777" w:rsidR="00D964B4" w:rsidRPr="0084570B" w:rsidRDefault="00D964B4" w:rsidP="00571BBA">
      <w:pPr>
        <w:jc w:val="both"/>
        <w:rPr>
          <w:rFonts w:ascii="Times New Roman" w:eastAsia="Times New Roman" w:hAnsi="Times New Roman" w:cs="Times New Roman"/>
          <w:b/>
          <w:sz w:val="22"/>
          <w:szCs w:val="22"/>
          <w:lang w:val="en-US"/>
        </w:rPr>
      </w:pPr>
    </w:p>
    <w:p w14:paraId="5A7CD4CF" w14:textId="77777777" w:rsidR="00D964B4" w:rsidRPr="0084570B" w:rsidRDefault="00D964B4" w:rsidP="00571BBA">
      <w:pPr>
        <w:jc w:val="both"/>
        <w:rPr>
          <w:rFonts w:ascii="Times New Roman" w:eastAsia="Times New Roman" w:hAnsi="Times New Roman" w:cs="Times New Roman"/>
          <w:b/>
          <w:sz w:val="22"/>
          <w:szCs w:val="22"/>
          <w:lang w:val="en-US"/>
        </w:rPr>
      </w:pPr>
    </w:p>
    <w:p w14:paraId="01FCFF71" w14:textId="77777777" w:rsidR="00D964B4" w:rsidRPr="0084570B" w:rsidRDefault="00D964B4" w:rsidP="00571BBA">
      <w:pPr>
        <w:jc w:val="both"/>
        <w:rPr>
          <w:rFonts w:ascii="Times New Roman" w:eastAsia="Times New Roman" w:hAnsi="Times New Roman" w:cs="Times New Roman"/>
          <w:b/>
          <w:sz w:val="22"/>
          <w:szCs w:val="22"/>
          <w:lang w:val="en-US"/>
        </w:rPr>
      </w:pPr>
    </w:p>
    <w:p w14:paraId="61E0374A" w14:textId="77777777" w:rsidR="00D964B4" w:rsidRPr="0084570B" w:rsidRDefault="00D964B4" w:rsidP="00571BBA">
      <w:pPr>
        <w:jc w:val="both"/>
        <w:rPr>
          <w:rFonts w:ascii="Times New Roman" w:eastAsia="Times New Roman" w:hAnsi="Times New Roman" w:cs="Times New Roman"/>
          <w:b/>
          <w:sz w:val="22"/>
          <w:szCs w:val="22"/>
          <w:lang w:val="en-US"/>
        </w:rPr>
      </w:pPr>
    </w:p>
    <w:p w14:paraId="71B5F649" w14:textId="77777777" w:rsidR="00D964B4" w:rsidRPr="0084570B" w:rsidRDefault="00D964B4" w:rsidP="00571BBA">
      <w:pPr>
        <w:jc w:val="both"/>
        <w:rPr>
          <w:rFonts w:ascii="Times New Roman" w:eastAsia="Times New Roman" w:hAnsi="Times New Roman" w:cs="Times New Roman"/>
          <w:b/>
          <w:sz w:val="22"/>
          <w:szCs w:val="22"/>
          <w:lang w:val="en-US"/>
        </w:rPr>
      </w:pPr>
    </w:p>
    <w:p w14:paraId="6CB64EA5" w14:textId="77777777" w:rsidR="00D964B4" w:rsidRPr="0084570B" w:rsidRDefault="00D964B4" w:rsidP="00571BBA">
      <w:pPr>
        <w:jc w:val="both"/>
        <w:rPr>
          <w:rFonts w:ascii="Times New Roman" w:eastAsia="Times New Roman" w:hAnsi="Times New Roman" w:cs="Times New Roman"/>
          <w:b/>
          <w:sz w:val="22"/>
          <w:szCs w:val="22"/>
          <w:lang w:val="en-US"/>
        </w:rPr>
      </w:pPr>
    </w:p>
    <w:p w14:paraId="28F40129" w14:textId="77777777" w:rsidR="00D964B4" w:rsidRPr="0084570B" w:rsidRDefault="00D964B4" w:rsidP="00571BBA">
      <w:pPr>
        <w:jc w:val="both"/>
        <w:rPr>
          <w:rFonts w:ascii="Times New Roman" w:eastAsia="Times New Roman" w:hAnsi="Times New Roman" w:cs="Times New Roman"/>
          <w:b/>
          <w:sz w:val="22"/>
          <w:szCs w:val="22"/>
          <w:lang w:val="en-US"/>
        </w:rPr>
      </w:pPr>
    </w:p>
    <w:p w14:paraId="33DD470E" w14:textId="77777777" w:rsidR="00D964B4" w:rsidRPr="0084570B" w:rsidRDefault="00D964B4" w:rsidP="00571BBA">
      <w:pPr>
        <w:jc w:val="both"/>
        <w:rPr>
          <w:rFonts w:ascii="Times New Roman" w:eastAsia="Times New Roman" w:hAnsi="Times New Roman" w:cs="Times New Roman"/>
          <w:b/>
          <w:sz w:val="22"/>
          <w:szCs w:val="22"/>
          <w:lang w:val="en-US"/>
        </w:rPr>
      </w:pPr>
    </w:p>
    <w:p w14:paraId="63AB353F" w14:textId="080954E2" w:rsidR="00A04649" w:rsidRPr="0084570B" w:rsidRDefault="00571BBA" w:rsidP="00571BBA">
      <w:pPr>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w:t>
      </w:r>
      <w:r w:rsidR="00832649" w:rsidRPr="0084570B">
        <w:rPr>
          <w:rFonts w:ascii="Times New Roman" w:eastAsia="Times New Roman" w:hAnsi="Times New Roman" w:cs="Times New Roman"/>
          <w:b/>
          <w:sz w:val="22"/>
          <w:szCs w:val="22"/>
          <w:lang w:val="en-US"/>
        </w:rPr>
        <w:t>igure S6</w:t>
      </w:r>
      <w:r w:rsidR="00A04649" w:rsidRPr="0084570B">
        <w:rPr>
          <w:rFonts w:ascii="Times New Roman" w:eastAsia="Times New Roman" w:hAnsi="Times New Roman" w:cs="Times New Roman"/>
          <w:b/>
          <w:sz w:val="22"/>
          <w:szCs w:val="22"/>
          <w:lang w:val="en-US"/>
        </w:rPr>
        <w:t xml:space="preserve">: </w:t>
      </w:r>
      <w:r w:rsidRPr="0084570B">
        <w:rPr>
          <w:rFonts w:ascii="Times New Roman" w:eastAsia="Times New Roman" w:hAnsi="Times New Roman" w:cs="Times New Roman"/>
          <w:b/>
          <w:sz w:val="22"/>
          <w:szCs w:val="22"/>
          <w:lang w:val="en-US"/>
        </w:rPr>
        <w:t xml:space="preserve">Histograms of </w:t>
      </w:r>
      <w:r w:rsidRPr="0084570B">
        <w:rPr>
          <w:rFonts w:ascii="Times New Roman" w:eastAsia="Times New Roman" w:hAnsi="Times New Roman" w:cs="Times New Roman"/>
          <w:b/>
          <w:sz w:val="22"/>
          <w:szCs w:val="22"/>
          <w:vertAlign w:val="superscript"/>
          <w:lang w:val="en-US"/>
        </w:rPr>
        <w:t>136</w:t>
      </w:r>
      <w:r w:rsidRPr="0084570B">
        <w:rPr>
          <w:rFonts w:ascii="Times New Roman" w:eastAsia="Times New Roman" w:hAnsi="Times New Roman" w:cs="Times New Roman"/>
          <w:b/>
          <w:sz w:val="22"/>
          <w:szCs w:val="22"/>
          <w:lang w:val="en-US"/>
        </w:rPr>
        <w:t>Xe</w:t>
      </w:r>
      <w:r w:rsidRPr="0084570B">
        <w:rPr>
          <w:rFonts w:ascii="Times New Roman" w:eastAsia="Times New Roman" w:hAnsi="Times New Roman" w:cs="Times New Roman"/>
          <w:b/>
          <w:sz w:val="22"/>
          <w:szCs w:val="22"/>
          <w:vertAlign w:val="subscript"/>
          <w:lang w:val="en-US"/>
        </w:rPr>
        <w:t>Pu</w:t>
      </w:r>
      <w:r w:rsidRPr="0084570B">
        <w:rPr>
          <w:rFonts w:ascii="Times New Roman" w:eastAsia="Times New Roman" w:hAnsi="Times New Roman" w:cs="Times New Roman"/>
          <w:b/>
          <w:sz w:val="22"/>
          <w:szCs w:val="22"/>
          <w:lang w:val="en-US"/>
        </w:rPr>
        <w:t xml:space="preserve">/ </w:t>
      </w:r>
      <w:r w:rsidRPr="0084570B">
        <w:rPr>
          <w:rFonts w:ascii="Times New Roman" w:eastAsia="Times New Roman" w:hAnsi="Times New Roman" w:cs="Times New Roman"/>
          <w:b/>
          <w:sz w:val="22"/>
          <w:szCs w:val="22"/>
          <w:vertAlign w:val="superscript"/>
          <w:lang w:val="en-US"/>
        </w:rPr>
        <w:t>136</w:t>
      </w:r>
      <w:r w:rsidRPr="0084570B">
        <w:rPr>
          <w:rFonts w:ascii="Times New Roman" w:eastAsia="Times New Roman" w:hAnsi="Times New Roman" w:cs="Times New Roman"/>
          <w:b/>
          <w:sz w:val="22"/>
          <w:szCs w:val="22"/>
          <w:lang w:val="en-US"/>
        </w:rPr>
        <w:t>Xe</w:t>
      </w:r>
      <w:r w:rsidRPr="0084570B">
        <w:rPr>
          <w:rFonts w:ascii="Times New Roman" w:eastAsia="Times New Roman" w:hAnsi="Times New Roman" w:cs="Times New Roman"/>
          <w:b/>
          <w:sz w:val="22"/>
          <w:szCs w:val="22"/>
          <w:vertAlign w:val="subscript"/>
          <w:lang w:val="en-US"/>
        </w:rPr>
        <w:t>TF</w:t>
      </w:r>
      <w:r w:rsidRPr="0084570B">
        <w:rPr>
          <w:rFonts w:ascii="Times New Roman" w:eastAsia="Times New Roman" w:hAnsi="Times New Roman" w:cs="Times New Roman"/>
          <w:b/>
          <w:sz w:val="22"/>
          <w:szCs w:val="22"/>
          <w:lang w:val="en-US"/>
        </w:rPr>
        <w:t xml:space="preserve"> and </w:t>
      </w:r>
      <w:r w:rsidRPr="0084570B">
        <w:rPr>
          <w:rFonts w:ascii="Times New Roman" w:eastAsia="Times New Roman" w:hAnsi="Times New Roman" w:cs="Times New Roman"/>
          <w:b/>
          <w:sz w:val="22"/>
          <w:szCs w:val="22"/>
          <w:vertAlign w:val="superscript"/>
          <w:lang w:val="en-US"/>
        </w:rPr>
        <w:t>129</w:t>
      </w:r>
      <w:r w:rsidRPr="0084570B">
        <w:rPr>
          <w:rFonts w:ascii="Times New Roman" w:eastAsia="Times New Roman" w:hAnsi="Times New Roman" w:cs="Times New Roman"/>
          <w:b/>
          <w:sz w:val="22"/>
          <w:szCs w:val="22"/>
          <w:lang w:val="en-US"/>
        </w:rPr>
        <w:t>Xe</w:t>
      </w:r>
      <w:r w:rsidRPr="0084570B">
        <w:rPr>
          <w:rFonts w:ascii="Times New Roman" w:eastAsia="Times New Roman" w:hAnsi="Times New Roman" w:cs="Times New Roman"/>
          <w:b/>
          <w:sz w:val="22"/>
          <w:szCs w:val="22"/>
          <w:vertAlign w:val="subscript"/>
          <w:lang w:val="en-US"/>
        </w:rPr>
        <w:t>I</w:t>
      </w:r>
      <w:r w:rsidRPr="0084570B">
        <w:rPr>
          <w:rFonts w:ascii="Times New Roman" w:eastAsia="Times New Roman" w:hAnsi="Times New Roman" w:cs="Times New Roman"/>
          <w:b/>
          <w:sz w:val="22"/>
          <w:szCs w:val="22"/>
          <w:lang w:val="en-US"/>
        </w:rPr>
        <w:t xml:space="preserve">/ </w:t>
      </w:r>
      <w:r w:rsidRPr="0084570B">
        <w:rPr>
          <w:rFonts w:ascii="Times New Roman" w:eastAsia="Times New Roman" w:hAnsi="Times New Roman" w:cs="Times New Roman"/>
          <w:b/>
          <w:sz w:val="22"/>
          <w:szCs w:val="22"/>
          <w:vertAlign w:val="superscript"/>
          <w:lang w:val="en-US"/>
        </w:rPr>
        <w:t>136</w:t>
      </w:r>
      <w:r w:rsidRPr="0084570B">
        <w:rPr>
          <w:rFonts w:ascii="Times New Roman" w:eastAsia="Times New Roman" w:hAnsi="Times New Roman" w:cs="Times New Roman"/>
          <w:b/>
          <w:sz w:val="22"/>
          <w:szCs w:val="22"/>
          <w:lang w:val="en-US"/>
        </w:rPr>
        <w:t>Xe</w:t>
      </w:r>
      <w:r w:rsidRPr="0084570B">
        <w:rPr>
          <w:rFonts w:ascii="Times New Roman" w:eastAsia="Times New Roman" w:hAnsi="Times New Roman" w:cs="Times New Roman"/>
          <w:b/>
          <w:sz w:val="22"/>
          <w:szCs w:val="22"/>
          <w:vertAlign w:val="subscript"/>
          <w:lang w:val="en-US"/>
        </w:rPr>
        <w:t>Pu</w:t>
      </w:r>
      <w:r w:rsidRPr="0084570B">
        <w:rPr>
          <w:rFonts w:ascii="Times New Roman" w:eastAsia="Times New Roman" w:hAnsi="Times New Roman" w:cs="Times New Roman"/>
          <w:b/>
          <w:sz w:val="22"/>
          <w:szCs w:val="22"/>
          <w:lang w:val="en-US"/>
        </w:rPr>
        <w:t xml:space="preserve"> best fit solutions from </w:t>
      </w:r>
      <w:r w:rsidRPr="0084570B">
        <w:rPr>
          <w:rFonts w:ascii="Times New Roman" w:eastAsia="Times New Roman" w:hAnsi="Times New Roman" w:cs="Times New Roman"/>
          <w:b/>
          <w:color w:val="2E2E2E"/>
          <w:sz w:val="22"/>
          <w:szCs w:val="22"/>
          <w:lang w:val="en-US"/>
        </w:rPr>
        <w:t xml:space="preserve">Monte Carlo linear least square </w:t>
      </w:r>
      <w:r w:rsidRPr="0084570B">
        <w:rPr>
          <w:rFonts w:ascii="Times New Roman" w:eastAsia="Times New Roman" w:hAnsi="Times New Roman" w:cs="Times New Roman"/>
          <w:b/>
          <w:color w:val="222222"/>
          <w:sz w:val="22"/>
          <w:szCs w:val="22"/>
          <w:lang w:val="en-US"/>
        </w:rPr>
        <w:t>deconvolutions</w:t>
      </w:r>
      <w:r w:rsidR="00D5053A" w:rsidRPr="0084570B">
        <w:rPr>
          <w:rFonts w:ascii="Times New Roman" w:eastAsia="Times New Roman" w:hAnsi="Times New Roman" w:cs="Times New Roman"/>
          <w:b/>
          <w:sz w:val="22"/>
          <w:szCs w:val="22"/>
          <w:lang w:val="en-US"/>
        </w:rPr>
        <w:fldChar w:fldCharType="begin" w:fldLock="1"/>
      </w:r>
      <w:r w:rsidR="00A249A4">
        <w:rPr>
          <w:rFonts w:ascii="Times New Roman" w:eastAsia="Times New Roman" w:hAnsi="Times New Roman" w:cs="Times New Roman"/>
          <w:b/>
          <w:sz w:val="22"/>
          <w:szCs w:val="22"/>
          <w:lang w:val="en-US"/>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00D5053A" w:rsidRPr="0084570B">
        <w:rPr>
          <w:rFonts w:ascii="Times New Roman" w:eastAsia="Times New Roman" w:hAnsi="Times New Roman" w:cs="Times New Roman"/>
          <w:b/>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26</w:t>
      </w:r>
      <w:r w:rsidR="00D5053A" w:rsidRPr="0084570B">
        <w:rPr>
          <w:rFonts w:ascii="Times New Roman" w:eastAsia="Times New Roman" w:hAnsi="Times New Roman" w:cs="Times New Roman"/>
          <w:b/>
          <w:sz w:val="22"/>
          <w:szCs w:val="22"/>
          <w:lang w:val="en-US"/>
        </w:rPr>
        <w:fldChar w:fldCharType="end"/>
      </w:r>
      <w:r w:rsidRPr="0084570B">
        <w:rPr>
          <w:rFonts w:ascii="Times New Roman" w:eastAsia="Times New Roman" w:hAnsi="Times New Roman" w:cs="Times New Roman"/>
          <w:b/>
          <w:color w:val="222222"/>
          <w:sz w:val="22"/>
          <w:szCs w:val="22"/>
          <w:lang w:val="en-US"/>
        </w:rPr>
        <w:t xml:space="preserve"> of Mt. Etna Xe isotope data</w:t>
      </w:r>
      <w:r w:rsidRPr="0084570B">
        <w:rPr>
          <w:rFonts w:ascii="Times New Roman" w:eastAsia="Times New Roman" w:hAnsi="Times New Roman" w:cs="Times New Roman"/>
          <w:b/>
          <w:sz w:val="22"/>
          <w:szCs w:val="22"/>
          <w:lang w:val="en-US"/>
        </w:rPr>
        <w:t>.</w:t>
      </w:r>
      <w:r w:rsidR="00D5053A" w:rsidRPr="0084570B">
        <w:rPr>
          <w:rFonts w:ascii="Times New Roman" w:eastAsia="Times New Roman" w:hAnsi="Times New Roman" w:cs="Times New Roman"/>
          <w:b/>
          <w:sz w:val="22"/>
          <w:szCs w:val="22"/>
          <w:lang w:val="en-US"/>
        </w:rPr>
        <w:t xml:space="preserve"> </w:t>
      </w:r>
      <w:r w:rsidR="00D5053A" w:rsidRPr="0084570B">
        <w:rPr>
          <w:rFonts w:ascii="Times New Roman" w:eastAsia="Times New Roman" w:hAnsi="Times New Roman" w:cs="Times New Roman"/>
          <w:sz w:val="22"/>
          <w:szCs w:val="22"/>
          <w:lang w:val="en-US"/>
        </w:rPr>
        <w:t xml:space="preserve">Output data excluding </w:t>
      </w:r>
      <w:r w:rsidR="00D5053A" w:rsidRPr="0084570B">
        <w:rPr>
          <w:rFonts w:ascii="Times New Roman" w:eastAsia="Times New Roman" w:hAnsi="Times New Roman" w:cs="Times New Roman"/>
          <w:sz w:val="22"/>
          <w:szCs w:val="22"/>
          <w:vertAlign w:val="superscript"/>
          <w:lang w:val="en-US"/>
        </w:rPr>
        <w:t>128</w:t>
      </w:r>
      <w:r w:rsidR="00D5053A" w:rsidRPr="0084570B">
        <w:rPr>
          <w:rFonts w:ascii="Times New Roman" w:eastAsia="Times New Roman" w:hAnsi="Times New Roman" w:cs="Times New Roman"/>
          <w:sz w:val="22"/>
          <w:szCs w:val="22"/>
          <w:lang w:val="en-US"/>
        </w:rPr>
        <w:t xml:space="preserve">Xe (for comparison with literature data) are summarized in </w:t>
      </w:r>
      <w:r w:rsidR="00D5053A" w:rsidRPr="0084570B">
        <w:rPr>
          <w:rFonts w:ascii="Times New Roman" w:eastAsia="Times New Roman" w:hAnsi="Times New Roman" w:cs="Times New Roman"/>
          <w:b/>
          <w:sz w:val="22"/>
          <w:szCs w:val="22"/>
          <w:lang w:val="en-US"/>
        </w:rPr>
        <w:t>Table S2</w:t>
      </w:r>
      <w:r w:rsidR="00D5053A" w:rsidRPr="0084570B">
        <w:rPr>
          <w:rFonts w:ascii="Times New Roman" w:eastAsia="Times New Roman" w:hAnsi="Times New Roman" w:cs="Times New Roman"/>
          <w:sz w:val="22"/>
          <w:szCs w:val="22"/>
          <w:lang w:val="en-US"/>
        </w:rPr>
        <w:t xml:space="preserve">. </w:t>
      </w:r>
    </w:p>
    <w:p w14:paraId="1DB7B286" w14:textId="2E1FBC5E" w:rsidR="00563BDD" w:rsidRPr="0084570B" w:rsidRDefault="00571BBA" w:rsidP="00521889">
      <w:pPr>
        <w:pStyle w:val="Normal1"/>
        <w:spacing w:line="360" w:lineRule="auto"/>
        <w:ind w:firstLine="720"/>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lastRenderedPageBreak/>
        <w:drawing>
          <wp:inline distT="0" distB="0" distL="0" distR="0" wp14:anchorId="0E19D6E6" wp14:editId="33EF4931">
            <wp:extent cx="7854999" cy="4870764"/>
            <wp:effectExtent l="0" t="0" r="0" b="635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857693" cy="4872434"/>
                    </a:xfrm>
                    <a:prstGeom prst="rect">
                      <a:avLst/>
                    </a:prstGeom>
                    <a:noFill/>
                    <a:ln>
                      <a:noFill/>
                    </a:ln>
                  </pic:spPr>
                </pic:pic>
              </a:graphicData>
            </a:graphic>
          </wp:inline>
        </w:drawing>
      </w:r>
    </w:p>
    <w:p w14:paraId="23094BAD" w14:textId="3AD6EB49" w:rsidR="00A04649" w:rsidRPr="0084570B" w:rsidRDefault="00832649" w:rsidP="00D5053A">
      <w:pPr>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S7</w:t>
      </w:r>
      <w:r w:rsidR="00A04649" w:rsidRPr="0084570B">
        <w:rPr>
          <w:rFonts w:ascii="Times New Roman" w:eastAsia="Times New Roman" w:hAnsi="Times New Roman" w:cs="Times New Roman"/>
          <w:b/>
          <w:sz w:val="22"/>
          <w:szCs w:val="22"/>
          <w:lang w:val="en-US"/>
        </w:rPr>
        <w:t xml:space="preserve">: </w:t>
      </w:r>
      <w:r w:rsidR="00D5053A" w:rsidRPr="0084570B">
        <w:rPr>
          <w:rFonts w:ascii="Times New Roman" w:eastAsia="Times New Roman" w:hAnsi="Times New Roman" w:cs="Times New Roman"/>
          <w:b/>
          <w:sz w:val="22"/>
          <w:szCs w:val="22"/>
          <w:lang w:val="en-US"/>
        </w:rPr>
        <w:t xml:space="preserve">Histograms of </w:t>
      </w:r>
      <w:r w:rsidR="00D5053A" w:rsidRPr="0084570B">
        <w:rPr>
          <w:rFonts w:ascii="Times New Roman" w:eastAsia="Times New Roman" w:hAnsi="Times New Roman" w:cs="Times New Roman"/>
          <w:b/>
          <w:sz w:val="22"/>
          <w:szCs w:val="22"/>
          <w:vertAlign w:val="superscript"/>
          <w:lang w:val="en-US"/>
        </w:rPr>
        <w:t>136</w:t>
      </w:r>
      <w:r w:rsidR="00D5053A" w:rsidRPr="0084570B">
        <w:rPr>
          <w:rFonts w:ascii="Times New Roman" w:eastAsia="Times New Roman" w:hAnsi="Times New Roman" w:cs="Times New Roman"/>
          <w:b/>
          <w:sz w:val="22"/>
          <w:szCs w:val="22"/>
          <w:lang w:val="en-US"/>
        </w:rPr>
        <w:t>Xe</w:t>
      </w:r>
      <w:r w:rsidR="00D5053A" w:rsidRPr="0084570B">
        <w:rPr>
          <w:rFonts w:ascii="Times New Roman" w:eastAsia="Times New Roman" w:hAnsi="Times New Roman" w:cs="Times New Roman"/>
          <w:b/>
          <w:sz w:val="22"/>
          <w:szCs w:val="22"/>
          <w:vertAlign w:val="subscript"/>
          <w:lang w:val="en-US"/>
        </w:rPr>
        <w:t>Pu</w:t>
      </w:r>
      <w:r w:rsidR="00D5053A" w:rsidRPr="0084570B">
        <w:rPr>
          <w:rFonts w:ascii="Times New Roman" w:eastAsia="Times New Roman" w:hAnsi="Times New Roman" w:cs="Times New Roman"/>
          <w:b/>
          <w:sz w:val="22"/>
          <w:szCs w:val="22"/>
          <w:lang w:val="en-US"/>
        </w:rPr>
        <w:t xml:space="preserve">/ </w:t>
      </w:r>
      <w:r w:rsidR="00D5053A" w:rsidRPr="0084570B">
        <w:rPr>
          <w:rFonts w:ascii="Times New Roman" w:eastAsia="Times New Roman" w:hAnsi="Times New Roman" w:cs="Times New Roman"/>
          <w:b/>
          <w:sz w:val="22"/>
          <w:szCs w:val="22"/>
          <w:vertAlign w:val="superscript"/>
          <w:lang w:val="en-US"/>
        </w:rPr>
        <w:t>136</w:t>
      </w:r>
      <w:r w:rsidR="00D5053A" w:rsidRPr="0084570B">
        <w:rPr>
          <w:rFonts w:ascii="Times New Roman" w:eastAsia="Times New Roman" w:hAnsi="Times New Roman" w:cs="Times New Roman"/>
          <w:b/>
          <w:sz w:val="22"/>
          <w:szCs w:val="22"/>
          <w:lang w:val="en-US"/>
        </w:rPr>
        <w:t>Xe</w:t>
      </w:r>
      <w:r w:rsidR="00D5053A" w:rsidRPr="0084570B">
        <w:rPr>
          <w:rFonts w:ascii="Times New Roman" w:eastAsia="Times New Roman" w:hAnsi="Times New Roman" w:cs="Times New Roman"/>
          <w:b/>
          <w:sz w:val="22"/>
          <w:szCs w:val="22"/>
          <w:vertAlign w:val="subscript"/>
          <w:lang w:val="en-US"/>
        </w:rPr>
        <w:t>TF</w:t>
      </w:r>
      <w:r w:rsidR="00D5053A" w:rsidRPr="0084570B">
        <w:rPr>
          <w:rFonts w:ascii="Times New Roman" w:eastAsia="Times New Roman" w:hAnsi="Times New Roman" w:cs="Times New Roman"/>
          <w:b/>
          <w:sz w:val="22"/>
          <w:szCs w:val="22"/>
          <w:lang w:val="en-US"/>
        </w:rPr>
        <w:t xml:space="preserve"> and </w:t>
      </w:r>
      <w:r w:rsidR="00D5053A" w:rsidRPr="0084570B">
        <w:rPr>
          <w:rFonts w:ascii="Times New Roman" w:eastAsia="Times New Roman" w:hAnsi="Times New Roman" w:cs="Times New Roman"/>
          <w:b/>
          <w:sz w:val="22"/>
          <w:szCs w:val="22"/>
          <w:vertAlign w:val="superscript"/>
          <w:lang w:val="en-US"/>
        </w:rPr>
        <w:t>129</w:t>
      </w:r>
      <w:r w:rsidR="00D5053A" w:rsidRPr="0084570B">
        <w:rPr>
          <w:rFonts w:ascii="Times New Roman" w:eastAsia="Times New Roman" w:hAnsi="Times New Roman" w:cs="Times New Roman"/>
          <w:b/>
          <w:sz w:val="22"/>
          <w:szCs w:val="22"/>
          <w:lang w:val="en-US"/>
        </w:rPr>
        <w:t>Xe</w:t>
      </w:r>
      <w:r w:rsidR="00D5053A" w:rsidRPr="0084570B">
        <w:rPr>
          <w:rFonts w:ascii="Times New Roman" w:eastAsia="Times New Roman" w:hAnsi="Times New Roman" w:cs="Times New Roman"/>
          <w:b/>
          <w:sz w:val="22"/>
          <w:szCs w:val="22"/>
          <w:vertAlign w:val="subscript"/>
          <w:lang w:val="en-US"/>
        </w:rPr>
        <w:t>I</w:t>
      </w:r>
      <w:r w:rsidR="00D5053A" w:rsidRPr="0084570B">
        <w:rPr>
          <w:rFonts w:ascii="Times New Roman" w:eastAsia="Times New Roman" w:hAnsi="Times New Roman" w:cs="Times New Roman"/>
          <w:b/>
          <w:sz w:val="22"/>
          <w:szCs w:val="22"/>
          <w:lang w:val="en-US"/>
        </w:rPr>
        <w:t xml:space="preserve">/ </w:t>
      </w:r>
      <w:r w:rsidR="00D5053A" w:rsidRPr="0084570B">
        <w:rPr>
          <w:rFonts w:ascii="Times New Roman" w:eastAsia="Times New Roman" w:hAnsi="Times New Roman" w:cs="Times New Roman"/>
          <w:b/>
          <w:sz w:val="22"/>
          <w:szCs w:val="22"/>
          <w:vertAlign w:val="superscript"/>
          <w:lang w:val="en-US"/>
        </w:rPr>
        <w:t>136</w:t>
      </w:r>
      <w:r w:rsidR="00D5053A" w:rsidRPr="0084570B">
        <w:rPr>
          <w:rFonts w:ascii="Times New Roman" w:eastAsia="Times New Roman" w:hAnsi="Times New Roman" w:cs="Times New Roman"/>
          <w:b/>
          <w:sz w:val="22"/>
          <w:szCs w:val="22"/>
          <w:lang w:val="en-US"/>
        </w:rPr>
        <w:t>Xe</w:t>
      </w:r>
      <w:r w:rsidR="00D5053A" w:rsidRPr="0084570B">
        <w:rPr>
          <w:rFonts w:ascii="Times New Roman" w:eastAsia="Times New Roman" w:hAnsi="Times New Roman" w:cs="Times New Roman"/>
          <w:b/>
          <w:sz w:val="22"/>
          <w:szCs w:val="22"/>
          <w:vertAlign w:val="subscript"/>
          <w:lang w:val="en-US"/>
        </w:rPr>
        <w:t>Pu</w:t>
      </w:r>
      <w:r w:rsidR="006C5866" w:rsidRPr="0084570B">
        <w:rPr>
          <w:rFonts w:ascii="Times New Roman" w:eastAsia="Times New Roman" w:hAnsi="Times New Roman" w:cs="Times New Roman"/>
          <w:b/>
          <w:sz w:val="22"/>
          <w:szCs w:val="22"/>
          <w:lang w:val="en-US"/>
        </w:rPr>
        <w:t xml:space="preserve"> best-</w:t>
      </w:r>
      <w:r w:rsidR="00D5053A" w:rsidRPr="0084570B">
        <w:rPr>
          <w:rFonts w:ascii="Times New Roman" w:eastAsia="Times New Roman" w:hAnsi="Times New Roman" w:cs="Times New Roman"/>
          <w:b/>
          <w:sz w:val="22"/>
          <w:szCs w:val="22"/>
          <w:lang w:val="en-US"/>
        </w:rPr>
        <w:t xml:space="preserve">fit solutions from </w:t>
      </w:r>
      <w:r w:rsidR="00D5053A" w:rsidRPr="0084570B">
        <w:rPr>
          <w:rFonts w:ascii="Times New Roman" w:eastAsia="Times New Roman" w:hAnsi="Times New Roman" w:cs="Times New Roman"/>
          <w:b/>
          <w:color w:val="2E2E2E"/>
          <w:sz w:val="22"/>
          <w:szCs w:val="22"/>
          <w:lang w:val="en-US"/>
        </w:rPr>
        <w:t xml:space="preserve">Monte Carlo linear least square </w:t>
      </w:r>
      <w:r w:rsidR="00D5053A" w:rsidRPr="0084570B">
        <w:rPr>
          <w:rFonts w:ascii="Times New Roman" w:eastAsia="Times New Roman" w:hAnsi="Times New Roman" w:cs="Times New Roman"/>
          <w:b/>
          <w:color w:val="222222"/>
          <w:sz w:val="22"/>
          <w:szCs w:val="22"/>
          <w:lang w:val="en-US"/>
        </w:rPr>
        <w:t>deconvolutions</w:t>
      </w:r>
      <w:r w:rsidR="00D5053A" w:rsidRPr="0084570B">
        <w:rPr>
          <w:rFonts w:ascii="Times New Roman" w:eastAsia="Times New Roman" w:hAnsi="Times New Roman" w:cs="Times New Roman"/>
          <w:b/>
          <w:sz w:val="22"/>
          <w:szCs w:val="22"/>
          <w:lang w:val="en-US"/>
        </w:rPr>
        <w:fldChar w:fldCharType="begin" w:fldLock="1"/>
      </w:r>
      <w:r w:rsidR="00A249A4">
        <w:rPr>
          <w:rFonts w:ascii="Times New Roman" w:eastAsia="Times New Roman" w:hAnsi="Times New Roman" w:cs="Times New Roman"/>
          <w:b/>
          <w:sz w:val="22"/>
          <w:szCs w:val="22"/>
          <w:lang w:val="en-US"/>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00D5053A" w:rsidRPr="0084570B">
        <w:rPr>
          <w:rFonts w:ascii="Times New Roman" w:eastAsia="Times New Roman" w:hAnsi="Times New Roman" w:cs="Times New Roman"/>
          <w:b/>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26</w:t>
      </w:r>
      <w:r w:rsidR="00D5053A" w:rsidRPr="0084570B">
        <w:rPr>
          <w:rFonts w:ascii="Times New Roman" w:eastAsia="Times New Roman" w:hAnsi="Times New Roman" w:cs="Times New Roman"/>
          <w:b/>
          <w:sz w:val="22"/>
          <w:szCs w:val="22"/>
          <w:lang w:val="en-US"/>
        </w:rPr>
        <w:fldChar w:fldCharType="end"/>
      </w:r>
      <w:r w:rsidR="00D5053A" w:rsidRPr="0084570B">
        <w:rPr>
          <w:rFonts w:ascii="Times New Roman" w:eastAsia="Times New Roman" w:hAnsi="Times New Roman" w:cs="Times New Roman"/>
          <w:b/>
          <w:color w:val="222222"/>
          <w:sz w:val="22"/>
          <w:szCs w:val="22"/>
          <w:lang w:val="en-US"/>
        </w:rPr>
        <w:t xml:space="preserve"> of Eifel Xe isotope data from static</w:t>
      </w:r>
      <w:r w:rsidR="00D5053A" w:rsidRPr="0084570B">
        <w:rPr>
          <w:rFonts w:ascii="Times New Roman" w:eastAsia="Times New Roman" w:hAnsi="Times New Roman" w:cs="Times New Roman"/>
          <w:b/>
          <w:color w:val="222222"/>
          <w:sz w:val="22"/>
          <w:szCs w:val="22"/>
          <w:lang w:val="en-US"/>
        </w:rPr>
        <w:fldChar w:fldCharType="begin" w:fldLock="1"/>
      </w:r>
      <w:r w:rsidR="00A249A4">
        <w:rPr>
          <w:rFonts w:ascii="Times New Roman" w:eastAsia="Times New Roman" w:hAnsi="Times New Roman" w:cs="Times New Roman"/>
          <w:b/>
          <w:color w:val="222222"/>
          <w:sz w:val="22"/>
          <w:szCs w:val="22"/>
          <w:lang w:val="en-US"/>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00A249A4">
        <w:rPr>
          <w:rFonts w:ascii="Cambria Math" w:eastAsia="Times New Roman" w:hAnsi="Cambria Math" w:cs="Cambria Math"/>
          <w:b/>
          <w:color w:val="222222"/>
          <w:sz w:val="22"/>
          <w:szCs w:val="22"/>
          <w:lang w:val="en-US"/>
        </w:rPr>
        <w:instrText>∼</w:instrText>
      </w:r>
      <w:r w:rsidR="00A249A4">
        <w:rPr>
          <w:rFonts w:ascii="Times New Roman" w:eastAsia="Times New Roman" w:hAnsi="Times New Roman" w:cs="Times New Roman"/>
          <w:b/>
          <w:color w:val="222222"/>
          <w:sz w:val="22"/>
          <w:szCs w:val="22"/>
          <w:lang w:val="en-US"/>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Letters","id":"ITEM-1","issued":{"date-parts":[["2019"]]},"page":"115766","publisher":"Elsevier B.V.","title":"Novel insights into the degassing history of Earth's mantle from high precision noble gas analysis of magmatic gas","type":"article-journal","volume":"525"},"uris":["http://www.mendeley.com/documents/?uuid=871e74de-dfc9-489a-a5a1-d67859233fc2"]}],"mendeley":{"formattedCitation":"&lt;sup&gt;23&lt;/sup&gt;","plainTextFormattedCitation":"23","previouslyFormattedCitation":"&lt;sup&gt;23&lt;/sup&gt;"},"properties":{"noteIndex":0},"schema":"https://github.com/citation-style-language/schema/raw/master/csl-citation.json"}</w:instrText>
      </w:r>
      <w:r w:rsidR="00D5053A" w:rsidRPr="0084570B">
        <w:rPr>
          <w:rFonts w:ascii="Times New Roman" w:eastAsia="Times New Roman" w:hAnsi="Times New Roman" w:cs="Times New Roman"/>
          <w:b/>
          <w:color w:val="222222"/>
          <w:sz w:val="22"/>
          <w:szCs w:val="22"/>
          <w:lang w:val="en-US"/>
        </w:rPr>
        <w:fldChar w:fldCharType="separate"/>
      </w:r>
      <w:r w:rsidR="00DD29E3" w:rsidRPr="00DD29E3">
        <w:rPr>
          <w:rFonts w:ascii="Times New Roman" w:eastAsia="Times New Roman" w:hAnsi="Times New Roman" w:cs="Times New Roman"/>
          <w:noProof/>
          <w:color w:val="222222"/>
          <w:sz w:val="22"/>
          <w:szCs w:val="22"/>
          <w:vertAlign w:val="superscript"/>
          <w:lang w:val="en-US"/>
        </w:rPr>
        <w:t>23</w:t>
      </w:r>
      <w:r w:rsidR="00D5053A" w:rsidRPr="0084570B">
        <w:rPr>
          <w:rFonts w:ascii="Times New Roman" w:eastAsia="Times New Roman" w:hAnsi="Times New Roman" w:cs="Times New Roman"/>
          <w:b/>
          <w:color w:val="222222"/>
          <w:sz w:val="22"/>
          <w:szCs w:val="22"/>
          <w:lang w:val="en-US"/>
        </w:rPr>
        <w:fldChar w:fldCharType="end"/>
      </w:r>
      <w:r w:rsidR="00D5053A" w:rsidRPr="0084570B">
        <w:rPr>
          <w:rFonts w:ascii="Times New Roman" w:eastAsia="Times New Roman" w:hAnsi="Times New Roman" w:cs="Times New Roman"/>
          <w:b/>
          <w:color w:val="222222"/>
          <w:sz w:val="22"/>
          <w:szCs w:val="22"/>
          <w:lang w:val="en-US"/>
        </w:rPr>
        <w:t xml:space="preserve"> (SMS) and dynamic (this study, DMS) mass spectrometry</w:t>
      </w:r>
      <w:r w:rsidR="00D5053A" w:rsidRPr="0084570B">
        <w:rPr>
          <w:rFonts w:ascii="Times New Roman" w:eastAsia="Times New Roman" w:hAnsi="Times New Roman" w:cs="Times New Roman"/>
          <w:b/>
          <w:sz w:val="22"/>
          <w:szCs w:val="22"/>
          <w:lang w:val="en-US"/>
        </w:rPr>
        <w:t xml:space="preserve">. </w:t>
      </w:r>
      <w:r w:rsidR="00D5053A" w:rsidRPr="0084570B">
        <w:rPr>
          <w:rFonts w:ascii="Times New Roman" w:eastAsia="Times New Roman" w:hAnsi="Times New Roman" w:cs="Times New Roman"/>
          <w:sz w:val="22"/>
          <w:szCs w:val="22"/>
          <w:lang w:val="en-US"/>
        </w:rPr>
        <w:t xml:space="preserve">Output data excluding </w:t>
      </w:r>
      <w:r w:rsidR="00D5053A" w:rsidRPr="0084570B">
        <w:rPr>
          <w:rFonts w:ascii="Times New Roman" w:eastAsia="Times New Roman" w:hAnsi="Times New Roman" w:cs="Times New Roman"/>
          <w:sz w:val="22"/>
          <w:szCs w:val="22"/>
          <w:vertAlign w:val="superscript"/>
          <w:lang w:val="en-US"/>
        </w:rPr>
        <w:t>128</w:t>
      </w:r>
      <w:r w:rsidR="00D5053A" w:rsidRPr="0084570B">
        <w:rPr>
          <w:rFonts w:ascii="Times New Roman" w:eastAsia="Times New Roman" w:hAnsi="Times New Roman" w:cs="Times New Roman"/>
          <w:sz w:val="22"/>
          <w:szCs w:val="22"/>
          <w:lang w:val="en-US"/>
        </w:rPr>
        <w:t xml:space="preserve">Xe (for comparison with literature data) are summarized in </w:t>
      </w:r>
      <w:r w:rsidR="00D5053A" w:rsidRPr="0084570B">
        <w:rPr>
          <w:rFonts w:ascii="Times New Roman" w:eastAsia="Times New Roman" w:hAnsi="Times New Roman" w:cs="Times New Roman"/>
          <w:b/>
          <w:sz w:val="22"/>
          <w:szCs w:val="22"/>
          <w:lang w:val="en-US"/>
        </w:rPr>
        <w:t>Table S2</w:t>
      </w:r>
      <w:r w:rsidR="00D5053A" w:rsidRPr="0084570B">
        <w:rPr>
          <w:rFonts w:ascii="Times New Roman" w:eastAsia="Times New Roman" w:hAnsi="Times New Roman" w:cs="Times New Roman"/>
          <w:sz w:val="22"/>
          <w:szCs w:val="22"/>
          <w:lang w:val="en-US"/>
        </w:rPr>
        <w:t>. Note that the histograms derived from DMS data exhibit clear Gaussian distributions that suggest the absence of artifacts. Conversely, histograms derived from SMS data show skewed, non-consistent distributions suggesting some secondary effects may have affected the data.</w:t>
      </w:r>
    </w:p>
    <w:p w14:paraId="0283616F" w14:textId="77777777" w:rsidR="00D5053A" w:rsidRPr="0084570B" w:rsidRDefault="00D5053A" w:rsidP="00D5053A">
      <w:pPr>
        <w:jc w:val="both"/>
        <w:rPr>
          <w:rFonts w:ascii="Times New Roman" w:eastAsia="Times New Roman" w:hAnsi="Times New Roman" w:cs="Times New Roman"/>
          <w:sz w:val="22"/>
          <w:szCs w:val="22"/>
          <w:lang w:val="en-US"/>
        </w:rPr>
        <w:sectPr w:rsidR="00D5053A" w:rsidRPr="0084570B" w:rsidSect="00360EB0">
          <w:pgSz w:w="16840" w:h="11900" w:orient="landscape"/>
          <w:pgMar w:top="1417" w:right="1417" w:bottom="1417" w:left="1417" w:header="708" w:footer="708" w:gutter="0"/>
          <w:lnNumType w:countBy="1" w:restart="continuous"/>
          <w:pgNumType w:start="36"/>
          <w:cols w:space="720"/>
        </w:sectPr>
      </w:pPr>
    </w:p>
    <w:tbl>
      <w:tblPr>
        <w:tblW w:w="8035" w:type="dxa"/>
        <w:jc w:val="center"/>
        <w:tblCellMar>
          <w:left w:w="70" w:type="dxa"/>
          <w:right w:w="70" w:type="dxa"/>
        </w:tblCellMar>
        <w:tblLook w:val="04A0" w:firstRow="1" w:lastRow="0" w:firstColumn="1" w:lastColumn="0" w:noHBand="0" w:noVBand="1"/>
      </w:tblPr>
      <w:tblGrid>
        <w:gridCol w:w="1554"/>
        <w:gridCol w:w="1117"/>
        <w:gridCol w:w="2951"/>
        <w:gridCol w:w="2413"/>
      </w:tblGrid>
      <w:tr w:rsidR="00C938E9" w:rsidRPr="0084570B" w14:paraId="4EF29952" w14:textId="77777777" w:rsidTr="00C875E7">
        <w:trPr>
          <w:trHeight w:val="280"/>
          <w:jc w:val="center"/>
        </w:trPr>
        <w:tc>
          <w:tcPr>
            <w:tcW w:w="1554" w:type="dxa"/>
            <w:tcBorders>
              <w:right w:val="single" w:sz="4" w:space="0" w:color="auto"/>
            </w:tcBorders>
            <w:vAlign w:val="center"/>
          </w:tcPr>
          <w:p w14:paraId="6126D5E1"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0"/>
                <w:szCs w:val="22"/>
                <w:lang w:val="en-US"/>
              </w:rPr>
              <w:lastRenderedPageBreak/>
              <w:t>Sample</w:t>
            </w:r>
          </w:p>
        </w:tc>
        <w:tc>
          <w:tcPr>
            <w:tcW w:w="1117" w:type="dxa"/>
            <w:tcBorders>
              <w:right w:val="single" w:sz="4" w:space="0" w:color="auto"/>
            </w:tcBorders>
            <w:vAlign w:val="center"/>
          </w:tcPr>
          <w:p w14:paraId="29E7F8CC"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0"/>
                <w:szCs w:val="22"/>
                <w:lang w:val="en-US"/>
              </w:rPr>
              <w:t>Reference</w:t>
            </w:r>
          </w:p>
        </w:tc>
        <w:tc>
          <w:tcPr>
            <w:tcW w:w="2951" w:type="dxa"/>
            <w:tcBorders>
              <w:left w:val="single" w:sz="4" w:space="0" w:color="auto"/>
              <w:right w:val="single" w:sz="4" w:space="0" w:color="auto"/>
            </w:tcBorders>
            <w:shd w:val="clear" w:color="auto" w:fill="auto"/>
            <w:noWrap/>
            <w:vAlign w:val="center"/>
          </w:tcPr>
          <w:p w14:paraId="43407EB4"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2"/>
                <w:vertAlign w:val="superscript"/>
                <w:lang w:val="en-US"/>
              </w:rPr>
              <w:t>136</w:t>
            </w:r>
            <w:r w:rsidRPr="0084570B">
              <w:rPr>
                <w:rFonts w:ascii="Times New Roman" w:eastAsia="Times New Roman" w:hAnsi="Times New Roman" w:cs="Times New Roman"/>
                <w:b/>
                <w:sz w:val="22"/>
                <w:lang w:val="en-US"/>
              </w:rPr>
              <w:t>Xe</w:t>
            </w:r>
            <w:r w:rsidRPr="0084570B">
              <w:rPr>
                <w:rFonts w:ascii="Times New Roman" w:eastAsia="Times New Roman" w:hAnsi="Times New Roman" w:cs="Times New Roman"/>
                <w:b/>
                <w:sz w:val="22"/>
                <w:vertAlign w:val="subscript"/>
                <w:lang w:val="en-US"/>
              </w:rPr>
              <w:t>Pu</w:t>
            </w:r>
            <w:r w:rsidRPr="0084570B">
              <w:rPr>
                <w:rFonts w:ascii="Times New Roman" w:eastAsia="Times New Roman" w:hAnsi="Times New Roman" w:cs="Times New Roman"/>
                <w:b/>
                <w:sz w:val="22"/>
                <w:lang w:val="en-US"/>
              </w:rPr>
              <w:t>/</w:t>
            </w:r>
            <w:r w:rsidRPr="0084570B">
              <w:rPr>
                <w:rFonts w:ascii="Times New Roman" w:eastAsia="Times New Roman" w:hAnsi="Times New Roman" w:cs="Times New Roman"/>
                <w:b/>
                <w:sz w:val="22"/>
                <w:vertAlign w:val="superscript"/>
                <w:lang w:val="en-US"/>
              </w:rPr>
              <w:t>136</w:t>
            </w:r>
            <w:r w:rsidRPr="0084570B">
              <w:rPr>
                <w:rFonts w:ascii="Times New Roman" w:eastAsia="Times New Roman" w:hAnsi="Times New Roman" w:cs="Times New Roman"/>
                <w:b/>
                <w:sz w:val="22"/>
                <w:lang w:val="en-US"/>
              </w:rPr>
              <w:t>Xe</w:t>
            </w:r>
            <w:r w:rsidRPr="0084570B">
              <w:rPr>
                <w:rFonts w:ascii="Times New Roman" w:eastAsia="Times New Roman" w:hAnsi="Times New Roman" w:cs="Times New Roman"/>
                <w:b/>
                <w:sz w:val="22"/>
                <w:vertAlign w:val="subscript"/>
                <w:lang w:val="en-US"/>
              </w:rPr>
              <w:t xml:space="preserve">TF </w:t>
            </w:r>
            <w:r w:rsidRPr="0084570B">
              <w:rPr>
                <w:rFonts w:ascii="Times New Roman" w:eastAsia="Times New Roman" w:hAnsi="Times New Roman" w:cs="Times New Roman"/>
                <w:sz w:val="22"/>
                <w:lang w:val="en-US"/>
              </w:rPr>
              <w:t>(</w:t>
            </w:r>
            <w:r w:rsidRPr="0084570B">
              <w:rPr>
                <w:rFonts w:ascii="Times New Roman" w:eastAsia="Times New Roman" w:hAnsi="Times New Roman" w:cs="Times New Roman"/>
                <w:sz w:val="20"/>
                <w:szCs w:val="22"/>
                <w:lang w:val="en-US"/>
              </w:rPr>
              <w:t>%)</w:t>
            </w:r>
          </w:p>
        </w:tc>
        <w:tc>
          <w:tcPr>
            <w:tcW w:w="2413" w:type="dxa"/>
            <w:tcBorders>
              <w:left w:val="single" w:sz="4" w:space="0" w:color="auto"/>
              <w:right w:val="single" w:sz="4" w:space="0" w:color="auto"/>
            </w:tcBorders>
            <w:shd w:val="clear" w:color="auto" w:fill="auto"/>
            <w:noWrap/>
            <w:vAlign w:val="center"/>
          </w:tcPr>
          <w:p w14:paraId="1C499C01"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b/>
                <w:sz w:val="22"/>
                <w:vertAlign w:val="superscript"/>
                <w:lang w:val="en-US"/>
              </w:rPr>
              <w:t>129</w:t>
            </w:r>
            <w:r w:rsidRPr="0084570B">
              <w:rPr>
                <w:rFonts w:ascii="Times New Roman" w:eastAsia="Times New Roman" w:hAnsi="Times New Roman" w:cs="Times New Roman"/>
                <w:b/>
                <w:sz w:val="22"/>
                <w:lang w:val="en-US"/>
              </w:rPr>
              <w:t>Xe</w:t>
            </w:r>
            <w:r w:rsidRPr="0084570B">
              <w:rPr>
                <w:rFonts w:ascii="Times New Roman" w:eastAsia="Times New Roman" w:hAnsi="Times New Roman" w:cs="Times New Roman"/>
                <w:b/>
                <w:sz w:val="22"/>
                <w:vertAlign w:val="subscript"/>
                <w:lang w:val="en-US"/>
              </w:rPr>
              <w:t>I</w:t>
            </w:r>
            <w:r w:rsidRPr="0084570B">
              <w:rPr>
                <w:rFonts w:ascii="Times New Roman" w:eastAsia="Times New Roman" w:hAnsi="Times New Roman" w:cs="Times New Roman"/>
                <w:b/>
                <w:sz w:val="22"/>
                <w:lang w:val="en-US"/>
              </w:rPr>
              <w:t>/</w:t>
            </w:r>
            <w:r w:rsidRPr="0084570B">
              <w:rPr>
                <w:rFonts w:ascii="Times New Roman" w:eastAsia="Times New Roman" w:hAnsi="Times New Roman" w:cs="Times New Roman"/>
                <w:b/>
                <w:sz w:val="22"/>
                <w:vertAlign w:val="superscript"/>
                <w:lang w:val="en-US"/>
              </w:rPr>
              <w:t>136</w:t>
            </w:r>
            <w:r w:rsidRPr="0084570B">
              <w:rPr>
                <w:rFonts w:ascii="Times New Roman" w:eastAsia="Times New Roman" w:hAnsi="Times New Roman" w:cs="Times New Roman"/>
                <w:b/>
                <w:sz w:val="22"/>
                <w:lang w:val="en-US"/>
              </w:rPr>
              <w:t>Xe</w:t>
            </w:r>
            <w:r w:rsidRPr="0084570B">
              <w:rPr>
                <w:rFonts w:ascii="Times New Roman" w:eastAsia="Times New Roman" w:hAnsi="Times New Roman" w:cs="Times New Roman"/>
                <w:b/>
                <w:sz w:val="22"/>
                <w:vertAlign w:val="subscript"/>
                <w:lang w:val="en-US"/>
              </w:rPr>
              <w:t>Pu</w:t>
            </w:r>
          </w:p>
        </w:tc>
      </w:tr>
      <w:tr w:rsidR="00C938E9" w:rsidRPr="0084570B" w14:paraId="2529B4B9" w14:textId="77777777" w:rsidTr="00C875E7">
        <w:trPr>
          <w:trHeight w:val="280"/>
          <w:jc w:val="center"/>
        </w:trPr>
        <w:tc>
          <w:tcPr>
            <w:tcW w:w="1554" w:type="dxa"/>
            <w:tcBorders>
              <w:right w:val="single" w:sz="4" w:space="0" w:color="auto"/>
            </w:tcBorders>
            <w:vAlign w:val="center"/>
          </w:tcPr>
          <w:p w14:paraId="4BF0B927"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Eifel</w:t>
            </w:r>
          </w:p>
        </w:tc>
        <w:tc>
          <w:tcPr>
            <w:tcW w:w="1117" w:type="dxa"/>
            <w:tcBorders>
              <w:right w:val="single" w:sz="4" w:space="0" w:color="auto"/>
            </w:tcBorders>
            <w:vAlign w:val="center"/>
          </w:tcPr>
          <w:p w14:paraId="6CFBE941"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sidRPr="0084570B">
              <w:rPr>
                <w:rFonts w:ascii="Times New Roman" w:eastAsia="Times New Roman" w:hAnsi="Times New Roman" w:cs="Times New Roman"/>
                <w:sz w:val="20"/>
                <w:szCs w:val="22"/>
                <w:lang w:val="en-US"/>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Pr="0084570B">
              <w:rPr>
                <w:rFonts w:ascii="Cambria Math" w:eastAsia="Times New Roman" w:hAnsi="Cambria Math" w:cs="Cambria Math"/>
                <w:sz w:val="20"/>
                <w:szCs w:val="22"/>
                <w:lang w:val="en-US"/>
              </w:rPr>
              <w:instrText>∼</w:instrText>
            </w:r>
            <w:r w:rsidRPr="0084570B">
              <w:rPr>
                <w:rFonts w:ascii="Times New Roman" w:eastAsia="Times New Roman" w:hAnsi="Times New Roman" w:cs="Times New Roman"/>
                <w:sz w:val="20"/>
                <w:szCs w:val="22"/>
                <w:lang w:val="en-US"/>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Letters","id":"ITEM-1","issue":"115766","issued":{"date-parts":[["2019"]]},"title":"Novel insights into the degassing history of Earth's mantle from high precision noble gas analysis of magmatic gas","type":"article-journal","volume":"525"},"uris":["http://www.mendeley.com/documents/?uuid=bd143ecc-58c9-4e80-8771-fe3b0f39a95e"]}],"mendeley":{"formattedCitation":"&lt;sup&gt;7&lt;/sup&gt;","plainTextFormattedCitation":"7","previouslyFormattedCitation":"&lt;sup&gt;7&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84570B">
              <w:rPr>
                <w:rFonts w:ascii="Times New Roman" w:eastAsia="Times New Roman" w:hAnsi="Times New Roman" w:cs="Times New Roman"/>
                <w:noProof/>
                <w:sz w:val="20"/>
                <w:szCs w:val="22"/>
                <w:vertAlign w:val="superscript"/>
                <w:lang w:val="en-US"/>
              </w:rPr>
              <w:t>7</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17304585"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21</m:t>
                    </m:r>
                  </m:e>
                  <m:sub>
                    <m:r>
                      <w:rPr>
                        <w:rFonts w:ascii="Cambria Math" w:eastAsia="Times New Roman" w:hAnsi="Cambria Math" w:cs="Times New Roman"/>
                        <w:sz w:val="20"/>
                        <w:szCs w:val="22"/>
                        <w:lang w:val="en-US"/>
                      </w:rPr>
                      <m:t>-14</m:t>
                    </m:r>
                  </m:sub>
                  <m:sup>
                    <m:r>
                      <w:rPr>
                        <w:rFonts w:ascii="Cambria Math" w:eastAsia="Times New Roman" w:hAnsi="Cambria Math" w:cs="Times New Roman"/>
                        <w:sz w:val="20"/>
                        <w:szCs w:val="22"/>
                        <w:lang w:val="en-US"/>
                      </w:rPr>
                      <m:t>+13</m:t>
                    </m:r>
                  </m:sup>
                </m:sSubSup>
              </m:oMath>
            </m:oMathPara>
          </w:p>
        </w:tc>
        <w:tc>
          <w:tcPr>
            <w:tcW w:w="2413" w:type="dxa"/>
            <w:tcBorders>
              <w:left w:val="single" w:sz="4" w:space="0" w:color="auto"/>
              <w:right w:val="single" w:sz="4" w:space="0" w:color="auto"/>
            </w:tcBorders>
            <w:shd w:val="clear" w:color="auto" w:fill="auto"/>
            <w:noWrap/>
            <w:vAlign w:val="center"/>
          </w:tcPr>
          <w:p w14:paraId="31E7D02A"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14</m:t>
                    </m:r>
                  </m:e>
                  <m:sub>
                    <m:r>
                      <w:rPr>
                        <w:rFonts w:ascii="Cambria Math" w:eastAsia="Times New Roman" w:hAnsi="Cambria Math" w:cs="Times New Roman"/>
                        <w:sz w:val="20"/>
                        <w:szCs w:val="22"/>
                        <w:lang w:val="en-US"/>
                      </w:rPr>
                      <m:t>-5</m:t>
                    </m:r>
                  </m:sub>
                  <m:sup>
                    <m:r>
                      <w:rPr>
                        <w:rFonts w:ascii="Cambria Math" w:eastAsia="Times New Roman" w:hAnsi="Cambria Math" w:cs="Times New Roman"/>
                        <w:sz w:val="20"/>
                        <w:szCs w:val="22"/>
                        <w:lang w:val="en-US"/>
                      </w:rPr>
                      <m:t>+25</m:t>
                    </m:r>
                  </m:sup>
                </m:sSubSup>
              </m:oMath>
            </m:oMathPara>
          </w:p>
        </w:tc>
      </w:tr>
      <w:tr w:rsidR="00C938E9" w:rsidRPr="0084570B" w14:paraId="6BF5AA9D" w14:textId="77777777" w:rsidTr="00C875E7">
        <w:trPr>
          <w:trHeight w:val="280"/>
          <w:jc w:val="center"/>
        </w:trPr>
        <w:tc>
          <w:tcPr>
            <w:tcW w:w="1554" w:type="dxa"/>
            <w:tcBorders>
              <w:right w:val="single" w:sz="4" w:space="0" w:color="auto"/>
            </w:tcBorders>
            <w:vAlign w:val="center"/>
          </w:tcPr>
          <w:p w14:paraId="4C06F266"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MORB</w:t>
            </w:r>
          </w:p>
        </w:tc>
        <w:tc>
          <w:tcPr>
            <w:tcW w:w="1117" w:type="dxa"/>
            <w:tcBorders>
              <w:right w:val="single" w:sz="4" w:space="0" w:color="auto"/>
            </w:tcBorders>
            <w:vAlign w:val="center"/>
          </w:tcPr>
          <w:p w14:paraId="418E210D"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sidRPr="0084570B">
              <w:rPr>
                <w:rFonts w:ascii="Times New Roman" w:eastAsia="Times New Roman" w:hAnsi="Times New Roman" w:cs="Times New Roman"/>
                <w:sz w:val="20"/>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84570B">
              <w:rPr>
                <w:rFonts w:ascii="Times New Roman" w:eastAsia="Times New Roman" w:hAnsi="Times New Roman" w:cs="Times New Roman"/>
                <w:noProof/>
                <w:sz w:val="20"/>
                <w:szCs w:val="22"/>
                <w:vertAlign w:val="superscript"/>
                <w:lang w:val="en-US"/>
              </w:rPr>
              <w:t>6</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0496BC14"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18</m:t>
                    </m:r>
                  </m:e>
                  <m:sub>
                    <m:r>
                      <w:rPr>
                        <w:rFonts w:ascii="Cambria Math" w:eastAsia="Times New Roman" w:hAnsi="Cambria Math" w:cs="Times New Roman"/>
                        <w:sz w:val="20"/>
                        <w:szCs w:val="22"/>
                        <w:lang w:val="en-US"/>
                      </w:rPr>
                      <m:t>-11</m:t>
                    </m:r>
                  </m:sub>
                  <m:sup>
                    <m:r>
                      <w:rPr>
                        <w:rFonts w:ascii="Cambria Math" w:eastAsia="Times New Roman" w:hAnsi="Cambria Math" w:cs="Times New Roman"/>
                        <w:sz w:val="20"/>
                        <w:szCs w:val="22"/>
                        <w:lang w:val="en-US"/>
                      </w:rPr>
                      <m:t>+10</m:t>
                    </m:r>
                  </m:sup>
                </m:sSubSup>
              </m:oMath>
            </m:oMathPara>
          </w:p>
        </w:tc>
        <w:tc>
          <w:tcPr>
            <w:tcW w:w="2413" w:type="dxa"/>
            <w:tcBorders>
              <w:left w:val="single" w:sz="4" w:space="0" w:color="auto"/>
              <w:right w:val="single" w:sz="4" w:space="0" w:color="auto"/>
            </w:tcBorders>
            <w:shd w:val="clear" w:color="auto" w:fill="auto"/>
            <w:noWrap/>
            <w:vAlign w:val="center"/>
          </w:tcPr>
          <w:p w14:paraId="25BA0244"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17</m:t>
                    </m:r>
                  </m:e>
                  <m:sub>
                    <m:r>
                      <w:rPr>
                        <w:rFonts w:ascii="Cambria Math" w:eastAsia="Times New Roman" w:hAnsi="Cambria Math" w:cs="Times New Roman"/>
                        <w:sz w:val="20"/>
                        <w:szCs w:val="22"/>
                        <w:lang w:val="en-US"/>
                      </w:rPr>
                      <m:t>-6</m:t>
                    </m:r>
                  </m:sub>
                  <m:sup>
                    <m:r>
                      <w:rPr>
                        <w:rFonts w:ascii="Cambria Math" w:eastAsia="Times New Roman" w:hAnsi="Cambria Math" w:cs="Times New Roman"/>
                        <w:sz w:val="20"/>
                        <w:szCs w:val="22"/>
                        <w:lang w:val="en-US"/>
                      </w:rPr>
                      <m:t>+25</m:t>
                    </m:r>
                  </m:sup>
                </m:sSubSup>
              </m:oMath>
            </m:oMathPara>
          </w:p>
        </w:tc>
      </w:tr>
      <w:tr w:rsidR="00C938E9" w:rsidRPr="0084570B" w14:paraId="537C900F" w14:textId="77777777" w:rsidTr="00C875E7">
        <w:trPr>
          <w:trHeight w:val="280"/>
          <w:jc w:val="center"/>
        </w:trPr>
        <w:tc>
          <w:tcPr>
            <w:tcW w:w="1554" w:type="dxa"/>
            <w:tcBorders>
              <w:right w:val="single" w:sz="4" w:space="0" w:color="auto"/>
            </w:tcBorders>
            <w:vAlign w:val="center"/>
          </w:tcPr>
          <w:p w14:paraId="4A9F46EA"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SWIR-W</w:t>
            </w:r>
          </w:p>
        </w:tc>
        <w:tc>
          <w:tcPr>
            <w:tcW w:w="1117" w:type="dxa"/>
            <w:tcBorders>
              <w:right w:val="single" w:sz="4" w:space="0" w:color="auto"/>
            </w:tcBorders>
            <w:vAlign w:val="center"/>
          </w:tcPr>
          <w:p w14:paraId="5B705ED7"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Pr>
                <w:rFonts w:ascii="Times New Roman" w:eastAsia="Times New Roman" w:hAnsi="Times New Roman" w:cs="Times New Roman"/>
                <w:sz w:val="20"/>
                <w:szCs w:val="22"/>
                <w:lang w:val="en-US"/>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DD29E3">
              <w:rPr>
                <w:rFonts w:ascii="Times New Roman" w:eastAsia="Times New Roman" w:hAnsi="Times New Roman" w:cs="Times New Roman"/>
                <w:noProof/>
                <w:sz w:val="20"/>
                <w:szCs w:val="22"/>
                <w:vertAlign w:val="superscript"/>
                <w:lang w:val="en-US"/>
              </w:rPr>
              <w:t>26</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00F34429"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27</m:t>
                    </m:r>
                  </m:e>
                  <m:sub>
                    <m:r>
                      <w:rPr>
                        <w:rFonts w:ascii="Cambria Math" w:eastAsia="Times New Roman" w:hAnsi="Cambria Math" w:cs="Times New Roman"/>
                        <w:sz w:val="20"/>
                        <w:szCs w:val="22"/>
                        <w:lang w:val="en-US"/>
                      </w:rPr>
                      <m:t>-21</m:t>
                    </m:r>
                  </m:sub>
                  <m:sup>
                    <m:r>
                      <w:rPr>
                        <w:rFonts w:ascii="Cambria Math" w:eastAsia="Times New Roman" w:hAnsi="Cambria Math" w:cs="Times New Roman"/>
                        <w:sz w:val="20"/>
                        <w:szCs w:val="22"/>
                        <w:lang w:val="en-US"/>
                      </w:rPr>
                      <m:t>+20</m:t>
                    </m:r>
                  </m:sup>
                </m:sSubSup>
              </m:oMath>
            </m:oMathPara>
          </w:p>
        </w:tc>
        <w:tc>
          <w:tcPr>
            <w:tcW w:w="2413" w:type="dxa"/>
            <w:tcBorders>
              <w:left w:val="single" w:sz="4" w:space="0" w:color="auto"/>
              <w:right w:val="single" w:sz="4" w:space="0" w:color="auto"/>
            </w:tcBorders>
            <w:shd w:val="clear" w:color="auto" w:fill="auto"/>
            <w:noWrap/>
            <w:vAlign w:val="center"/>
          </w:tcPr>
          <w:p w14:paraId="0F8A9B82"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11</m:t>
                    </m:r>
                  </m:e>
                  <m:sub>
                    <m:r>
                      <w:rPr>
                        <w:rFonts w:ascii="Cambria Math" w:eastAsia="Times New Roman" w:hAnsi="Cambria Math" w:cs="Times New Roman"/>
                        <w:sz w:val="20"/>
                        <w:szCs w:val="22"/>
                        <w:lang w:val="en-US"/>
                      </w:rPr>
                      <m:t>-5</m:t>
                    </m:r>
                  </m:sub>
                  <m:sup>
                    <m:r>
                      <w:rPr>
                        <w:rFonts w:ascii="Cambria Math" w:eastAsia="Times New Roman" w:hAnsi="Cambria Math" w:cs="Times New Roman"/>
                        <w:sz w:val="20"/>
                        <w:szCs w:val="22"/>
                        <w:lang w:val="en-US"/>
                      </w:rPr>
                      <m:t>+39</m:t>
                    </m:r>
                  </m:sup>
                </m:sSubSup>
              </m:oMath>
            </m:oMathPara>
          </w:p>
        </w:tc>
      </w:tr>
      <w:tr w:rsidR="00C938E9" w:rsidRPr="0084570B" w14:paraId="19C6ABC0" w14:textId="77777777" w:rsidTr="00C875E7">
        <w:trPr>
          <w:trHeight w:val="280"/>
          <w:jc w:val="center"/>
        </w:trPr>
        <w:tc>
          <w:tcPr>
            <w:tcW w:w="1554" w:type="dxa"/>
            <w:tcBorders>
              <w:right w:val="single" w:sz="4" w:space="0" w:color="auto"/>
            </w:tcBorders>
            <w:vAlign w:val="center"/>
          </w:tcPr>
          <w:p w14:paraId="6CAF7FE0"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SWIR-E</w:t>
            </w:r>
          </w:p>
        </w:tc>
        <w:tc>
          <w:tcPr>
            <w:tcW w:w="1117" w:type="dxa"/>
            <w:tcBorders>
              <w:right w:val="single" w:sz="4" w:space="0" w:color="auto"/>
            </w:tcBorders>
            <w:vAlign w:val="center"/>
          </w:tcPr>
          <w:p w14:paraId="23C9B69A"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Pr>
                <w:rFonts w:ascii="Times New Roman" w:eastAsia="Times New Roman" w:hAnsi="Times New Roman" w:cs="Times New Roman"/>
                <w:sz w:val="20"/>
                <w:szCs w:val="22"/>
                <w:lang w:val="en-US"/>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DD29E3">
              <w:rPr>
                <w:rFonts w:ascii="Times New Roman" w:eastAsia="Times New Roman" w:hAnsi="Times New Roman" w:cs="Times New Roman"/>
                <w:noProof/>
                <w:sz w:val="20"/>
                <w:szCs w:val="22"/>
                <w:vertAlign w:val="superscript"/>
                <w:lang w:val="en-US"/>
              </w:rPr>
              <w:t>26</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0C6F0019"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32</m:t>
                    </m:r>
                  </m:e>
                  <m:sub>
                    <m:r>
                      <w:rPr>
                        <w:rFonts w:ascii="Cambria Math" w:eastAsia="Times New Roman" w:hAnsi="Cambria Math" w:cs="Times New Roman"/>
                        <w:sz w:val="20"/>
                        <w:szCs w:val="22"/>
                        <w:lang w:val="en-US"/>
                      </w:rPr>
                      <m:t>-20</m:t>
                    </m:r>
                  </m:sub>
                  <m:sup>
                    <m:r>
                      <w:rPr>
                        <w:rFonts w:ascii="Cambria Math" w:eastAsia="Times New Roman" w:hAnsi="Cambria Math" w:cs="Times New Roman"/>
                        <w:sz w:val="20"/>
                        <w:szCs w:val="22"/>
                        <w:lang w:val="en-US"/>
                      </w:rPr>
                      <m:t>+19</m:t>
                    </m:r>
                  </m:sup>
                </m:sSubSup>
              </m:oMath>
            </m:oMathPara>
          </w:p>
        </w:tc>
        <w:tc>
          <w:tcPr>
            <w:tcW w:w="2413" w:type="dxa"/>
            <w:tcBorders>
              <w:left w:val="single" w:sz="4" w:space="0" w:color="auto"/>
              <w:right w:val="single" w:sz="4" w:space="0" w:color="auto"/>
            </w:tcBorders>
            <w:shd w:val="clear" w:color="auto" w:fill="auto"/>
            <w:noWrap/>
            <w:vAlign w:val="center"/>
          </w:tcPr>
          <w:p w14:paraId="196383DE"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8</m:t>
                    </m:r>
                  </m:e>
                  <m:sub>
                    <m:r>
                      <w:rPr>
                        <w:rFonts w:ascii="Cambria Math" w:eastAsia="Times New Roman" w:hAnsi="Cambria Math" w:cs="Times New Roman"/>
                        <w:sz w:val="20"/>
                        <w:szCs w:val="22"/>
                        <w:lang w:val="en-US"/>
                      </w:rPr>
                      <m:t>-3</m:t>
                    </m:r>
                  </m:sub>
                  <m:sup>
                    <m:r>
                      <w:rPr>
                        <w:rFonts w:ascii="Cambria Math" w:eastAsia="Times New Roman" w:hAnsi="Cambria Math" w:cs="Times New Roman"/>
                        <w:sz w:val="20"/>
                        <w:szCs w:val="22"/>
                        <w:lang w:val="en-US"/>
                      </w:rPr>
                      <m:t>+15</m:t>
                    </m:r>
                  </m:sup>
                </m:sSubSup>
              </m:oMath>
            </m:oMathPara>
          </w:p>
        </w:tc>
      </w:tr>
      <w:tr w:rsidR="00C938E9" w:rsidRPr="0084570B" w14:paraId="69E835C7" w14:textId="77777777" w:rsidTr="00C875E7">
        <w:trPr>
          <w:trHeight w:val="280"/>
          <w:jc w:val="center"/>
        </w:trPr>
        <w:tc>
          <w:tcPr>
            <w:tcW w:w="1554" w:type="dxa"/>
            <w:tcBorders>
              <w:right w:val="single" w:sz="4" w:space="0" w:color="auto"/>
            </w:tcBorders>
            <w:vAlign w:val="center"/>
          </w:tcPr>
          <w:p w14:paraId="75B79EE4"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DMM</w:t>
            </w:r>
          </w:p>
        </w:tc>
        <w:tc>
          <w:tcPr>
            <w:tcW w:w="1117" w:type="dxa"/>
            <w:tcBorders>
              <w:right w:val="single" w:sz="4" w:space="0" w:color="auto"/>
            </w:tcBorders>
            <w:vAlign w:val="center"/>
          </w:tcPr>
          <w:p w14:paraId="20578F3C"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Pr>
                <w:rFonts w:ascii="Times New Roman" w:eastAsia="Times New Roman" w:hAnsi="Times New Roman" w:cs="Times New Roman"/>
                <w:sz w:val="20"/>
                <w:szCs w:val="22"/>
                <w:lang w:val="en-US"/>
              </w:rPr>
              <w:instrText>ADDIN CSL_CITATION {"citationItems":[{"id":"ITEM-1","itemData":{"DOI":"10.1016/j.epsl.2012.08.025","ISSN":"0012821X","abstract":"To characterize the heavy noble gas composition of MORBs we present new He, Ne, Ar, and Xe abundances and isotopic compositions from the equatorial Mid-Atlantic Ridge. Both depleted MORBs nominally devoid of plume influence and more enriched MORBs thought to represent the influence of a HIMU mantle plume are present in close geographical proximity in this region. Ne-Ar-Xe isotopic compositions in individual step-crushes are correlated, which, along with significant radiogenic excesses, allows correction for shallow-level air contamination. Based on the relationship between the noble gases and the lithophile isotopes (Sr, Nd and Pb), the depleted MORB mantle has a 21Ne/22Ne between 0.0617 and 0.0646, 40Ar/36Ar ratio of 41,500±9000 and 129Xe/130Xe ratio of 7.77±0.06. On the other hand, the HIMU-type MORBs are characterized by far less radiogenic Ne, Ar and Xe isotopic compositions with mantle source 21Ne/22Ne between 0.0544 and 0.0610, and 40Ar/36Ar and 129Xe/130Xe ratios of 18,100±600 and 7.21±0.06, respectively. The observation of less nucleogenic 21Ne/22Ne in HIMU-type MORBs is similar to observations from HIMU ocean islands and requires the HIMU plume to be comprised of both recycled and primitive material. Within the depleted MORBs we observe He and Ne to be negatively correlated. The observation suggests that along the equatorial Atlantic the most depleted MORBs are related to normal MORBs through the addition of a small proportion of a HIMU plume component.Our new Xe isotopic measurements demonstrate distinct 129Xe/136Xe ratios in the mantle sources of depleted MORBs, HIMU-type MORBs and the Iceland plume. While substantial injection of atmospheric Xe into these mantle sources is implied, the differences in Xe isotopic composition cannot result solely from recycling of air. Rather, they require that mantle plumes sample a reservoir less degassed than the depleted MORB mantle. This conclusion is consistent with a higher proportion of Pu- to U-derived fission Xe in Iceland and HIMU-type MORBs compared to the depleted MORBs. Overall, the Xe isotopic compositions imply that mantle plumes tap a reservoir that separated from the MORB source within the first 100 million years of Earth's history and that the two reservoirs have had limited direct mixing since then. © 2012 Elsevier B.V.","author":[{"dropping-particle":"","family":"Tucker","given":"Jonathan M.","non-dropping-particle":"","parse-names":false,"suffix":""},{"dropping-particle":"","family":"Mukhopadhyay","given":"Sujoy","non-dropping-particle":"","parse-names":false,"suffix":""},{"dropping-particle":"","family":"Schilling","given":"Jean Guy","non-dropping-particle":"","parse-names":false,"suffix":""}],"container-title":"Earth and Planetary Science Letters","id":"ITEM-1","issued":{"date-parts":[["2012"]]},"page":"244-254","publisher":"Elsevier","title":"The heavy noble gas composition of the depleted MORB mantle (DMM) and its implications for the preservation of heterogeneities in the mantle","type":"article-journal","volume":"355-356"},"uris":["http://www.mendeley.com/documents/?uuid=1f42cbac-8159-475c-8213-7e55b1db0d86"]}],"mendeley":{"formattedCitation":"&lt;sup&gt;112&lt;/sup&gt;","plainTextFormattedCitation":"112","previouslyFormattedCitation":"&lt;sup&gt;112&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253A47">
              <w:rPr>
                <w:rFonts w:ascii="Times New Roman" w:eastAsia="Times New Roman" w:hAnsi="Times New Roman" w:cs="Times New Roman"/>
                <w:noProof/>
                <w:sz w:val="20"/>
                <w:szCs w:val="22"/>
                <w:vertAlign w:val="superscript"/>
                <w:lang w:val="en-US"/>
              </w:rPr>
              <w:t>112</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5A1EB4C1"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32</m:t>
                    </m:r>
                  </m:e>
                  <m:sub>
                    <m:r>
                      <w:rPr>
                        <w:rFonts w:ascii="Cambria Math" w:eastAsia="Times New Roman" w:hAnsi="Cambria Math" w:cs="Times New Roman"/>
                        <w:sz w:val="20"/>
                        <w:szCs w:val="22"/>
                        <w:lang w:val="en-US"/>
                      </w:rPr>
                      <m:t>-16</m:t>
                    </m:r>
                  </m:sub>
                  <m:sup>
                    <m:r>
                      <w:rPr>
                        <w:rFonts w:ascii="Cambria Math" w:eastAsia="Times New Roman" w:hAnsi="Cambria Math" w:cs="Times New Roman"/>
                        <w:sz w:val="20"/>
                        <w:szCs w:val="22"/>
                        <w:lang w:val="en-US"/>
                      </w:rPr>
                      <m:t>+17</m:t>
                    </m:r>
                  </m:sup>
                </m:sSubSup>
              </m:oMath>
            </m:oMathPara>
          </w:p>
        </w:tc>
        <w:tc>
          <w:tcPr>
            <w:tcW w:w="2413" w:type="dxa"/>
            <w:tcBorders>
              <w:left w:val="single" w:sz="4" w:space="0" w:color="auto"/>
              <w:right w:val="single" w:sz="4" w:space="0" w:color="auto"/>
            </w:tcBorders>
            <w:shd w:val="clear" w:color="auto" w:fill="auto"/>
            <w:noWrap/>
            <w:vAlign w:val="center"/>
          </w:tcPr>
          <w:p w14:paraId="670946A6"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8</m:t>
                    </m:r>
                  </m:e>
                  <m:sub>
                    <m:r>
                      <w:rPr>
                        <w:rFonts w:ascii="Cambria Math" w:eastAsia="Times New Roman" w:hAnsi="Cambria Math" w:cs="Times New Roman"/>
                        <w:sz w:val="20"/>
                        <w:szCs w:val="22"/>
                        <w:lang w:val="en-US"/>
                      </w:rPr>
                      <m:t>-3</m:t>
                    </m:r>
                  </m:sub>
                  <m:sup>
                    <m:r>
                      <w:rPr>
                        <w:rFonts w:ascii="Cambria Math" w:eastAsia="Times New Roman" w:hAnsi="Cambria Math" w:cs="Times New Roman"/>
                        <w:sz w:val="20"/>
                        <w:szCs w:val="22"/>
                        <w:lang w:val="en-US"/>
                      </w:rPr>
                      <m:t>+8</m:t>
                    </m:r>
                  </m:sup>
                </m:sSubSup>
              </m:oMath>
            </m:oMathPara>
          </w:p>
        </w:tc>
      </w:tr>
      <w:tr w:rsidR="00C938E9" w:rsidRPr="0084570B" w14:paraId="0DA39C0D" w14:textId="77777777" w:rsidTr="00C875E7">
        <w:trPr>
          <w:trHeight w:val="280"/>
          <w:jc w:val="center"/>
        </w:trPr>
        <w:tc>
          <w:tcPr>
            <w:tcW w:w="1554" w:type="dxa"/>
            <w:tcBorders>
              <w:right w:val="single" w:sz="4" w:space="0" w:color="auto"/>
            </w:tcBorders>
            <w:vAlign w:val="center"/>
          </w:tcPr>
          <w:p w14:paraId="0C640D94"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Bravo Dome</w:t>
            </w:r>
          </w:p>
        </w:tc>
        <w:tc>
          <w:tcPr>
            <w:tcW w:w="1117" w:type="dxa"/>
            <w:tcBorders>
              <w:right w:val="single" w:sz="4" w:space="0" w:color="auto"/>
            </w:tcBorders>
            <w:vAlign w:val="center"/>
          </w:tcPr>
          <w:p w14:paraId="7569AB06"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Pr>
                <w:rFonts w:ascii="Times New Roman" w:eastAsia="Times New Roman" w:hAnsi="Times New Roman" w:cs="Times New Roman"/>
                <w:sz w:val="20"/>
                <w:szCs w:val="22"/>
                <w:lang w:val="en-US"/>
              </w:rPr>
              <w:instrText>ADDIN CSL_CITATION {"citationItems":[{"id":"ITEM-1","itemData":{"author":[{"dropping-particle":"","family":"Holland","given":"G","non-dropping-particle":"","parse-names":false,"suffix":""},{"dropping-particle":"","family":"Cassidy","given":"M","non-dropping-particle":"","parse-names":false,"suffix":""},{"dropping-particle":"","family":"Ballentine","given":"CJ","non-dropping-particle":"","parse-names":false,"suffix":""}],"container-title":"Scienc","id":"ITEM-1","issued":{"date-parts":[["2009"]]},"page":"1522-1526","title":"Meteorite Kr in Earth’s Mantle Suggests a Late Accretionary Source for the Atmosphere","type":"article-journal","volume":"326"},"uris":["http://www.mendeley.com/documents/?uuid=598581e6-859f-47dd-a97f-d5ef85c5fa98"]}],"mendeley":{"formattedCitation":"&lt;sup&gt;29&lt;/sup&gt;","plainTextFormattedCitation":"29","previouslyFormattedCitation":"&lt;sup&gt;29&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DD29E3">
              <w:rPr>
                <w:rFonts w:ascii="Times New Roman" w:eastAsia="Times New Roman" w:hAnsi="Times New Roman" w:cs="Times New Roman"/>
                <w:noProof/>
                <w:sz w:val="20"/>
                <w:szCs w:val="22"/>
                <w:vertAlign w:val="superscript"/>
                <w:lang w:val="en-US"/>
              </w:rPr>
              <w:t>29</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71D2F139"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27</m:t>
                    </m:r>
                  </m:e>
                  <m:sub>
                    <m:r>
                      <w:rPr>
                        <w:rFonts w:ascii="Cambria Math" w:eastAsia="Times New Roman" w:hAnsi="Cambria Math" w:cs="Times New Roman"/>
                        <w:sz w:val="20"/>
                        <w:szCs w:val="22"/>
                        <w:lang w:val="en-US"/>
                      </w:rPr>
                      <m:t>-16</m:t>
                    </m:r>
                  </m:sub>
                  <m:sup>
                    <m:r>
                      <w:rPr>
                        <w:rFonts w:ascii="Cambria Math" w:eastAsia="Times New Roman" w:hAnsi="Cambria Math" w:cs="Times New Roman"/>
                        <w:sz w:val="20"/>
                        <w:szCs w:val="22"/>
                        <w:lang w:val="en-US"/>
                      </w:rPr>
                      <m:t>+16</m:t>
                    </m:r>
                  </m:sup>
                </m:sSubSup>
              </m:oMath>
            </m:oMathPara>
          </w:p>
        </w:tc>
        <w:tc>
          <w:tcPr>
            <w:tcW w:w="2413" w:type="dxa"/>
            <w:tcBorders>
              <w:left w:val="single" w:sz="4" w:space="0" w:color="auto"/>
              <w:right w:val="single" w:sz="4" w:space="0" w:color="auto"/>
            </w:tcBorders>
            <w:shd w:val="clear" w:color="auto" w:fill="auto"/>
            <w:noWrap/>
            <w:vAlign w:val="center"/>
          </w:tcPr>
          <w:p w14:paraId="447D1536"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9</m:t>
                    </m:r>
                  </m:e>
                  <m:sub>
                    <m:r>
                      <w:rPr>
                        <w:rFonts w:ascii="Cambria Math" w:eastAsia="Times New Roman" w:hAnsi="Cambria Math" w:cs="Times New Roman"/>
                        <w:sz w:val="20"/>
                        <w:szCs w:val="22"/>
                        <w:lang w:val="en-US"/>
                      </w:rPr>
                      <m:t>-3</m:t>
                    </m:r>
                  </m:sub>
                  <m:sup>
                    <m:r>
                      <w:rPr>
                        <w:rFonts w:ascii="Cambria Math" w:eastAsia="Times New Roman" w:hAnsi="Cambria Math" w:cs="Times New Roman"/>
                        <w:sz w:val="20"/>
                        <w:szCs w:val="22"/>
                        <w:lang w:val="en-US"/>
                      </w:rPr>
                      <m:t>+14</m:t>
                    </m:r>
                  </m:sup>
                </m:sSubSup>
              </m:oMath>
            </m:oMathPara>
          </w:p>
        </w:tc>
      </w:tr>
      <w:tr w:rsidR="00C938E9" w:rsidRPr="0084570B" w14:paraId="10FFEB59" w14:textId="77777777" w:rsidTr="00C875E7">
        <w:trPr>
          <w:trHeight w:val="280"/>
          <w:jc w:val="center"/>
        </w:trPr>
        <w:tc>
          <w:tcPr>
            <w:tcW w:w="1554" w:type="dxa"/>
            <w:tcBorders>
              <w:right w:val="single" w:sz="4" w:space="0" w:color="auto"/>
            </w:tcBorders>
            <w:vAlign w:val="center"/>
          </w:tcPr>
          <w:p w14:paraId="58A6539F"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Well gas</w:t>
            </w:r>
          </w:p>
        </w:tc>
        <w:tc>
          <w:tcPr>
            <w:tcW w:w="1117" w:type="dxa"/>
            <w:tcBorders>
              <w:right w:val="single" w:sz="4" w:space="0" w:color="auto"/>
            </w:tcBorders>
            <w:vAlign w:val="center"/>
          </w:tcPr>
          <w:p w14:paraId="7FE2DDBD"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Pr>
                <w:rFonts w:ascii="Times New Roman" w:eastAsia="Times New Roman" w:hAnsi="Times New Roman" w:cs="Times New Roman"/>
                <w:sz w:val="20"/>
                <w:szCs w:val="22"/>
                <w:lang w:val="en-US"/>
              </w:rPr>
              <w:instrText>ADDIN CSL_CITATION {"citationItems":[{"id":"ITEM-1","itemData":{"author":[{"dropping-particle":"","family":"Caffee","given":"Marc W.","non-dropping-particle":"","parse-names":false,"suffix":""},{"dropping-particle":"","family":"Hudson","given":"G. B.","non-dropping-particle":"","parse-names":false,"suffix":""},{"dropping-particle":"","family":"Velsko","given":"C.","non-dropping-particle":"","parse-names":false,"suffix":""},{"dropping-particle":"","family":"Huss","given":"Gary R.","non-dropping-particle":"","parse-names":false,"suffix":""},{"dropping-particle":"","family":"Alexander Jr.","given":"E. C.","non-dropping-particle":"","parse-names":false,"suffix":""},{"dropping-particle":"","family":"Chivas","given":"Allan R.","non-dropping-particle":"","parse-names":false,"suffix":""}],"container-title":"Science","id":"ITEM-1","issued":{"date-parts":[["1999"]]},"page":"2115-2118","title":"Primordial Noble Gases from Earth's Mantle: Identification of a Primitive Volatile Component","type":"article-journal","volume":"285"},"uris":["http://www.mendeley.com/documents/?uuid=fcd643e1-f3eb-406d-8c5f-bc4922e79858"]}],"mendeley":{"formattedCitation":"&lt;sup&gt;55&lt;/sup&gt;","plainTextFormattedCitation":"55","previouslyFormattedCitation":"&lt;sup&gt;55&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84570B">
              <w:rPr>
                <w:rFonts w:ascii="Times New Roman" w:eastAsia="Times New Roman" w:hAnsi="Times New Roman" w:cs="Times New Roman"/>
                <w:noProof/>
                <w:sz w:val="20"/>
                <w:szCs w:val="22"/>
                <w:vertAlign w:val="superscript"/>
                <w:lang w:val="en-US"/>
              </w:rPr>
              <w:t>55</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3D6199D7"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28</m:t>
                    </m:r>
                  </m:e>
                  <m:sub>
                    <m:r>
                      <w:rPr>
                        <w:rFonts w:ascii="Cambria Math" w:eastAsia="Times New Roman" w:hAnsi="Cambria Math" w:cs="Times New Roman"/>
                        <w:sz w:val="20"/>
                        <w:szCs w:val="22"/>
                        <w:lang w:val="en-US"/>
                      </w:rPr>
                      <m:t>-7</m:t>
                    </m:r>
                  </m:sub>
                  <m:sup>
                    <m:r>
                      <w:rPr>
                        <w:rFonts w:ascii="Cambria Math" w:eastAsia="Times New Roman" w:hAnsi="Cambria Math" w:cs="Times New Roman"/>
                        <w:sz w:val="20"/>
                        <w:szCs w:val="22"/>
                        <w:lang w:val="en-US"/>
                      </w:rPr>
                      <m:t>+7</m:t>
                    </m:r>
                  </m:sup>
                </m:sSubSup>
              </m:oMath>
            </m:oMathPara>
          </w:p>
        </w:tc>
        <w:tc>
          <w:tcPr>
            <w:tcW w:w="2413" w:type="dxa"/>
            <w:tcBorders>
              <w:left w:val="single" w:sz="4" w:space="0" w:color="auto"/>
              <w:right w:val="single" w:sz="4" w:space="0" w:color="auto"/>
            </w:tcBorders>
            <w:shd w:val="clear" w:color="auto" w:fill="auto"/>
            <w:noWrap/>
            <w:vAlign w:val="center"/>
          </w:tcPr>
          <w:p w14:paraId="6457A272"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8</m:t>
                    </m:r>
                  </m:e>
                  <m:sub>
                    <m:r>
                      <w:rPr>
                        <w:rFonts w:ascii="Cambria Math" w:eastAsia="Times New Roman" w:hAnsi="Cambria Math" w:cs="Times New Roman"/>
                        <w:sz w:val="20"/>
                        <w:szCs w:val="22"/>
                        <w:lang w:val="en-US"/>
                      </w:rPr>
                      <m:t>-2</m:t>
                    </m:r>
                  </m:sub>
                  <m:sup>
                    <m:r>
                      <w:rPr>
                        <w:rFonts w:ascii="Cambria Math" w:eastAsia="Times New Roman" w:hAnsi="Cambria Math" w:cs="Times New Roman"/>
                        <w:sz w:val="20"/>
                        <w:szCs w:val="22"/>
                        <w:lang w:val="en-US"/>
                      </w:rPr>
                      <m:t>+3</m:t>
                    </m:r>
                  </m:sup>
                </m:sSubSup>
              </m:oMath>
            </m:oMathPara>
          </w:p>
        </w:tc>
      </w:tr>
      <w:tr w:rsidR="00C938E9" w:rsidRPr="0084570B" w14:paraId="6AE6CC7B" w14:textId="77777777" w:rsidTr="00C875E7">
        <w:trPr>
          <w:trHeight w:val="280"/>
          <w:jc w:val="center"/>
        </w:trPr>
        <w:tc>
          <w:tcPr>
            <w:tcW w:w="1554" w:type="dxa"/>
            <w:tcBorders>
              <w:right w:val="single" w:sz="4" w:space="0" w:color="auto"/>
            </w:tcBorders>
            <w:vAlign w:val="center"/>
          </w:tcPr>
          <w:p w14:paraId="44F47971" w14:textId="77777777" w:rsidR="00C938E9" w:rsidRPr="0084570B" w:rsidRDefault="00C938E9" w:rsidP="00C875E7">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Average</w:t>
            </w:r>
          </w:p>
        </w:tc>
        <w:tc>
          <w:tcPr>
            <w:tcW w:w="1117" w:type="dxa"/>
            <w:tcBorders>
              <w:right w:val="single" w:sz="4" w:space="0" w:color="auto"/>
            </w:tcBorders>
            <w:vAlign w:val="center"/>
          </w:tcPr>
          <w:p w14:paraId="71E3C228" w14:textId="77777777" w:rsidR="00C938E9" w:rsidRPr="0084570B" w:rsidRDefault="00C938E9" w:rsidP="00C875E7">
            <w:pPr>
              <w:jc w:val="center"/>
              <w:rPr>
                <w:rFonts w:ascii="Times New Roman" w:eastAsia="Times New Roman" w:hAnsi="Times New Roman" w:cs="Times New Roman"/>
                <w:sz w:val="20"/>
                <w:szCs w:val="22"/>
                <w:lang w:val="en-US"/>
              </w:rPr>
            </w:pPr>
          </w:p>
        </w:tc>
        <w:tc>
          <w:tcPr>
            <w:tcW w:w="2951" w:type="dxa"/>
            <w:tcBorders>
              <w:left w:val="single" w:sz="4" w:space="0" w:color="auto"/>
              <w:right w:val="single" w:sz="4" w:space="0" w:color="auto"/>
            </w:tcBorders>
            <w:shd w:val="clear" w:color="auto" w:fill="auto"/>
            <w:noWrap/>
            <w:vAlign w:val="center"/>
          </w:tcPr>
          <w:p w14:paraId="499C7E21" w14:textId="77777777" w:rsidR="00C938E9" w:rsidRPr="0084570B" w:rsidRDefault="00C938E9" w:rsidP="00C875E7">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26 ± 5</w:t>
            </w:r>
            <w:r>
              <w:rPr>
                <w:rFonts w:ascii="Times New Roman" w:eastAsia="Times New Roman" w:hAnsi="Times New Roman" w:cs="Times New Roman"/>
                <w:b/>
                <w:sz w:val="20"/>
                <w:szCs w:val="22"/>
                <w:lang w:val="en-US"/>
              </w:rPr>
              <w:t xml:space="preserve"> (</w:t>
            </w:r>
            <w:r w:rsidRPr="0084570B">
              <w:rPr>
                <w:rFonts w:ascii="Times New Roman" w:eastAsia="Times New Roman" w:hAnsi="Times New Roman" w:cs="Times New Roman"/>
                <w:b/>
                <w:sz w:val="22"/>
                <w:lang w:val="en-US"/>
              </w:rPr>
              <w:t>±1σ</w:t>
            </w:r>
            <w:r>
              <w:rPr>
                <w:rFonts w:ascii="Times New Roman" w:eastAsia="Times New Roman" w:hAnsi="Times New Roman" w:cs="Times New Roman"/>
                <w:b/>
                <w:sz w:val="22"/>
                <w:lang w:val="en-US"/>
              </w:rPr>
              <w:t>)</w:t>
            </w:r>
          </w:p>
        </w:tc>
        <w:tc>
          <w:tcPr>
            <w:tcW w:w="2413" w:type="dxa"/>
            <w:tcBorders>
              <w:left w:val="single" w:sz="4" w:space="0" w:color="auto"/>
              <w:right w:val="single" w:sz="4" w:space="0" w:color="auto"/>
            </w:tcBorders>
            <w:shd w:val="clear" w:color="auto" w:fill="auto"/>
            <w:noWrap/>
            <w:vAlign w:val="center"/>
          </w:tcPr>
          <w:p w14:paraId="139F8CBC" w14:textId="77777777" w:rsidR="00C938E9" w:rsidRPr="0084570B" w:rsidRDefault="00C938E9" w:rsidP="00C875E7">
            <w:pPr>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11 ± 3</w:t>
            </w:r>
            <w:r>
              <w:rPr>
                <w:rFonts w:ascii="Times New Roman" w:eastAsia="Times New Roman" w:hAnsi="Times New Roman" w:cs="Times New Roman"/>
                <w:b/>
                <w:sz w:val="20"/>
                <w:szCs w:val="22"/>
                <w:lang w:val="en-US"/>
              </w:rPr>
              <w:t xml:space="preserve"> (</w:t>
            </w:r>
            <w:r w:rsidRPr="0084570B">
              <w:rPr>
                <w:rFonts w:ascii="Times New Roman" w:eastAsia="Times New Roman" w:hAnsi="Times New Roman" w:cs="Times New Roman"/>
                <w:b/>
                <w:sz w:val="22"/>
                <w:lang w:val="en-US"/>
              </w:rPr>
              <w:t>±1σ</w:t>
            </w:r>
            <w:r>
              <w:rPr>
                <w:rFonts w:ascii="Times New Roman" w:eastAsia="Times New Roman" w:hAnsi="Times New Roman" w:cs="Times New Roman"/>
                <w:b/>
                <w:sz w:val="22"/>
                <w:lang w:val="en-US"/>
              </w:rPr>
              <w:t>)</w:t>
            </w:r>
          </w:p>
        </w:tc>
      </w:tr>
      <w:tr w:rsidR="00C938E9" w:rsidRPr="0084570B" w14:paraId="41D1CBA6" w14:textId="77777777" w:rsidTr="00C875E7">
        <w:trPr>
          <w:trHeight w:val="280"/>
          <w:jc w:val="center"/>
        </w:trPr>
        <w:tc>
          <w:tcPr>
            <w:tcW w:w="1554" w:type="dxa"/>
            <w:tcBorders>
              <w:right w:val="single" w:sz="4" w:space="0" w:color="auto"/>
            </w:tcBorders>
            <w:vAlign w:val="center"/>
          </w:tcPr>
          <w:p w14:paraId="333F6FC3" w14:textId="77777777" w:rsidR="00C938E9" w:rsidRPr="0084570B" w:rsidRDefault="00C938E9" w:rsidP="00C875E7">
            <w:pPr>
              <w:jc w:val="center"/>
              <w:rPr>
                <w:rFonts w:ascii="Times New Roman" w:eastAsia="Times New Roman" w:hAnsi="Times New Roman" w:cs="Times New Roman"/>
                <w:sz w:val="20"/>
                <w:szCs w:val="22"/>
                <w:lang w:val="en-US"/>
              </w:rPr>
            </w:pPr>
          </w:p>
        </w:tc>
        <w:tc>
          <w:tcPr>
            <w:tcW w:w="1117" w:type="dxa"/>
            <w:tcBorders>
              <w:right w:val="single" w:sz="4" w:space="0" w:color="auto"/>
            </w:tcBorders>
            <w:vAlign w:val="center"/>
          </w:tcPr>
          <w:p w14:paraId="23AF6708" w14:textId="77777777" w:rsidR="00C938E9" w:rsidRPr="0084570B" w:rsidRDefault="00C938E9" w:rsidP="00C875E7">
            <w:pPr>
              <w:jc w:val="center"/>
              <w:rPr>
                <w:rFonts w:ascii="Times New Roman" w:eastAsia="Times New Roman" w:hAnsi="Times New Roman" w:cs="Times New Roman"/>
                <w:sz w:val="20"/>
                <w:szCs w:val="22"/>
                <w:lang w:val="en-US"/>
              </w:rPr>
            </w:pPr>
          </w:p>
        </w:tc>
        <w:tc>
          <w:tcPr>
            <w:tcW w:w="2951" w:type="dxa"/>
            <w:tcBorders>
              <w:left w:val="single" w:sz="4" w:space="0" w:color="auto"/>
              <w:right w:val="single" w:sz="4" w:space="0" w:color="auto"/>
            </w:tcBorders>
            <w:shd w:val="clear" w:color="auto" w:fill="auto"/>
            <w:noWrap/>
            <w:vAlign w:val="center"/>
          </w:tcPr>
          <w:p w14:paraId="1B10538F" w14:textId="77777777" w:rsidR="00C938E9" w:rsidRPr="0084570B" w:rsidRDefault="00C938E9" w:rsidP="00C875E7">
            <w:pPr>
              <w:jc w:val="center"/>
              <w:rPr>
                <w:rFonts w:ascii="Times New Roman" w:eastAsia="Times New Roman" w:hAnsi="Times New Roman" w:cs="Times New Roman"/>
                <w:sz w:val="20"/>
                <w:szCs w:val="22"/>
                <w:lang w:val="en-US"/>
              </w:rPr>
            </w:pPr>
          </w:p>
        </w:tc>
        <w:tc>
          <w:tcPr>
            <w:tcW w:w="2413" w:type="dxa"/>
            <w:tcBorders>
              <w:left w:val="single" w:sz="4" w:space="0" w:color="auto"/>
              <w:right w:val="single" w:sz="4" w:space="0" w:color="auto"/>
            </w:tcBorders>
            <w:shd w:val="clear" w:color="auto" w:fill="auto"/>
            <w:noWrap/>
            <w:vAlign w:val="center"/>
          </w:tcPr>
          <w:p w14:paraId="5C624A86" w14:textId="77777777" w:rsidR="00C938E9" w:rsidRPr="0084570B" w:rsidRDefault="00C938E9" w:rsidP="00C875E7">
            <w:pPr>
              <w:jc w:val="center"/>
              <w:rPr>
                <w:rFonts w:ascii="Times New Roman" w:eastAsia="Times New Roman" w:hAnsi="Times New Roman" w:cs="Times New Roman"/>
                <w:sz w:val="20"/>
                <w:szCs w:val="22"/>
                <w:lang w:val="en-US"/>
              </w:rPr>
            </w:pPr>
          </w:p>
        </w:tc>
      </w:tr>
      <w:tr w:rsidR="00C938E9" w:rsidRPr="0084570B" w14:paraId="7F2AAF36" w14:textId="77777777" w:rsidTr="00C875E7">
        <w:trPr>
          <w:trHeight w:val="280"/>
          <w:jc w:val="center"/>
        </w:trPr>
        <w:tc>
          <w:tcPr>
            <w:tcW w:w="1554" w:type="dxa"/>
            <w:tcBorders>
              <w:right w:val="single" w:sz="4" w:space="0" w:color="auto"/>
            </w:tcBorders>
            <w:vAlign w:val="center"/>
          </w:tcPr>
          <w:p w14:paraId="287E7865"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Lau</w:t>
            </w:r>
          </w:p>
        </w:tc>
        <w:tc>
          <w:tcPr>
            <w:tcW w:w="1117" w:type="dxa"/>
            <w:tcBorders>
              <w:right w:val="single" w:sz="4" w:space="0" w:color="auto"/>
            </w:tcBorders>
            <w:vAlign w:val="center"/>
          </w:tcPr>
          <w:p w14:paraId="16DD9369"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sidRPr="0084570B">
              <w:rPr>
                <w:rFonts w:ascii="Times New Roman" w:eastAsia="Times New Roman" w:hAnsi="Times New Roman" w:cs="Times New Roman"/>
                <w:sz w:val="20"/>
                <w:szCs w:val="22"/>
                <w:lang w:val="en-US"/>
              </w:rPr>
              <w:instrText>ADDIN CSL_CITATION {"citationItems":[{"id":"ITEM-1","itemData":{"DOI":"10.1016/j.epsl.2013.02.012","ISSN":"0012821X","abstract":"Heavy noble gases can record long-lasting heterogeneities in the mantle, because Ne, Ar, and Xe isotopes are produced from extant (U, Th, K) and extinct (129I and 244Pu) radionuclides. However, the presence of ubiquitous atmospheric contamination in basalts, particularly for ocean island basalts (OIBs) that sample the Earth's deep mantle, have largely hampered precise characterization of the mantle source compositions. Here we present new high-precision noble gas data from gas-rich basalts erupted along the Rochambeau Rift (RR) in the northwestern corner of the Lau Basin. The strong influence of a deep mantle plume in the Rochambeau source is apparent from low 4He/3He ratios down to 25,600 (3He/4He of 28.1RA).We find that the Rochambeau source is characterized by low ratios of radiogenic to non-radiogenic nuclides of Ne, Ar, and Xe (i.e., low 21Ne/22Ne, 40Ar/36Ar, and 129Xe/130Xe) compared to the mantle source of mid-ocean ridge basalts (MORBs). High-precision xenon isotopic measurements indicate that the lower 129Xe/130Xe ratios in the Rochambeau source cannot be explained solely by mixing atmospheric xenon with MORB-type xenon; nor can fission-produced Xe be added to MORB Xe to produce the compositions seen in the Rochambeau basalts. Deconvolution of fissiogenic xenon isotopes demonstrate a higher proportion of Pu- fission derived Xe in the Rochambeau source compared to the MORB source. Therefore, both I/Xe and Pu/Xe ratios are different between OIB and MORB sources. Our observations require heterogeneous volatile accretion and a lower degree of processing for the plume source compared to the MORB source. Since differences in 129Xe/130Xe ratios have to be produced while 129I is still alive, OIB and MORB sources must have been processed at different rates for the first 100 million years (Myr) of Solar System history, and subsequent to this period, the two reservoirs have not been homogenized.In combination with recent results from the Iceland plume, our noble gas observations require the formation and preservation of less-degassed, early-formed (pre-4.45. Ga) heterogeneities in the Earth's deep mantle. Consequently, the primitive noble gas reservoir sampled by mantle plumes cannot be created solely through sequestration of recycled slabs or undegassed melts at the base of the mantle during the past 4.4. Ga. Finally, if the more primitive, less degassed heterogeneities reside in the Large Low Shear Wave Velocity Provinces (LLSVPs), then LLSVPs must be l…","author":[{"dropping-particle":"","family":"Peto","given":"Maria K.","non-dropping-particle":"","parse-names":false,"suffix":""},{"dropping-particle":"","family":"Mukhopadhyay","given":"Sujoy","non-dropping-particle":"","parse-names":false,"suffix":""},{"dropping-particle":"","family":"Kelley","given":"Katherine A.","non-dropping-particle":"","parse-names":false,"suffix":""}],"container-title":"Earth and Planetary Science Letters","id":"ITEM-1","issued":{"date-parts":[["2013"]]},"page":"13-23","title":"Heterogeneities from the first 100 million years recorded in deep mantle noble gases from the Northern Lau Back-arc Basin","type":"article-journal","volume":"369-370"},"uris":["http://www.mendeley.com/documents/?uuid=29ecf783-5363-44ea-a102-e73cfa2c373a"]}],"mendeley":{"formattedCitation":"&lt;sup&gt;89&lt;/sup&gt;","plainTextFormattedCitation":"89","previouslyFormattedCitation":"&lt;sup&gt;89&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84570B">
              <w:rPr>
                <w:rFonts w:ascii="Times New Roman" w:eastAsia="Times New Roman" w:hAnsi="Times New Roman" w:cs="Times New Roman"/>
                <w:noProof/>
                <w:sz w:val="20"/>
                <w:szCs w:val="22"/>
                <w:vertAlign w:val="superscript"/>
                <w:lang w:val="en-US"/>
              </w:rPr>
              <w:t>89</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4D6CD904"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95</m:t>
                    </m:r>
                  </m:e>
                  <m:sub>
                    <m:r>
                      <w:rPr>
                        <w:rFonts w:ascii="Cambria Math" w:eastAsia="Times New Roman" w:hAnsi="Cambria Math" w:cs="Times New Roman"/>
                        <w:sz w:val="20"/>
                        <w:szCs w:val="22"/>
                        <w:lang w:val="en-US"/>
                      </w:rPr>
                      <m:t>-23</m:t>
                    </m:r>
                  </m:sub>
                  <m:sup>
                    <m:r>
                      <w:rPr>
                        <w:rFonts w:ascii="Cambria Math" w:eastAsia="Times New Roman" w:hAnsi="Cambria Math" w:cs="Times New Roman"/>
                        <w:sz w:val="20"/>
                        <w:szCs w:val="22"/>
                        <w:lang w:val="en-US"/>
                      </w:rPr>
                      <m:t>+4</m:t>
                    </m:r>
                  </m:sup>
                </m:sSubSup>
              </m:oMath>
            </m:oMathPara>
          </w:p>
        </w:tc>
        <w:tc>
          <w:tcPr>
            <w:tcW w:w="2413" w:type="dxa"/>
            <w:tcBorders>
              <w:left w:val="single" w:sz="4" w:space="0" w:color="auto"/>
              <w:right w:val="single" w:sz="4" w:space="0" w:color="auto"/>
            </w:tcBorders>
            <w:shd w:val="clear" w:color="auto" w:fill="auto"/>
            <w:noWrap/>
            <w:vAlign w:val="center"/>
          </w:tcPr>
          <w:p w14:paraId="63CE5F4B"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2.9</m:t>
                    </m:r>
                  </m:e>
                  <m:sub>
                    <m:r>
                      <w:rPr>
                        <w:rFonts w:ascii="Cambria Math" w:eastAsia="Times New Roman" w:hAnsi="Cambria Math" w:cs="Times New Roman"/>
                        <w:sz w:val="20"/>
                        <w:szCs w:val="22"/>
                        <w:lang w:val="en-US"/>
                      </w:rPr>
                      <m:t>-0.2</m:t>
                    </m:r>
                  </m:sub>
                  <m:sup>
                    <m:r>
                      <w:rPr>
                        <w:rFonts w:ascii="Cambria Math" w:eastAsia="Times New Roman" w:hAnsi="Cambria Math" w:cs="Times New Roman"/>
                        <w:sz w:val="20"/>
                        <w:szCs w:val="22"/>
                        <w:lang w:val="en-US"/>
                      </w:rPr>
                      <m:t>+1.0</m:t>
                    </m:r>
                  </m:sup>
                </m:sSubSup>
              </m:oMath>
            </m:oMathPara>
          </w:p>
        </w:tc>
      </w:tr>
      <w:tr w:rsidR="00C938E9" w:rsidRPr="0084570B" w14:paraId="728E84D9" w14:textId="77777777" w:rsidTr="00C875E7">
        <w:trPr>
          <w:trHeight w:val="280"/>
          <w:jc w:val="center"/>
        </w:trPr>
        <w:tc>
          <w:tcPr>
            <w:tcW w:w="1554" w:type="dxa"/>
            <w:tcBorders>
              <w:right w:val="single" w:sz="4" w:space="0" w:color="auto"/>
            </w:tcBorders>
            <w:vAlign w:val="center"/>
          </w:tcPr>
          <w:p w14:paraId="2390AB32"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DICE</w:t>
            </w:r>
          </w:p>
        </w:tc>
        <w:tc>
          <w:tcPr>
            <w:tcW w:w="1117" w:type="dxa"/>
            <w:tcBorders>
              <w:right w:val="single" w:sz="4" w:space="0" w:color="auto"/>
            </w:tcBorders>
            <w:vAlign w:val="center"/>
          </w:tcPr>
          <w:p w14:paraId="00046B52" w14:textId="77777777" w:rsidR="00C938E9" w:rsidRPr="0084570B" w:rsidRDefault="00C938E9" w:rsidP="00C875E7">
            <w:pPr>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ref</w:t>
            </w:r>
            <w:r w:rsidRPr="0084570B">
              <w:rPr>
                <w:rFonts w:ascii="Times New Roman" w:eastAsia="Times New Roman" w:hAnsi="Times New Roman" w:cs="Times New Roman"/>
                <w:sz w:val="20"/>
                <w:szCs w:val="22"/>
                <w:lang w:val="en-US"/>
              </w:rPr>
              <w:fldChar w:fldCharType="begin" w:fldLock="1"/>
            </w:r>
            <w:r w:rsidRPr="0084570B">
              <w:rPr>
                <w:rFonts w:ascii="Times New Roman" w:eastAsia="Times New Roman" w:hAnsi="Times New Roman" w:cs="Times New Roman"/>
                <w:sz w:val="20"/>
                <w:szCs w:val="22"/>
                <w:lang w:val="en-US"/>
              </w:rPr>
              <w:instrText>ADDIN CSL_CITATION {"citationItems":[{"id":"ITEM-1","itemData":{"DOI":"10.1038/nature11141","ISSN":"00280836","abstract":"The isotopes 129Xe, produced from the radioactive decay of extinct 129 I, and 136Xe, produced from extinct 244 Pu and extant 238U, have provided important constraints on early mantle outgassing and volatile loss from Earth. The low ratios of radiogenic to non-radiogenic xenon (129Xe/130Xe) in ocean island basalts (OIBs) compared with mid-ocean-ridge basalts (MORBs) have been used as evidence for the existence of a relatively undegassed primitive deep-mantle reservoir. However, the low 129Xe/ 130Xe ratios in OIBs have also been attributed to mixing between subducted atmospheric Xe and MORB Xe, which obviates the need for a less degassed deep-mantle reservoir. Here I present new noble gas (He, Ne, Ar, Xe) measurements from an Icelandic OIB that reveal differences in elemental abundances and 20 Ne/22Ne ratios between the Iceland mantle plume and the MORB source. These observations show that the lower 129Xe/130Xe ratios in OIBs are due to a lower I/Xe ratio in the OIB mantle source and cannot be explained solely by mixing atmospheric Xe with MORB-type Xe. Because 129 I became extinct about 100 million years after the formation of the Solar System, OIB and MORB mantle sources must have differentiated by 4.45 billion years ago and subsequent mixing must have been limited. The Iceland plume source also has a higher proportion of Pu-to U-derived fission Xe, requiring the plume source to be less degassed than MORBs, a conclusion that is independent of noble gas concentrations and the partitioning behaviour of the noble gases with respect to their radiogenic parents. Overall, these results show that Earth's mantle accreted volatiles from at least two separate sources and that neither the Moon-forming impact nor 4.45 billion years of mantle convection has erased the signature of Earth's heterogeneous accretion and early differentiation. © 2012 Macmillan Publishers Limited.","author":[{"dropping-particle":"","family":"Mukhopadhyay","given":"Sujoy","non-dropping-particle":"","parse-names":false,"suffix":""}],"container-title":"Nature","id":"ITEM-1","issue":"7401","issued":{"date-parts":[["2012"]]},"page":"101-104","publisher":"Nature Publishing Group","title":"Early differentiation and volatile accretion recorded in deep-mantle neon and xenon","type":"article-journal","volume":"486"},"uris":["http://www.mendeley.com/documents/?uuid=074ef3a8-fddf-4888-bef8-1e7e4b851597"]}],"mendeley":{"formattedCitation":"&lt;sup&gt;4&lt;/sup&gt;","plainTextFormattedCitation":"4","previouslyFormattedCitation":"&lt;sup&gt;4&lt;/sup&gt;"},"properties":{"noteIndex":0},"schema":"https://github.com/citation-style-language/schema/raw/master/csl-citation.json"}</w:instrText>
            </w:r>
            <w:r w:rsidRPr="0084570B">
              <w:rPr>
                <w:rFonts w:ascii="Times New Roman" w:eastAsia="Times New Roman" w:hAnsi="Times New Roman" w:cs="Times New Roman"/>
                <w:sz w:val="20"/>
                <w:szCs w:val="22"/>
                <w:lang w:val="en-US"/>
              </w:rPr>
              <w:fldChar w:fldCharType="separate"/>
            </w:r>
            <w:r w:rsidRPr="0084570B">
              <w:rPr>
                <w:rFonts w:ascii="Times New Roman" w:eastAsia="Times New Roman" w:hAnsi="Times New Roman" w:cs="Times New Roman"/>
                <w:noProof/>
                <w:sz w:val="20"/>
                <w:szCs w:val="22"/>
                <w:vertAlign w:val="superscript"/>
                <w:lang w:val="en-US"/>
              </w:rPr>
              <w:t>4</w:t>
            </w:r>
            <w:r w:rsidRPr="0084570B">
              <w:rPr>
                <w:rFonts w:ascii="Times New Roman" w:eastAsia="Times New Roman" w:hAnsi="Times New Roman" w:cs="Times New Roman"/>
                <w:sz w:val="20"/>
                <w:szCs w:val="22"/>
                <w:lang w:val="en-US"/>
              </w:rPr>
              <w:fldChar w:fldCharType="end"/>
            </w:r>
          </w:p>
        </w:tc>
        <w:tc>
          <w:tcPr>
            <w:tcW w:w="2951" w:type="dxa"/>
            <w:tcBorders>
              <w:left w:val="single" w:sz="4" w:space="0" w:color="auto"/>
              <w:right w:val="single" w:sz="4" w:space="0" w:color="auto"/>
            </w:tcBorders>
            <w:shd w:val="clear" w:color="auto" w:fill="auto"/>
            <w:noWrap/>
            <w:vAlign w:val="center"/>
          </w:tcPr>
          <w:p w14:paraId="4495C736"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99</m:t>
                    </m:r>
                  </m:e>
                  <m:sub>
                    <m:r>
                      <w:rPr>
                        <w:rFonts w:ascii="Cambria Math" w:eastAsia="Times New Roman" w:hAnsi="Cambria Math" w:cs="Times New Roman"/>
                        <w:sz w:val="20"/>
                        <w:szCs w:val="22"/>
                        <w:lang w:val="en-US"/>
                      </w:rPr>
                      <m:t>-19</m:t>
                    </m:r>
                  </m:sub>
                  <m:sup>
                    <m:r>
                      <w:rPr>
                        <w:rFonts w:ascii="Cambria Math" w:eastAsia="Times New Roman" w:hAnsi="Cambria Math" w:cs="Times New Roman"/>
                        <w:sz w:val="20"/>
                        <w:szCs w:val="22"/>
                        <w:lang w:val="en-US"/>
                      </w:rPr>
                      <m:t>+1</m:t>
                    </m:r>
                  </m:sup>
                </m:sSubSup>
              </m:oMath>
            </m:oMathPara>
          </w:p>
        </w:tc>
        <w:tc>
          <w:tcPr>
            <w:tcW w:w="2413" w:type="dxa"/>
            <w:tcBorders>
              <w:left w:val="single" w:sz="4" w:space="0" w:color="auto"/>
              <w:right w:val="single" w:sz="4" w:space="0" w:color="auto"/>
            </w:tcBorders>
            <w:shd w:val="clear" w:color="auto" w:fill="auto"/>
            <w:noWrap/>
            <w:vAlign w:val="center"/>
          </w:tcPr>
          <w:p w14:paraId="410832B8" w14:textId="77777777" w:rsidR="00C938E9" w:rsidRPr="0084570B" w:rsidRDefault="008549F7" w:rsidP="00C875E7">
            <w:pPr>
              <w:jc w:val="center"/>
              <w:rPr>
                <w:rFonts w:ascii="Times New Roman" w:eastAsia="Times New Roman" w:hAnsi="Times New Roman" w:cs="Times New Roman"/>
                <w:sz w:val="20"/>
                <w:szCs w:val="22"/>
                <w:lang w:val="en-US"/>
              </w:rPr>
            </w:pPr>
            <m:oMathPara>
              <m:oMath>
                <m:sSubSup>
                  <m:sSubSupPr>
                    <m:ctrlPr>
                      <w:rPr>
                        <w:rFonts w:ascii="Cambria Math" w:eastAsia="Times New Roman" w:hAnsi="Cambria Math" w:cs="Times New Roman"/>
                        <w:i/>
                        <w:sz w:val="20"/>
                        <w:szCs w:val="22"/>
                        <w:lang w:val="en-US"/>
                      </w:rPr>
                    </m:ctrlPr>
                  </m:sSubSupPr>
                  <m:e>
                    <m:r>
                      <w:rPr>
                        <w:rFonts w:ascii="Cambria Math" w:eastAsia="Times New Roman" w:hAnsi="Cambria Math" w:cs="Times New Roman"/>
                        <w:sz w:val="20"/>
                        <w:szCs w:val="22"/>
                        <w:lang w:val="en-US"/>
                      </w:rPr>
                      <m:t>2.8</m:t>
                    </m:r>
                  </m:e>
                  <m:sub>
                    <m:r>
                      <w:rPr>
                        <w:rFonts w:ascii="Cambria Math" w:eastAsia="Times New Roman" w:hAnsi="Cambria Math" w:cs="Times New Roman"/>
                        <w:sz w:val="20"/>
                        <w:szCs w:val="22"/>
                        <w:lang w:val="en-US"/>
                      </w:rPr>
                      <m:t>-0.1</m:t>
                    </m:r>
                  </m:sub>
                  <m:sup>
                    <m:r>
                      <w:rPr>
                        <w:rFonts w:ascii="Cambria Math" w:eastAsia="Times New Roman" w:hAnsi="Cambria Math" w:cs="Times New Roman"/>
                        <w:sz w:val="20"/>
                        <w:szCs w:val="22"/>
                        <w:lang w:val="en-US"/>
                      </w:rPr>
                      <m:t>+0.7</m:t>
                    </m:r>
                  </m:sup>
                </m:sSubSup>
              </m:oMath>
            </m:oMathPara>
          </w:p>
        </w:tc>
      </w:tr>
    </w:tbl>
    <w:p w14:paraId="76EE1045" w14:textId="77777777" w:rsidR="00C938E9" w:rsidRDefault="00C938E9" w:rsidP="005A411A">
      <w:pPr>
        <w:pStyle w:val="Normal1"/>
        <w:spacing w:line="276" w:lineRule="auto"/>
        <w:jc w:val="both"/>
        <w:rPr>
          <w:rFonts w:ascii="Times New Roman" w:hAnsi="Times New Roman" w:cs="Times New Roman"/>
          <w:sz w:val="22"/>
          <w:lang w:val="en-US"/>
        </w:rPr>
      </w:pPr>
    </w:p>
    <w:p w14:paraId="2BF50606" w14:textId="77777777" w:rsidR="00C938E9" w:rsidRPr="009E1DB1" w:rsidRDefault="00C938E9" w:rsidP="00C938E9">
      <w:pPr>
        <w:pStyle w:val="Normal1"/>
        <w:spacing w:line="360" w:lineRule="auto"/>
        <w:jc w:val="both"/>
        <w:rPr>
          <w:rFonts w:ascii="Times New Roman" w:hAnsi="Times New Roman" w:cs="Times New Roman"/>
          <w:b/>
          <w:sz w:val="22"/>
          <w:szCs w:val="22"/>
          <w:lang w:val="en-US"/>
        </w:rPr>
      </w:pPr>
    </w:p>
    <w:p w14:paraId="71F4D357" w14:textId="2AF5BAC1" w:rsidR="00C938E9" w:rsidRPr="009E1DB1" w:rsidRDefault="00C938E9" w:rsidP="00C938E9">
      <w:pPr>
        <w:pStyle w:val="Normal1"/>
        <w:spacing w:line="276" w:lineRule="auto"/>
        <w:jc w:val="both"/>
        <w:rPr>
          <w:rFonts w:ascii="Times New Roman" w:hAnsi="Times New Roman" w:cs="Times New Roman"/>
          <w:sz w:val="22"/>
          <w:szCs w:val="22"/>
          <w:lang w:val="en-US"/>
        </w:rPr>
      </w:pPr>
      <w:r w:rsidRPr="009E1DB1">
        <w:rPr>
          <w:rFonts w:ascii="Times New Roman" w:hAnsi="Times New Roman" w:cs="Times New Roman"/>
          <w:b/>
          <w:sz w:val="22"/>
          <w:szCs w:val="22"/>
          <w:lang w:val="en-US"/>
        </w:rPr>
        <w:t>Table S2</w:t>
      </w:r>
      <w:r w:rsidR="009E1DB1" w:rsidRPr="009E1DB1">
        <w:rPr>
          <w:rFonts w:ascii="Times New Roman" w:hAnsi="Times New Roman" w:cs="Times New Roman"/>
          <w:b/>
          <w:sz w:val="22"/>
          <w:szCs w:val="22"/>
          <w:lang w:val="en-US"/>
        </w:rPr>
        <w:t>a</w:t>
      </w:r>
      <w:r w:rsidRPr="009E1DB1">
        <w:rPr>
          <w:rFonts w:ascii="Times New Roman" w:hAnsi="Times New Roman" w:cs="Times New Roman"/>
          <w:b/>
          <w:sz w:val="22"/>
          <w:szCs w:val="22"/>
          <w:lang w:val="en-US"/>
        </w:rPr>
        <w:t>: Deconvolution of mantle-derived Xe isotope literature data (</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Pu</w:t>
      </w:r>
      <w:r w:rsidRPr="009E1DB1">
        <w:rPr>
          <w:rFonts w:ascii="Times New Roman" w:eastAsia="Times New Roman" w:hAnsi="Times New Roman" w:cs="Times New Roman"/>
          <w:b/>
          <w:sz w:val="22"/>
          <w:szCs w:val="22"/>
          <w:lang w:val="en-US"/>
        </w:rPr>
        <w:t>/</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TF</w:t>
      </w:r>
      <w:r w:rsidRPr="009E1DB1">
        <w:rPr>
          <w:rFonts w:ascii="Times New Roman" w:eastAsia="Times New Roman" w:hAnsi="Times New Roman" w:cs="Times New Roman"/>
          <w:b/>
          <w:sz w:val="22"/>
          <w:szCs w:val="22"/>
          <w:lang w:val="en-US"/>
        </w:rPr>
        <w:t xml:space="preserve"> and </w:t>
      </w:r>
      <w:r w:rsidRPr="009E1DB1">
        <w:rPr>
          <w:rFonts w:ascii="Times New Roman" w:eastAsia="Times New Roman" w:hAnsi="Times New Roman" w:cs="Times New Roman"/>
          <w:b/>
          <w:sz w:val="22"/>
          <w:szCs w:val="22"/>
          <w:vertAlign w:val="superscript"/>
          <w:lang w:val="en-US"/>
        </w:rPr>
        <w:t>129</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I</w:t>
      </w:r>
      <w:r w:rsidRPr="009E1DB1">
        <w:rPr>
          <w:rFonts w:ascii="Times New Roman" w:eastAsia="Times New Roman" w:hAnsi="Times New Roman" w:cs="Times New Roman"/>
          <w:b/>
          <w:sz w:val="22"/>
          <w:szCs w:val="22"/>
          <w:lang w:val="en-US"/>
        </w:rPr>
        <w:t>/</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Pu</w:t>
      </w:r>
      <w:r w:rsidRPr="009E1DB1">
        <w:rPr>
          <w:rFonts w:ascii="Times New Roman" w:hAnsi="Times New Roman" w:cs="Times New Roman"/>
          <w:b/>
          <w:sz w:val="22"/>
          <w:szCs w:val="22"/>
          <w:lang w:val="en-US"/>
        </w:rPr>
        <w:t xml:space="preserve">) </w:t>
      </w:r>
      <w:r w:rsidRPr="009E1DB1">
        <w:rPr>
          <w:rFonts w:ascii="Times New Roman" w:hAnsi="Times New Roman" w:cs="Times New Roman"/>
          <w:sz w:val="22"/>
          <w:szCs w:val="22"/>
          <w:lang w:val="en-US"/>
        </w:rPr>
        <w:t xml:space="preserve">using numerical approach by </w:t>
      </w:r>
      <w:r w:rsidRPr="009E1DB1">
        <w:rPr>
          <w:rFonts w:ascii="Times New Roman" w:eastAsia="Times New Roman" w:hAnsi="Times New Roman" w:cs="Times New Roman"/>
          <w:color w:val="222222"/>
          <w:sz w:val="22"/>
          <w:szCs w:val="22"/>
          <w:lang w:val="en-US"/>
        </w:rPr>
        <w:t xml:space="preserve">Parai &amp; </w:t>
      </w:r>
      <w:r w:rsidRPr="009E1DB1">
        <w:rPr>
          <w:rFonts w:ascii="Times New Roman" w:eastAsia="Times New Roman" w:hAnsi="Times New Roman" w:cs="Times New Roman"/>
          <w:sz w:val="22"/>
          <w:szCs w:val="22"/>
          <w:lang w:val="en-US"/>
        </w:rPr>
        <w:t>Mukhopadhyay (2015)</w:t>
      </w:r>
      <w:r w:rsidRPr="009E1DB1">
        <w:rPr>
          <w:rFonts w:ascii="Times New Roman" w:eastAsia="Times New Roman" w:hAnsi="Times New Roman" w:cs="Times New Roman"/>
          <w:sz w:val="22"/>
          <w:szCs w:val="22"/>
          <w:lang w:val="en-US"/>
        </w:rPr>
        <w:fldChar w:fldCharType="begin" w:fldLock="1"/>
      </w:r>
      <w:r w:rsidRPr="009E1DB1">
        <w:rPr>
          <w:rFonts w:ascii="Times New Roman" w:eastAsia="Times New Roman" w:hAnsi="Times New Roman" w:cs="Times New Roman"/>
          <w:sz w:val="22"/>
          <w:szCs w:val="22"/>
          <w:lang w:val="en-US"/>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Pr="009E1DB1">
        <w:rPr>
          <w:rFonts w:ascii="Times New Roman" w:eastAsia="Times New Roman" w:hAnsi="Times New Roman" w:cs="Times New Roman"/>
          <w:sz w:val="22"/>
          <w:szCs w:val="22"/>
          <w:lang w:val="en-US"/>
        </w:rPr>
        <w:fldChar w:fldCharType="separate"/>
      </w:r>
      <w:r w:rsidRPr="009E1DB1">
        <w:rPr>
          <w:rFonts w:ascii="Times New Roman" w:eastAsia="Times New Roman" w:hAnsi="Times New Roman" w:cs="Times New Roman"/>
          <w:noProof/>
          <w:sz w:val="22"/>
          <w:szCs w:val="22"/>
          <w:vertAlign w:val="superscript"/>
          <w:lang w:val="en-US"/>
        </w:rPr>
        <w:t>26</w:t>
      </w:r>
      <w:r w:rsidRPr="009E1DB1">
        <w:rPr>
          <w:rFonts w:ascii="Times New Roman" w:eastAsia="Times New Roman" w:hAnsi="Times New Roman" w:cs="Times New Roman"/>
          <w:sz w:val="22"/>
          <w:szCs w:val="22"/>
          <w:lang w:val="en-US"/>
        </w:rPr>
        <w:fldChar w:fldCharType="end"/>
      </w:r>
      <w:r w:rsidRPr="009E1DB1">
        <w:rPr>
          <w:rFonts w:ascii="Times New Roman" w:hAnsi="Times New Roman" w:cs="Times New Roman"/>
          <w:sz w:val="22"/>
          <w:szCs w:val="22"/>
          <w:lang w:val="en-US"/>
        </w:rPr>
        <w:t xml:space="preserve">, excluding </w:t>
      </w:r>
      <w:r w:rsidRPr="009E1DB1">
        <w:rPr>
          <w:rFonts w:ascii="Times New Roman" w:hAnsi="Times New Roman" w:cs="Times New Roman"/>
          <w:sz w:val="22"/>
          <w:szCs w:val="22"/>
          <w:vertAlign w:val="superscript"/>
          <w:lang w:val="en-US"/>
        </w:rPr>
        <w:t>128</w:t>
      </w:r>
      <w:r w:rsidRPr="009E1DB1">
        <w:rPr>
          <w:rFonts w:ascii="Times New Roman" w:hAnsi="Times New Roman" w:cs="Times New Roman"/>
          <w:sz w:val="22"/>
          <w:szCs w:val="22"/>
          <w:lang w:val="en-US"/>
        </w:rPr>
        <w:t xml:space="preserve">Xe. Uncertainties </w:t>
      </w:r>
      <w:r w:rsidR="009E1DB1" w:rsidRPr="009E1DB1">
        <w:rPr>
          <w:rFonts w:ascii="Times New Roman" w:hAnsi="Times New Roman" w:cs="Times New Roman"/>
          <w:sz w:val="22"/>
          <w:szCs w:val="22"/>
          <w:lang w:val="en-US"/>
        </w:rPr>
        <w:t>represent the boundaries of the interquartile range</w:t>
      </w:r>
      <w:r w:rsidR="009E1DB1" w:rsidRPr="009E1DB1">
        <w:rPr>
          <w:rFonts w:ascii="Times New Roman" w:eastAsia="Times New Roman" w:hAnsi="Times New Roman" w:cs="Times New Roman"/>
          <w:color w:val="222222"/>
          <w:sz w:val="22"/>
          <w:szCs w:val="22"/>
          <w:lang w:val="en-US"/>
        </w:rPr>
        <w:fldChar w:fldCharType="begin" w:fldLock="1"/>
      </w:r>
      <w:r w:rsidR="009E1DB1" w:rsidRPr="009E1DB1">
        <w:rPr>
          <w:rFonts w:ascii="Times New Roman" w:eastAsia="Times New Roman" w:hAnsi="Times New Roman" w:cs="Times New Roman"/>
          <w:color w:val="222222"/>
          <w:sz w:val="22"/>
          <w:szCs w:val="22"/>
          <w:lang w:val="en-US"/>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009E1DB1" w:rsidRPr="009E1DB1">
        <w:rPr>
          <w:rFonts w:ascii="Cambria Math" w:eastAsia="Times New Roman" w:hAnsi="Cambria Math" w:cs="Cambria Math"/>
          <w:color w:val="222222"/>
          <w:sz w:val="22"/>
          <w:szCs w:val="22"/>
          <w:lang w:val="en-US"/>
        </w:rPr>
        <w:instrText>∼</w:instrText>
      </w:r>
      <w:r w:rsidR="009E1DB1" w:rsidRPr="009E1DB1">
        <w:rPr>
          <w:rFonts w:ascii="Times New Roman" w:eastAsia="Times New Roman" w:hAnsi="Times New Roman" w:cs="Times New Roman"/>
          <w:color w:val="222222"/>
          <w:sz w:val="22"/>
          <w:szCs w:val="22"/>
          <w:lang w:val="en-US"/>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Letters","id":"ITEM-1","issued":{"date-parts":[["2019"]]},"page":"115766","publisher":"Elsevier B.V.","title":"Novel insights into the degassing history of Earth's mantle from high precision noble gas analysis of magmatic gas","type":"article-journal","volume":"525"},"uris":["http://www.mendeley.com/documents/?uuid=871e74de-dfc9-489a-a5a1-d67859233fc2"]}],"mendeley":{"formattedCitation":"&lt;sup&gt;23&lt;/sup&gt;","plainTextFormattedCitation":"23","previouslyFormattedCitation":"&lt;sup&gt;23&lt;/sup&gt;"},"properties":{"noteIndex":0},"schema":"https://github.com/citation-style-language/schema/raw/master/csl-citation.json"}</w:instrText>
      </w:r>
      <w:r w:rsidR="009E1DB1" w:rsidRPr="009E1DB1">
        <w:rPr>
          <w:rFonts w:ascii="Times New Roman" w:eastAsia="Times New Roman" w:hAnsi="Times New Roman" w:cs="Times New Roman"/>
          <w:color w:val="222222"/>
          <w:sz w:val="22"/>
          <w:szCs w:val="22"/>
          <w:lang w:val="en-US"/>
        </w:rPr>
        <w:fldChar w:fldCharType="separate"/>
      </w:r>
      <w:r w:rsidR="009E1DB1" w:rsidRPr="009E1DB1">
        <w:rPr>
          <w:rFonts w:ascii="Times New Roman" w:eastAsia="Times New Roman" w:hAnsi="Times New Roman" w:cs="Times New Roman"/>
          <w:noProof/>
          <w:color w:val="222222"/>
          <w:sz w:val="22"/>
          <w:szCs w:val="22"/>
          <w:vertAlign w:val="superscript"/>
          <w:lang w:val="en-US"/>
        </w:rPr>
        <w:t>23</w:t>
      </w:r>
      <w:r w:rsidR="009E1DB1" w:rsidRPr="009E1DB1">
        <w:rPr>
          <w:rFonts w:ascii="Times New Roman" w:eastAsia="Times New Roman" w:hAnsi="Times New Roman" w:cs="Times New Roman"/>
          <w:color w:val="222222"/>
          <w:sz w:val="22"/>
          <w:szCs w:val="22"/>
          <w:lang w:val="en-US"/>
        </w:rPr>
        <w:fldChar w:fldCharType="end"/>
      </w:r>
      <w:r w:rsidR="009E1DB1" w:rsidRPr="009E1DB1">
        <w:rPr>
          <w:rFonts w:ascii="Times New Roman" w:eastAsia="Times New Roman" w:hAnsi="Times New Roman" w:cs="Times New Roman"/>
          <w:color w:val="222222"/>
          <w:sz w:val="22"/>
          <w:szCs w:val="22"/>
          <w:lang w:val="en-US"/>
        </w:rPr>
        <w:t xml:space="preserve">, corresponding to the </w:t>
      </w:r>
      <w:r w:rsidR="009E1DB1" w:rsidRPr="009E1DB1">
        <w:rPr>
          <w:rFonts w:ascii="Times New Roman" w:hAnsi="Times New Roman" w:cs="Times New Roman"/>
          <w:sz w:val="22"/>
          <w:szCs w:val="22"/>
          <w:lang w:val="en-US"/>
        </w:rPr>
        <w:t>25</w:t>
      </w:r>
      <w:r w:rsidR="009E1DB1" w:rsidRPr="009E1DB1">
        <w:rPr>
          <w:rFonts w:ascii="Times New Roman" w:hAnsi="Times New Roman" w:cs="Times New Roman"/>
          <w:sz w:val="22"/>
          <w:szCs w:val="22"/>
          <w:vertAlign w:val="superscript"/>
          <w:lang w:val="en-US"/>
        </w:rPr>
        <w:t>th</w:t>
      </w:r>
      <w:r w:rsidR="009E1DB1" w:rsidRPr="009E1DB1">
        <w:rPr>
          <w:rFonts w:ascii="Times New Roman" w:hAnsi="Times New Roman" w:cs="Times New Roman"/>
          <w:sz w:val="22"/>
          <w:szCs w:val="22"/>
          <w:lang w:val="en-US"/>
        </w:rPr>
        <w:t xml:space="preserve"> and 75</w:t>
      </w:r>
      <w:r w:rsidR="009E1DB1" w:rsidRPr="009E1DB1">
        <w:rPr>
          <w:rFonts w:ascii="Times New Roman" w:hAnsi="Times New Roman" w:cs="Times New Roman"/>
          <w:sz w:val="22"/>
          <w:szCs w:val="22"/>
          <w:vertAlign w:val="superscript"/>
          <w:lang w:val="en-US"/>
        </w:rPr>
        <w:t>th</w:t>
      </w:r>
      <w:r w:rsidR="009E1DB1" w:rsidRPr="009E1DB1">
        <w:rPr>
          <w:rFonts w:ascii="Times New Roman" w:hAnsi="Times New Roman" w:cs="Times New Roman"/>
          <w:sz w:val="22"/>
          <w:szCs w:val="22"/>
          <w:lang w:val="en-US"/>
        </w:rPr>
        <w:t xml:space="preserve"> percentiles</w:t>
      </w:r>
      <w:r w:rsidR="009E1DB1" w:rsidRPr="009E1DB1">
        <w:rPr>
          <w:rFonts w:ascii="Times New Roman" w:eastAsia="Times New Roman" w:hAnsi="Times New Roman" w:cs="Times New Roman"/>
          <w:sz w:val="22"/>
          <w:szCs w:val="22"/>
          <w:lang w:val="en-US"/>
        </w:rPr>
        <w:t xml:space="preserve"> of the </w:t>
      </w:r>
      <w:r w:rsidR="00286255">
        <w:rPr>
          <w:rFonts w:ascii="Times New Roman" w:eastAsia="Times New Roman" w:hAnsi="Times New Roman" w:cs="Times New Roman"/>
          <w:sz w:val="22"/>
          <w:szCs w:val="22"/>
          <w:lang w:val="en-US"/>
        </w:rPr>
        <w:t xml:space="preserve">output </w:t>
      </w:r>
      <w:r w:rsidR="009E1DB1" w:rsidRPr="009E1DB1">
        <w:rPr>
          <w:rFonts w:ascii="Times New Roman" w:eastAsia="Times New Roman" w:hAnsi="Times New Roman" w:cs="Times New Roman"/>
          <w:sz w:val="22"/>
          <w:szCs w:val="22"/>
          <w:lang w:val="en-US"/>
        </w:rPr>
        <w:t>data.</w:t>
      </w:r>
    </w:p>
    <w:p w14:paraId="3DC0BFE0" w14:textId="77777777" w:rsidR="009E1DB1" w:rsidRPr="009E1DB1" w:rsidRDefault="009E1DB1" w:rsidP="00C938E9">
      <w:pPr>
        <w:pStyle w:val="Normal1"/>
        <w:spacing w:line="276" w:lineRule="auto"/>
        <w:jc w:val="both"/>
        <w:rPr>
          <w:rFonts w:ascii="Times New Roman" w:eastAsia="Times New Roman" w:hAnsi="Times New Roman" w:cs="Times New Roman"/>
          <w:sz w:val="22"/>
          <w:szCs w:val="22"/>
          <w:lang w:val="en-US"/>
        </w:rPr>
      </w:pPr>
    </w:p>
    <w:p w14:paraId="145BAA2E" w14:textId="77777777" w:rsidR="009E1DB1" w:rsidRPr="009E1DB1" w:rsidRDefault="009E1DB1" w:rsidP="00C938E9">
      <w:pPr>
        <w:pStyle w:val="Normal1"/>
        <w:spacing w:line="276" w:lineRule="auto"/>
        <w:jc w:val="both"/>
        <w:rPr>
          <w:rFonts w:ascii="Times New Roman" w:hAnsi="Times New Roman" w:cs="Times New Roman"/>
          <w:color w:val="202124"/>
          <w:sz w:val="22"/>
          <w:szCs w:val="22"/>
          <w:shd w:val="clear" w:color="auto" w:fill="FFFFFF"/>
        </w:rPr>
      </w:pPr>
    </w:p>
    <w:tbl>
      <w:tblPr>
        <w:tblW w:w="8035" w:type="dxa"/>
        <w:jc w:val="center"/>
        <w:tblCellMar>
          <w:left w:w="70" w:type="dxa"/>
          <w:right w:w="70" w:type="dxa"/>
        </w:tblCellMar>
        <w:tblLook w:val="04A0" w:firstRow="1" w:lastRow="0" w:firstColumn="1" w:lastColumn="0" w:noHBand="0" w:noVBand="1"/>
      </w:tblPr>
      <w:tblGrid>
        <w:gridCol w:w="1554"/>
        <w:gridCol w:w="1117"/>
        <w:gridCol w:w="1891"/>
        <w:gridCol w:w="1060"/>
        <w:gridCol w:w="1353"/>
        <w:gridCol w:w="1060"/>
      </w:tblGrid>
      <w:tr w:rsidR="009E1DB1" w:rsidRPr="009E1DB1" w14:paraId="3F855063" w14:textId="77777777" w:rsidTr="00C875E7">
        <w:trPr>
          <w:trHeight w:val="280"/>
          <w:jc w:val="center"/>
        </w:trPr>
        <w:tc>
          <w:tcPr>
            <w:tcW w:w="1554" w:type="dxa"/>
            <w:tcBorders>
              <w:right w:val="single" w:sz="4" w:space="0" w:color="auto"/>
            </w:tcBorders>
            <w:vAlign w:val="center"/>
          </w:tcPr>
          <w:p w14:paraId="0D31D939"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Sample</w:t>
            </w:r>
          </w:p>
        </w:tc>
        <w:tc>
          <w:tcPr>
            <w:tcW w:w="1117" w:type="dxa"/>
            <w:tcBorders>
              <w:right w:val="single" w:sz="4" w:space="0" w:color="auto"/>
            </w:tcBorders>
            <w:vAlign w:val="center"/>
          </w:tcPr>
          <w:p w14:paraId="4C6704DF" w14:textId="77777777" w:rsidR="009E1DB1" w:rsidRPr="009E1DB1" w:rsidRDefault="009E1DB1" w:rsidP="00C875E7">
            <w:pPr>
              <w:jc w:val="center"/>
              <w:rPr>
                <w:rFonts w:ascii="Times New Roman" w:eastAsia="Times New Roman" w:hAnsi="Times New Roman" w:cs="Times New Roman"/>
                <w:b/>
                <w:sz w:val="22"/>
                <w:szCs w:val="22"/>
                <w:lang w:val="en-US"/>
              </w:rPr>
            </w:pPr>
          </w:p>
        </w:tc>
        <w:tc>
          <w:tcPr>
            <w:tcW w:w="1891" w:type="dxa"/>
            <w:tcBorders>
              <w:left w:val="single" w:sz="4" w:space="0" w:color="auto"/>
            </w:tcBorders>
            <w:shd w:val="clear" w:color="auto" w:fill="auto"/>
            <w:noWrap/>
            <w:vAlign w:val="center"/>
            <w:hideMark/>
          </w:tcPr>
          <w:p w14:paraId="2732BC73"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Pu</w:t>
            </w:r>
            <w:r w:rsidRPr="009E1DB1">
              <w:rPr>
                <w:rFonts w:ascii="Times New Roman" w:eastAsia="Times New Roman" w:hAnsi="Times New Roman" w:cs="Times New Roman"/>
                <w:b/>
                <w:sz w:val="22"/>
                <w:szCs w:val="22"/>
                <w:lang w:val="en-US"/>
              </w:rPr>
              <w:t>/</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 xml:space="preserve">TF </w:t>
            </w:r>
            <w:r w:rsidRPr="009E1DB1">
              <w:rPr>
                <w:rFonts w:ascii="Times New Roman" w:eastAsia="Times New Roman" w:hAnsi="Times New Roman" w:cs="Times New Roman"/>
                <w:sz w:val="22"/>
                <w:szCs w:val="22"/>
                <w:lang w:val="en-US"/>
              </w:rPr>
              <w:t xml:space="preserve">(%) </w:t>
            </w:r>
          </w:p>
        </w:tc>
        <w:tc>
          <w:tcPr>
            <w:tcW w:w="1060" w:type="dxa"/>
            <w:tcBorders>
              <w:right w:val="single" w:sz="4" w:space="0" w:color="auto"/>
            </w:tcBorders>
            <w:shd w:val="clear" w:color="auto" w:fill="auto"/>
            <w:noWrap/>
            <w:vAlign w:val="center"/>
            <w:hideMark/>
          </w:tcPr>
          <w:p w14:paraId="60744EA8"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±1σ</w:t>
            </w:r>
          </w:p>
        </w:tc>
        <w:tc>
          <w:tcPr>
            <w:tcW w:w="1353" w:type="dxa"/>
            <w:tcBorders>
              <w:left w:val="single" w:sz="4" w:space="0" w:color="auto"/>
            </w:tcBorders>
            <w:shd w:val="clear" w:color="auto" w:fill="auto"/>
            <w:noWrap/>
            <w:vAlign w:val="center"/>
            <w:hideMark/>
          </w:tcPr>
          <w:p w14:paraId="68FA7CCA"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vertAlign w:val="superscript"/>
                <w:lang w:val="en-US"/>
              </w:rPr>
              <w:t>129</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I</w:t>
            </w:r>
            <w:r w:rsidRPr="009E1DB1">
              <w:rPr>
                <w:rFonts w:ascii="Times New Roman" w:eastAsia="Times New Roman" w:hAnsi="Times New Roman" w:cs="Times New Roman"/>
                <w:b/>
                <w:sz w:val="22"/>
                <w:szCs w:val="22"/>
                <w:lang w:val="en-US"/>
              </w:rPr>
              <w:t>/</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Pu</w:t>
            </w:r>
          </w:p>
        </w:tc>
        <w:tc>
          <w:tcPr>
            <w:tcW w:w="1060" w:type="dxa"/>
            <w:tcBorders>
              <w:right w:val="single" w:sz="4" w:space="0" w:color="auto"/>
            </w:tcBorders>
            <w:shd w:val="clear" w:color="auto" w:fill="auto"/>
            <w:noWrap/>
            <w:vAlign w:val="center"/>
            <w:hideMark/>
          </w:tcPr>
          <w:p w14:paraId="6C923197"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±1σ</w:t>
            </w:r>
          </w:p>
        </w:tc>
      </w:tr>
      <w:tr w:rsidR="009E1DB1" w:rsidRPr="009E1DB1" w14:paraId="176FC6FC" w14:textId="77777777" w:rsidTr="00C875E7">
        <w:trPr>
          <w:trHeight w:val="280"/>
          <w:jc w:val="center"/>
        </w:trPr>
        <w:tc>
          <w:tcPr>
            <w:tcW w:w="1554" w:type="dxa"/>
            <w:tcBorders>
              <w:right w:val="single" w:sz="4" w:space="0" w:color="auto"/>
            </w:tcBorders>
            <w:vAlign w:val="center"/>
          </w:tcPr>
          <w:p w14:paraId="7869BA68"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 xml:space="preserve">Mt. Etna </w:t>
            </w:r>
            <w:r w:rsidRPr="009E1DB1">
              <w:rPr>
                <w:rFonts w:ascii="Times New Roman" w:eastAsia="Times New Roman" w:hAnsi="Times New Roman" w:cs="Times New Roman"/>
                <w:b/>
                <w:sz w:val="22"/>
                <w:szCs w:val="22"/>
                <w:lang w:val="en-US"/>
              </w:rPr>
              <w:t>1</w:t>
            </w:r>
          </w:p>
        </w:tc>
        <w:tc>
          <w:tcPr>
            <w:tcW w:w="1117" w:type="dxa"/>
            <w:tcBorders>
              <w:right w:val="single" w:sz="4" w:space="0" w:color="auto"/>
            </w:tcBorders>
            <w:vAlign w:val="center"/>
          </w:tcPr>
          <w:p w14:paraId="0B211CD3" w14:textId="77777777" w:rsidR="009E1DB1" w:rsidRPr="009E1DB1" w:rsidRDefault="009E1DB1" w:rsidP="00C875E7">
            <w:pPr>
              <w:jc w:val="center"/>
              <w:rPr>
                <w:rFonts w:ascii="Times New Roman" w:eastAsia="Times New Roman" w:hAnsi="Times New Roman" w:cs="Times New Roman"/>
                <w:i/>
                <w:sz w:val="22"/>
                <w:szCs w:val="22"/>
                <w:lang w:val="en-US"/>
              </w:rPr>
            </w:pPr>
            <w:r w:rsidRPr="009E1DB1">
              <w:rPr>
                <w:rFonts w:ascii="Times New Roman" w:eastAsia="Times New Roman" w:hAnsi="Times New Roman" w:cs="Times New Roman"/>
                <w:i/>
                <w:sz w:val="22"/>
                <w:szCs w:val="22"/>
                <w:lang w:val="en-US"/>
              </w:rPr>
              <w:t>this study</w:t>
            </w:r>
          </w:p>
        </w:tc>
        <w:tc>
          <w:tcPr>
            <w:tcW w:w="1891" w:type="dxa"/>
            <w:tcBorders>
              <w:left w:val="single" w:sz="4" w:space="0" w:color="auto"/>
            </w:tcBorders>
            <w:shd w:val="clear" w:color="auto" w:fill="auto"/>
            <w:noWrap/>
            <w:vAlign w:val="center"/>
            <w:hideMark/>
          </w:tcPr>
          <w:p w14:paraId="105B73A4"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2.20</w:t>
            </w:r>
          </w:p>
        </w:tc>
        <w:tc>
          <w:tcPr>
            <w:tcW w:w="1060" w:type="dxa"/>
            <w:tcBorders>
              <w:right w:val="single" w:sz="4" w:space="0" w:color="auto"/>
            </w:tcBorders>
            <w:shd w:val="clear" w:color="auto" w:fill="auto"/>
            <w:noWrap/>
            <w:vAlign w:val="center"/>
            <w:hideMark/>
          </w:tcPr>
          <w:p w14:paraId="1F701BC5"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1.5x10</w:t>
            </w:r>
            <w:r w:rsidRPr="009E1DB1">
              <w:rPr>
                <w:rFonts w:ascii="Times New Roman" w:eastAsia="Times New Roman" w:hAnsi="Times New Roman" w:cs="Times New Roman"/>
                <w:sz w:val="22"/>
                <w:szCs w:val="22"/>
                <w:vertAlign w:val="superscript"/>
                <w:lang w:val="en-US"/>
              </w:rPr>
              <w:t>-2</w:t>
            </w:r>
          </w:p>
        </w:tc>
        <w:tc>
          <w:tcPr>
            <w:tcW w:w="1353" w:type="dxa"/>
            <w:tcBorders>
              <w:left w:val="single" w:sz="4" w:space="0" w:color="auto"/>
            </w:tcBorders>
            <w:shd w:val="clear" w:color="auto" w:fill="auto"/>
            <w:noWrap/>
            <w:vAlign w:val="center"/>
            <w:hideMark/>
          </w:tcPr>
          <w:p w14:paraId="2AE60918"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53.29</w:t>
            </w:r>
          </w:p>
        </w:tc>
        <w:tc>
          <w:tcPr>
            <w:tcW w:w="1060" w:type="dxa"/>
            <w:tcBorders>
              <w:right w:val="single" w:sz="4" w:space="0" w:color="auto"/>
            </w:tcBorders>
            <w:shd w:val="clear" w:color="auto" w:fill="auto"/>
            <w:noWrap/>
            <w:vAlign w:val="center"/>
            <w:hideMark/>
          </w:tcPr>
          <w:p w14:paraId="55F79DDB"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0.56</w:t>
            </w:r>
          </w:p>
        </w:tc>
      </w:tr>
      <w:tr w:rsidR="009E1DB1" w:rsidRPr="009E1DB1" w14:paraId="7EFAB871" w14:textId="77777777" w:rsidTr="00C875E7">
        <w:trPr>
          <w:trHeight w:val="280"/>
          <w:jc w:val="center"/>
        </w:trPr>
        <w:tc>
          <w:tcPr>
            <w:tcW w:w="1554" w:type="dxa"/>
            <w:tcBorders>
              <w:right w:val="single" w:sz="4" w:space="0" w:color="auto"/>
            </w:tcBorders>
            <w:vAlign w:val="center"/>
          </w:tcPr>
          <w:p w14:paraId="36315EA8"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 xml:space="preserve">Mt. Etna </w:t>
            </w:r>
            <w:r w:rsidRPr="009E1DB1">
              <w:rPr>
                <w:rFonts w:ascii="Times New Roman" w:eastAsia="Times New Roman" w:hAnsi="Times New Roman" w:cs="Times New Roman"/>
                <w:b/>
                <w:sz w:val="22"/>
                <w:szCs w:val="22"/>
                <w:lang w:val="en-US"/>
              </w:rPr>
              <w:t>2</w:t>
            </w:r>
          </w:p>
        </w:tc>
        <w:tc>
          <w:tcPr>
            <w:tcW w:w="1117" w:type="dxa"/>
            <w:tcBorders>
              <w:right w:val="single" w:sz="4" w:space="0" w:color="auto"/>
            </w:tcBorders>
            <w:vAlign w:val="center"/>
          </w:tcPr>
          <w:p w14:paraId="1F0913D9"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i/>
                <w:sz w:val="22"/>
                <w:szCs w:val="22"/>
                <w:lang w:val="en-US"/>
              </w:rPr>
              <w:t>this study</w:t>
            </w:r>
          </w:p>
        </w:tc>
        <w:tc>
          <w:tcPr>
            <w:tcW w:w="1891" w:type="dxa"/>
            <w:tcBorders>
              <w:left w:val="single" w:sz="4" w:space="0" w:color="auto"/>
            </w:tcBorders>
            <w:shd w:val="clear" w:color="auto" w:fill="auto"/>
            <w:noWrap/>
            <w:vAlign w:val="center"/>
            <w:hideMark/>
          </w:tcPr>
          <w:p w14:paraId="3A4B23E1"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2.20</w:t>
            </w:r>
          </w:p>
        </w:tc>
        <w:tc>
          <w:tcPr>
            <w:tcW w:w="1060" w:type="dxa"/>
            <w:tcBorders>
              <w:right w:val="single" w:sz="4" w:space="0" w:color="auto"/>
            </w:tcBorders>
            <w:shd w:val="clear" w:color="auto" w:fill="auto"/>
            <w:noWrap/>
            <w:vAlign w:val="center"/>
            <w:hideMark/>
          </w:tcPr>
          <w:p w14:paraId="6FAC437B"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1.6x10</w:t>
            </w:r>
            <w:r w:rsidRPr="009E1DB1">
              <w:rPr>
                <w:rFonts w:ascii="Times New Roman" w:eastAsia="Times New Roman" w:hAnsi="Times New Roman" w:cs="Times New Roman"/>
                <w:sz w:val="22"/>
                <w:szCs w:val="22"/>
                <w:vertAlign w:val="superscript"/>
                <w:lang w:val="en-US"/>
              </w:rPr>
              <w:t>-2</w:t>
            </w:r>
          </w:p>
        </w:tc>
        <w:tc>
          <w:tcPr>
            <w:tcW w:w="1353" w:type="dxa"/>
            <w:tcBorders>
              <w:left w:val="single" w:sz="4" w:space="0" w:color="auto"/>
            </w:tcBorders>
            <w:shd w:val="clear" w:color="auto" w:fill="auto"/>
            <w:noWrap/>
            <w:vAlign w:val="center"/>
            <w:hideMark/>
          </w:tcPr>
          <w:p w14:paraId="3EA5B03B"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57.28</w:t>
            </w:r>
          </w:p>
        </w:tc>
        <w:tc>
          <w:tcPr>
            <w:tcW w:w="1060" w:type="dxa"/>
            <w:tcBorders>
              <w:right w:val="single" w:sz="4" w:space="0" w:color="auto"/>
            </w:tcBorders>
            <w:shd w:val="clear" w:color="auto" w:fill="auto"/>
            <w:noWrap/>
            <w:vAlign w:val="center"/>
            <w:hideMark/>
          </w:tcPr>
          <w:p w14:paraId="7566ACA9"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0.57</w:t>
            </w:r>
          </w:p>
        </w:tc>
      </w:tr>
      <w:tr w:rsidR="009E1DB1" w:rsidRPr="009E1DB1" w14:paraId="14EB0766" w14:textId="77777777" w:rsidTr="00C875E7">
        <w:trPr>
          <w:trHeight w:val="280"/>
          <w:jc w:val="center"/>
        </w:trPr>
        <w:tc>
          <w:tcPr>
            <w:tcW w:w="1554" w:type="dxa"/>
            <w:tcBorders>
              <w:right w:val="single" w:sz="4" w:space="0" w:color="auto"/>
            </w:tcBorders>
            <w:vAlign w:val="center"/>
          </w:tcPr>
          <w:p w14:paraId="7382BA5D"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 xml:space="preserve">Mt. Etna </w:t>
            </w:r>
            <w:r w:rsidRPr="009E1DB1">
              <w:rPr>
                <w:rFonts w:ascii="Times New Roman" w:eastAsia="Times New Roman" w:hAnsi="Times New Roman" w:cs="Times New Roman"/>
                <w:b/>
                <w:sz w:val="22"/>
                <w:szCs w:val="22"/>
                <w:lang w:val="en-US"/>
              </w:rPr>
              <w:t>3</w:t>
            </w:r>
          </w:p>
        </w:tc>
        <w:tc>
          <w:tcPr>
            <w:tcW w:w="1117" w:type="dxa"/>
            <w:tcBorders>
              <w:right w:val="single" w:sz="4" w:space="0" w:color="auto"/>
            </w:tcBorders>
            <w:vAlign w:val="center"/>
          </w:tcPr>
          <w:p w14:paraId="7934709A"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i/>
                <w:sz w:val="22"/>
                <w:szCs w:val="22"/>
                <w:lang w:val="en-US"/>
              </w:rPr>
              <w:t>this study</w:t>
            </w:r>
          </w:p>
        </w:tc>
        <w:tc>
          <w:tcPr>
            <w:tcW w:w="1891" w:type="dxa"/>
            <w:tcBorders>
              <w:left w:val="single" w:sz="4" w:space="0" w:color="auto"/>
            </w:tcBorders>
            <w:shd w:val="clear" w:color="auto" w:fill="auto"/>
            <w:noWrap/>
            <w:vAlign w:val="center"/>
            <w:hideMark/>
          </w:tcPr>
          <w:p w14:paraId="6BD0B6A8"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2.15</w:t>
            </w:r>
          </w:p>
        </w:tc>
        <w:tc>
          <w:tcPr>
            <w:tcW w:w="1060" w:type="dxa"/>
            <w:tcBorders>
              <w:right w:val="single" w:sz="4" w:space="0" w:color="auto"/>
            </w:tcBorders>
            <w:shd w:val="clear" w:color="auto" w:fill="auto"/>
            <w:noWrap/>
            <w:vAlign w:val="center"/>
            <w:hideMark/>
          </w:tcPr>
          <w:p w14:paraId="40FC4ED5"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1.5x10</w:t>
            </w:r>
            <w:r w:rsidRPr="009E1DB1">
              <w:rPr>
                <w:rFonts w:ascii="Times New Roman" w:eastAsia="Times New Roman" w:hAnsi="Times New Roman" w:cs="Times New Roman"/>
                <w:sz w:val="22"/>
                <w:szCs w:val="22"/>
                <w:vertAlign w:val="superscript"/>
                <w:lang w:val="en-US"/>
              </w:rPr>
              <w:t>-2</w:t>
            </w:r>
          </w:p>
        </w:tc>
        <w:tc>
          <w:tcPr>
            <w:tcW w:w="1353" w:type="dxa"/>
            <w:tcBorders>
              <w:left w:val="single" w:sz="4" w:space="0" w:color="auto"/>
            </w:tcBorders>
            <w:shd w:val="clear" w:color="auto" w:fill="auto"/>
            <w:noWrap/>
            <w:vAlign w:val="center"/>
            <w:hideMark/>
          </w:tcPr>
          <w:p w14:paraId="2A690856"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54.18</w:t>
            </w:r>
          </w:p>
        </w:tc>
        <w:tc>
          <w:tcPr>
            <w:tcW w:w="1060" w:type="dxa"/>
            <w:tcBorders>
              <w:right w:val="single" w:sz="4" w:space="0" w:color="auto"/>
            </w:tcBorders>
            <w:shd w:val="clear" w:color="auto" w:fill="auto"/>
            <w:noWrap/>
            <w:vAlign w:val="center"/>
            <w:hideMark/>
          </w:tcPr>
          <w:p w14:paraId="1A71A59C"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sz w:val="22"/>
                <w:szCs w:val="22"/>
                <w:lang w:val="en-US"/>
              </w:rPr>
              <w:t>0.57</w:t>
            </w:r>
          </w:p>
        </w:tc>
      </w:tr>
      <w:tr w:rsidR="009E1DB1" w:rsidRPr="009E1DB1" w14:paraId="0C21ED98" w14:textId="77777777" w:rsidTr="00C875E7">
        <w:trPr>
          <w:trHeight w:val="280"/>
          <w:jc w:val="center"/>
        </w:trPr>
        <w:tc>
          <w:tcPr>
            <w:tcW w:w="1554" w:type="dxa"/>
            <w:tcBorders>
              <w:right w:val="single" w:sz="4" w:space="0" w:color="auto"/>
            </w:tcBorders>
            <w:vAlign w:val="center"/>
          </w:tcPr>
          <w:p w14:paraId="17879099"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b/>
                <w:sz w:val="22"/>
                <w:szCs w:val="22"/>
                <w:lang w:val="en-US"/>
              </w:rPr>
              <w:t>Average</w:t>
            </w:r>
          </w:p>
        </w:tc>
        <w:tc>
          <w:tcPr>
            <w:tcW w:w="1117" w:type="dxa"/>
            <w:tcBorders>
              <w:right w:val="single" w:sz="4" w:space="0" w:color="auto"/>
            </w:tcBorders>
            <w:vAlign w:val="center"/>
          </w:tcPr>
          <w:p w14:paraId="46C30E6E" w14:textId="77777777" w:rsidR="009E1DB1" w:rsidRPr="009E1DB1" w:rsidRDefault="009E1DB1" w:rsidP="00C875E7">
            <w:pPr>
              <w:jc w:val="center"/>
              <w:rPr>
                <w:rFonts w:ascii="Times New Roman" w:eastAsia="Times New Roman" w:hAnsi="Times New Roman" w:cs="Times New Roman"/>
                <w:i/>
                <w:sz w:val="22"/>
                <w:szCs w:val="22"/>
                <w:lang w:val="en-US"/>
              </w:rPr>
            </w:pPr>
          </w:p>
        </w:tc>
        <w:tc>
          <w:tcPr>
            <w:tcW w:w="1891" w:type="dxa"/>
            <w:tcBorders>
              <w:left w:val="single" w:sz="4" w:space="0" w:color="auto"/>
            </w:tcBorders>
            <w:shd w:val="clear" w:color="auto" w:fill="auto"/>
            <w:noWrap/>
            <w:vAlign w:val="center"/>
          </w:tcPr>
          <w:p w14:paraId="440D6B6D"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b/>
                <w:sz w:val="22"/>
                <w:szCs w:val="22"/>
                <w:lang w:val="en-US"/>
              </w:rPr>
              <w:t xml:space="preserve">2.18 </w:t>
            </w:r>
          </w:p>
        </w:tc>
        <w:tc>
          <w:tcPr>
            <w:tcW w:w="1060" w:type="dxa"/>
            <w:tcBorders>
              <w:right w:val="single" w:sz="4" w:space="0" w:color="auto"/>
            </w:tcBorders>
            <w:shd w:val="clear" w:color="auto" w:fill="auto"/>
            <w:noWrap/>
            <w:vAlign w:val="center"/>
          </w:tcPr>
          <w:p w14:paraId="51DF09CA"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b/>
                <w:sz w:val="22"/>
                <w:szCs w:val="22"/>
                <w:lang w:val="en-US"/>
              </w:rPr>
              <w:t>0.03</w:t>
            </w:r>
          </w:p>
        </w:tc>
        <w:tc>
          <w:tcPr>
            <w:tcW w:w="2413" w:type="dxa"/>
            <w:gridSpan w:val="2"/>
            <w:tcBorders>
              <w:left w:val="single" w:sz="4" w:space="0" w:color="auto"/>
              <w:right w:val="single" w:sz="4" w:space="0" w:color="auto"/>
            </w:tcBorders>
            <w:shd w:val="clear" w:color="auto" w:fill="auto"/>
            <w:noWrap/>
            <w:vAlign w:val="center"/>
          </w:tcPr>
          <w:p w14:paraId="74877860" w14:textId="77777777" w:rsidR="009E1DB1" w:rsidRPr="009E1DB1" w:rsidRDefault="009E1DB1" w:rsidP="00C875E7">
            <w:pPr>
              <w:jc w:val="center"/>
              <w:rPr>
                <w:rFonts w:ascii="Times New Roman" w:eastAsia="Times New Roman" w:hAnsi="Times New Roman" w:cs="Times New Roman"/>
                <w:sz w:val="22"/>
                <w:szCs w:val="22"/>
                <w:lang w:val="en-US"/>
              </w:rPr>
            </w:pPr>
            <w:r w:rsidRPr="009E1DB1">
              <w:rPr>
                <w:rFonts w:ascii="Times New Roman" w:eastAsia="Times New Roman" w:hAnsi="Times New Roman" w:cs="Times New Roman"/>
                <w:b/>
                <w:sz w:val="22"/>
                <w:szCs w:val="22"/>
                <w:lang w:val="en-US"/>
              </w:rPr>
              <w:t>54.9                 2.1</w:t>
            </w:r>
          </w:p>
        </w:tc>
      </w:tr>
      <w:tr w:rsidR="009E1DB1" w:rsidRPr="009E1DB1" w14:paraId="1657F44E" w14:textId="77777777" w:rsidTr="00C875E7">
        <w:trPr>
          <w:trHeight w:val="280"/>
          <w:jc w:val="center"/>
        </w:trPr>
        <w:tc>
          <w:tcPr>
            <w:tcW w:w="1554" w:type="dxa"/>
            <w:tcBorders>
              <w:right w:val="single" w:sz="4" w:space="0" w:color="auto"/>
            </w:tcBorders>
            <w:vAlign w:val="center"/>
          </w:tcPr>
          <w:p w14:paraId="0CA4974B" w14:textId="77777777" w:rsidR="009E1DB1" w:rsidRPr="009E1DB1" w:rsidRDefault="009E1DB1" w:rsidP="00C875E7">
            <w:pPr>
              <w:jc w:val="center"/>
              <w:rPr>
                <w:rFonts w:ascii="Times New Roman" w:eastAsia="Times New Roman" w:hAnsi="Times New Roman" w:cs="Times New Roman"/>
                <w:b/>
                <w:sz w:val="22"/>
                <w:szCs w:val="22"/>
                <w:lang w:val="en-US"/>
              </w:rPr>
            </w:pPr>
          </w:p>
        </w:tc>
        <w:tc>
          <w:tcPr>
            <w:tcW w:w="1117" w:type="dxa"/>
            <w:tcBorders>
              <w:right w:val="single" w:sz="4" w:space="0" w:color="auto"/>
            </w:tcBorders>
            <w:vAlign w:val="center"/>
          </w:tcPr>
          <w:p w14:paraId="214CDF21" w14:textId="77777777" w:rsidR="009E1DB1" w:rsidRPr="009E1DB1" w:rsidRDefault="009E1DB1" w:rsidP="00C875E7">
            <w:pPr>
              <w:jc w:val="center"/>
              <w:rPr>
                <w:rFonts w:ascii="Times New Roman" w:eastAsia="Times New Roman" w:hAnsi="Times New Roman" w:cs="Times New Roman"/>
                <w:i/>
                <w:sz w:val="22"/>
                <w:szCs w:val="22"/>
                <w:lang w:val="en-US"/>
              </w:rPr>
            </w:pPr>
          </w:p>
        </w:tc>
        <w:tc>
          <w:tcPr>
            <w:tcW w:w="1891" w:type="dxa"/>
            <w:tcBorders>
              <w:left w:val="single" w:sz="4" w:space="0" w:color="auto"/>
            </w:tcBorders>
            <w:shd w:val="clear" w:color="auto" w:fill="auto"/>
            <w:noWrap/>
            <w:vAlign w:val="center"/>
          </w:tcPr>
          <w:p w14:paraId="1D18C863" w14:textId="77777777" w:rsidR="009E1DB1" w:rsidRPr="009E1DB1" w:rsidRDefault="009E1DB1" w:rsidP="00C875E7">
            <w:pPr>
              <w:jc w:val="center"/>
              <w:rPr>
                <w:rFonts w:ascii="Times New Roman" w:eastAsia="Times New Roman" w:hAnsi="Times New Roman" w:cs="Times New Roman"/>
                <w:b/>
                <w:sz w:val="22"/>
                <w:szCs w:val="22"/>
                <w:lang w:val="en-US"/>
              </w:rPr>
            </w:pPr>
          </w:p>
        </w:tc>
        <w:tc>
          <w:tcPr>
            <w:tcW w:w="1060" w:type="dxa"/>
            <w:tcBorders>
              <w:right w:val="single" w:sz="4" w:space="0" w:color="auto"/>
            </w:tcBorders>
            <w:shd w:val="clear" w:color="auto" w:fill="auto"/>
            <w:noWrap/>
            <w:vAlign w:val="center"/>
          </w:tcPr>
          <w:p w14:paraId="5ACC37CF" w14:textId="77777777" w:rsidR="009E1DB1" w:rsidRPr="009E1DB1" w:rsidRDefault="009E1DB1" w:rsidP="00C875E7">
            <w:pPr>
              <w:jc w:val="center"/>
              <w:rPr>
                <w:rFonts w:ascii="Times New Roman" w:eastAsia="Times New Roman" w:hAnsi="Times New Roman" w:cs="Times New Roman"/>
                <w:b/>
                <w:sz w:val="22"/>
                <w:szCs w:val="22"/>
                <w:lang w:val="en-US"/>
              </w:rPr>
            </w:pPr>
          </w:p>
        </w:tc>
        <w:tc>
          <w:tcPr>
            <w:tcW w:w="2413" w:type="dxa"/>
            <w:gridSpan w:val="2"/>
            <w:tcBorders>
              <w:left w:val="single" w:sz="4" w:space="0" w:color="auto"/>
              <w:right w:val="single" w:sz="4" w:space="0" w:color="auto"/>
            </w:tcBorders>
            <w:shd w:val="clear" w:color="auto" w:fill="auto"/>
            <w:noWrap/>
            <w:vAlign w:val="center"/>
          </w:tcPr>
          <w:p w14:paraId="6785E2BA" w14:textId="77777777" w:rsidR="009E1DB1" w:rsidRPr="009E1DB1" w:rsidRDefault="009E1DB1" w:rsidP="00C875E7">
            <w:pPr>
              <w:jc w:val="center"/>
              <w:rPr>
                <w:rFonts w:ascii="Times New Roman" w:eastAsia="Times New Roman" w:hAnsi="Times New Roman" w:cs="Times New Roman"/>
                <w:b/>
                <w:sz w:val="22"/>
                <w:szCs w:val="22"/>
                <w:lang w:val="en-US"/>
              </w:rPr>
            </w:pPr>
          </w:p>
        </w:tc>
      </w:tr>
      <w:tr w:rsidR="009E1DB1" w:rsidRPr="009E1DB1" w14:paraId="06C37544" w14:textId="77777777" w:rsidTr="00C875E7">
        <w:trPr>
          <w:trHeight w:val="280"/>
          <w:jc w:val="center"/>
        </w:trPr>
        <w:tc>
          <w:tcPr>
            <w:tcW w:w="1554" w:type="dxa"/>
            <w:tcBorders>
              <w:right w:val="single" w:sz="4" w:space="0" w:color="auto"/>
            </w:tcBorders>
            <w:vAlign w:val="center"/>
          </w:tcPr>
          <w:p w14:paraId="47441C0B"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Eifel</w:t>
            </w:r>
          </w:p>
        </w:tc>
        <w:tc>
          <w:tcPr>
            <w:tcW w:w="1117" w:type="dxa"/>
            <w:tcBorders>
              <w:right w:val="single" w:sz="4" w:space="0" w:color="auto"/>
            </w:tcBorders>
            <w:vAlign w:val="center"/>
          </w:tcPr>
          <w:p w14:paraId="1AF4A552" w14:textId="77777777" w:rsidR="009E1DB1" w:rsidRPr="009E1DB1" w:rsidRDefault="009E1DB1" w:rsidP="00C875E7">
            <w:pPr>
              <w:jc w:val="center"/>
              <w:rPr>
                <w:rFonts w:ascii="Times New Roman" w:eastAsia="Times New Roman" w:hAnsi="Times New Roman" w:cs="Times New Roman"/>
                <w:i/>
                <w:sz w:val="22"/>
                <w:szCs w:val="22"/>
                <w:lang w:val="en-US"/>
              </w:rPr>
            </w:pPr>
            <w:r w:rsidRPr="009E1DB1">
              <w:rPr>
                <w:rFonts w:ascii="Times New Roman" w:eastAsia="Times New Roman" w:hAnsi="Times New Roman" w:cs="Times New Roman"/>
                <w:i/>
                <w:sz w:val="22"/>
                <w:szCs w:val="22"/>
                <w:lang w:val="en-US"/>
              </w:rPr>
              <w:t>this study</w:t>
            </w:r>
          </w:p>
        </w:tc>
        <w:tc>
          <w:tcPr>
            <w:tcW w:w="1891" w:type="dxa"/>
            <w:tcBorders>
              <w:left w:val="single" w:sz="4" w:space="0" w:color="auto"/>
            </w:tcBorders>
            <w:shd w:val="clear" w:color="auto" w:fill="auto"/>
            <w:noWrap/>
            <w:vAlign w:val="center"/>
          </w:tcPr>
          <w:p w14:paraId="3676EDAB"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0.44</w:t>
            </w:r>
          </w:p>
        </w:tc>
        <w:tc>
          <w:tcPr>
            <w:tcW w:w="1060" w:type="dxa"/>
            <w:tcBorders>
              <w:right w:val="single" w:sz="4" w:space="0" w:color="auto"/>
            </w:tcBorders>
            <w:shd w:val="clear" w:color="auto" w:fill="auto"/>
            <w:noWrap/>
            <w:vAlign w:val="center"/>
          </w:tcPr>
          <w:p w14:paraId="0B88796A"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2.7x10</w:t>
            </w:r>
            <w:r w:rsidRPr="009E1DB1">
              <w:rPr>
                <w:rFonts w:ascii="Times New Roman" w:eastAsia="Times New Roman" w:hAnsi="Times New Roman" w:cs="Times New Roman"/>
                <w:b/>
                <w:sz w:val="22"/>
                <w:szCs w:val="22"/>
                <w:vertAlign w:val="superscript"/>
                <w:lang w:val="en-US"/>
              </w:rPr>
              <w:t>-5</w:t>
            </w:r>
          </w:p>
        </w:tc>
        <w:tc>
          <w:tcPr>
            <w:tcW w:w="1353" w:type="dxa"/>
            <w:tcBorders>
              <w:left w:val="single" w:sz="4" w:space="0" w:color="auto"/>
            </w:tcBorders>
            <w:shd w:val="clear" w:color="auto" w:fill="auto"/>
            <w:noWrap/>
            <w:vAlign w:val="center"/>
          </w:tcPr>
          <w:p w14:paraId="0DA68524"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382.13</w:t>
            </w:r>
          </w:p>
        </w:tc>
        <w:tc>
          <w:tcPr>
            <w:tcW w:w="1060" w:type="dxa"/>
            <w:tcBorders>
              <w:right w:val="single" w:sz="4" w:space="0" w:color="auto"/>
            </w:tcBorders>
            <w:shd w:val="clear" w:color="auto" w:fill="auto"/>
            <w:noWrap/>
            <w:vAlign w:val="center"/>
          </w:tcPr>
          <w:p w14:paraId="484E814E" w14:textId="77777777" w:rsidR="009E1DB1" w:rsidRPr="009E1DB1" w:rsidRDefault="009E1DB1" w:rsidP="00C875E7">
            <w:pPr>
              <w:jc w:val="center"/>
              <w:rPr>
                <w:rFonts w:ascii="Times New Roman" w:eastAsia="Times New Roman" w:hAnsi="Times New Roman" w:cs="Times New Roman"/>
                <w:b/>
                <w:sz w:val="22"/>
                <w:szCs w:val="22"/>
                <w:lang w:val="en-US"/>
              </w:rPr>
            </w:pPr>
            <w:r w:rsidRPr="009E1DB1">
              <w:rPr>
                <w:rFonts w:ascii="Times New Roman" w:eastAsia="Times New Roman" w:hAnsi="Times New Roman" w:cs="Times New Roman"/>
                <w:b/>
                <w:sz w:val="22"/>
                <w:szCs w:val="22"/>
                <w:lang w:val="en-US"/>
              </w:rPr>
              <w:t>2.41</w:t>
            </w:r>
          </w:p>
        </w:tc>
      </w:tr>
    </w:tbl>
    <w:p w14:paraId="137662B6" w14:textId="77777777" w:rsidR="009E1DB1" w:rsidRPr="009E1DB1" w:rsidRDefault="009E1DB1" w:rsidP="009E1DB1">
      <w:pPr>
        <w:pStyle w:val="Normal1"/>
        <w:spacing w:line="360" w:lineRule="auto"/>
        <w:jc w:val="both"/>
        <w:rPr>
          <w:rFonts w:ascii="Times New Roman" w:hAnsi="Times New Roman" w:cs="Times New Roman"/>
          <w:b/>
          <w:sz w:val="22"/>
          <w:szCs w:val="22"/>
          <w:lang w:val="en-US"/>
        </w:rPr>
      </w:pPr>
    </w:p>
    <w:p w14:paraId="3FB58BA7" w14:textId="5A1FF80D" w:rsidR="009E1DB1" w:rsidRPr="009E1DB1" w:rsidRDefault="009E1DB1" w:rsidP="009E1DB1">
      <w:pPr>
        <w:pStyle w:val="Normal1"/>
        <w:spacing w:line="276" w:lineRule="auto"/>
        <w:jc w:val="both"/>
        <w:rPr>
          <w:rFonts w:ascii="Times New Roman" w:hAnsi="Times New Roman" w:cs="Times New Roman"/>
          <w:sz w:val="22"/>
          <w:szCs w:val="22"/>
          <w:lang w:val="en-US"/>
        </w:rPr>
      </w:pPr>
      <w:r w:rsidRPr="009E1DB1">
        <w:rPr>
          <w:rFonts w:ascii="Times New Roman" w:hAnsi="Times New Roman" w:cs="Times New Roman"/>
          <w:b/>
          <w:sz w:val="22"/>
          <w:szCs w:val="22"/>
          <w:lang w:val="en-US"/>
        </w:rPr>
        <w:t>Table S2b: Deconvolution of mantle-derived Xe isotope data reported in this study (</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Pu</w:t>
      </w:r>
      <w:r w:rsidRPr="009E1DB1">
        <w:rPr>
          <w:rFonts w:ascii="Times New Roman" w:eastAsia="Times New Roman" w:hAnsi="Times New Roman" w:cs="Times New Roman"/>
          <w:b/>
          <w:sz w:val="22"/>
          <w:szCs w:val="22"/>
          <w:lang w:val="en-US"/>
        </w:rPr>
        <w:t>/</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TF</w:t>
      </w:r>
      <w:r w:rsidRPr="009E1DB1">
        <w:rPr>
          <w:rFonts w:ascii="Times New Roman" w:eastAsia="Times New Roman" w:hAnsi="Times New Roman" w:cs="Times New Roman"/>
          <w:b/>
          <w:sz w:val="22"/>
          <w:szCs w:val="22"/>
          <w:lang w:val="en-US"/>
        </w:rPr>
        <w:t xml:space="preserve"> and </w:t>
      </w:r>
      <w:r w:rsidRPr="009E1DB1">
        <w:rPr>
          <w:rFonts w:ascii="Times New Roman" w:eastAsia="Times New Roman" w:hAnsi="Times New Roman" w:cs="Times New Roman"/>
          <w:b/>
          <w:sz w:val="22"/>
          <w:szCs w:val="22"/>
          <w:vertAlign w:val="superscript"/>
          <w:lang w:val="en-US"/>
        </w:rPr>
        <w:t>129</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I</w:t>
      </w:r>
      <w:r w:rsidRPr="009E1DB1">
        <w:rPr>
          <w:rFonts w:ascii="Times New Roman" w:eastAsia="Times New Roman" w:hAnsi="Times New Roman" w:cs="Times New Roman"/>
          <w:b/>
          <w:sz w:val="22"/>
          <w:szCs w:val="22"/>
          <w:lang w:val="en-US"/>
        </w:rPr>
        <w:t>/</w:t>
      </w:r>
      <w:r w:rsidRPr="009E1DB1">
        <w:rPr>
          <w:rFonts w:ascii="Times New Roman" w:eastAsia="Times New Roman" w:hAnsi="Times New Roman" w:cs="Times New Roman"/>
          <w:b/>
          <w:sz w:val="22"/>
          <w:szCs w:val="22"/>
          <w:vertAlign w:val="superscript"/>
          <w:lang w:val="en-US"/>
        </w:rPr>
        <w:t>136</w:t>
      </w:r>
      <w:r w:rsidRPr="009E1DB1">
        <w:rPr>
          <w:rFonts w:ascii="Times New Roman" w:eastAsia="Times New Roman" w:hAnsi="Times New Roman" w:cs="Times New Roman"/>
          <w:b/>
          <w:sz w:val="22"/>
          <w:szCs w:val="22"/>
          <w:lang w:val="en-US"/>
        </w:rPr>
        <w:t>Xe</w:t>
      </w:r>
      <w:r w:rsidRPr="009E1DB1">
        <w:rPr>
          <w:rFonts w:ascii="Times New Roman" w:eastAsia="Times New Roman" w:hAnsi="Times New Roman" w:cs="Times New Roman"/>
          <w:b/>
          <w:sz w:val="22"/>
          <w:szCs w:val="22"/>
          <w:vertAlign w:val="subscript"/>
          <w:lang w:val="en-US"/>
        </w:rPr>
        <w:t>Pu</w:t>
      </w:r>
      <w:r w:rsidRPr="009E1DB1">
        <w:rPr>
          <w:rFonts w:ascii="Times New Roman" w:hAnsi="Times New Roman" w:cs="Times New Roman"/>
          <w:b/>
          <w:sz w:val="22"/>
          <w:szCs w:val="22"/>
          <w:lang w:val="en-US"/>
        </w:rPr>
        <w:t xml:space="preserve">) </w:t>
      </w:r>
      <w:r w:rsidRPr="009E1DB1">
        <w:rPr>
          <w:rFonts w:ascii="Times New Roman" w:hAnsi="Times New Roman" w:cs="Times New Roman"/>
          <w:sz w:val="22"/>
          <w:szCs w:val="22"/>
          <w:lang w:val="en-US"/>
        </w:rPr>
        <w:t xml:space="preserve">using numerical approach by </w:t>
      </w:r>
      <w:r w:rsidRPr="009E1DB1">
        <w:rPr>
          <w:rFonts w:ascii="Times New Roman" w:eastAsia="Times New Roman" w:hAnsi="Times New Roman" w:cs="Times New Roman"/>
          <w:color w:val="222222"/>
          <w:sz w:val="22"/>
          <w:szCs w:val="22"/>
          <w:lang w:val="en-US"/>
        </w:rPr>
        <w:t xml:space="preserve">Parai &amp; </w:t>
      </w:r>
      <w:r w:rsidRPr="009E1DB1">
        <w:rPr>
          <w:rFonts w:ascii="Times New Roman" w:eastAsia="Times New Roman" w:hAnsi="Times New Roman" w:cs="Times New Roman"/>
          <w:sz w:val="22"/>
          <w:szCs w:val="22"/>
          <w:lang w:val="en-US"/>
        </w:rPr>
        <w:t>Mukhopadhyay (2015)</w:t>
      </w:r>
      <w:r w:rsidRPr="009E1DB1">
        <w:rPr>
          <w:rFonts w:ascii="Times New Roman" w:eastAsia="Times New Roman" w:hAnsi="Times New Roman" w:cs="Times New Roman"/>
          <w:sz w:val="22"/>
          <w:szCs w:val="22"/>
          <w:lang w:val="en-US"/>
        </w:rPr>
        <w:fldChar w:fldCharType="begin" w:fldLock="1"/>
      </w:r>
      <w:r w:rsidRPr="009E1DB1">
        <w:rPr>
          <w:rFonts w:ascii="Times New Roman" w:eastAsia="Times New Roman" w:hAnsi="Times New Roman" w:cs="Times New Roman"/>
          <w:sz w:val="22"/>
          <w:szCs w:val="22"/>
          <w:lang w:val="en-US"/>
        </w:rPr>
        <w:instrText>ADDIN CSL_CITATION {"citationItems":[{"id":"ITEM-1","itemData":{"author":[{"dropping-particle":"","family":"Parai","given":"Rita","non-dropping-particle":"","parse-names":false,"suffix":""},{"dropping-particle":"","family":"Mukhopadhyay","given":"Sujoy","non-dropping-particle":"","parse-names":false,"suffix":""}],"container-title":"Geochemistry Geophysics Geosystems","id":"ITEM-1","issued":{"date-parts":[["2015"]]},"page":"719-735","title":"The evolution of MORB and plume mantle volatile budgets: Constraints from fission Xe isotopes in Southwest Indian Ridge basalts","type":"article-journal","volume":"16"},"uris":["http://www.mendeley.com/documents/?uuid=df7954a5-5904-462e-9e9b-e1e2bbc70d40"]}],"mendeley":{"formattedCitation":"&lt;sup&gt;26&lt;/sup&gt;","plainTextFormattedCitation":"26","previouslyFormattedCitation":"&lt;sup&gt;26&lt;/sup&gt;"},"properties":{"noteIndex":0},"schema":"https://github.com/citation-style-language/schema/raw/master/csl-citation.json"}</w:instrText>
      </w:r>
      <w:r w:rsidRPr="009E1DB1">
        <w:rPr>
          <w:rFonts w:ascii="Times New Roman" w:eastAsia="Times New Roman" w:hAnsi="Times New Roman" w:cs="Times New Roman"/>
          <w:sz w:val="22"/>
          <w:szCs w:val="22"/>
          <w:lang w:val="en-US"/>
        </w:rPr>
        <w:fldChar w:fldCharType="separate"/>
      </w:r>
      <w:r w:rsidRPr="009E1DB1">
        <w:rPr>
          <w:rFonts w:ascii="Times New Roman" w:eastAsia="Times New Roman" w:hAnsi="Times New Roman" w:cs="Times New Roman"/>
          <w:noProof/>
          <w:sz w:val="22"/>
          <w:szCs w:val="22"/>
          <w:vertAlign w:val="superscript"/>
          <w:lang w:val="en-US"/>
        </w:rPr>
        <w:t>26</w:t>
      </w:r>
      <w:r w:rsidRPr="009E1DB1">
        <w:rPr>
          <w:rFonts w:ascii="Times New Roman" w:eastAsia="Times New Roman" w:hAnsi="Times New Roman" w:cs="Times New Roman"/>
          <w:sz w:val="22"/>
          <w:szCs w:val="22"/>
          <w:lang w:val="en-US"/>
        </w:rPr>
        <w:fldChar w:fldCharType="end"/>
      </w:r>
      <w:r w:rsidRPr="009E1DB1">
        <w:rPr>
          <w:rFonts w:ascii="Times New Roman" w:hAnsi="Times New Roman" w:cs="Times New Roman"/>
          <w:sz w:val="22"/>
          <w:szCs w:val="22"/>
          <w:lang w:val="en-US"/>
        </w:rPr>
        <w:t xml:space="preserve">, excluding </w:t>
      </w:r>
      <w:r w:rsidRPr="009E1DB1">
        <w:rPr>
          <w:rFonts w:ascii="Times New Roman" w:hAnsi="Times New Roman" w:cs="Times New Roman"/>
          <w:sz w:val="22"/>
          <w:szCs w:val="22"/>
          <w:vertAlign w:val="superscript"/>
          <w:lang w:val="en-US"/>
        </w:rPr>
        <w:t>128</w:t>
      </w:r>
      <w:r w:rsidRPr="009E1DB1">
        <w:rPr>
          <w:rFonts w:ascii="Times New Roman" w:hAnsi="Times New Roman" w:cs="Times New Roman"/>
          <w:sz w:val="22"/>
          <w:szCs w:val="22"/>
          <w:lang w:val="en-US"/>
        </w:rPr>
        <w:t>Xe for consistency with previous studies. The Gaussian distribution of output data (</w:t>
      </w:r>
      <w:r w:rsidRPr="009E1DB1">
        <w:rPr>
          <w:rFonts w:ascii="Times New Roman" w:hAnsi="Times New Roman" w:cs="Times New Roman"/>
          <w:b/>
          <w:bCs/>
          <w:sz w:val="22"/>
          <w:szCs w:val="22"/>
          <w:lang w:val="en-US"/>
        </w:rPr>
        <w:t>Figure S6 and S7</w:t>
      </w:r>
      <w:r w:rsidRPr="009E1DB1">
        <w:rPr>
          <w:rFonts w:ascii="Times New Roman" w:hAnsi="Times New Roman" w:cs="Times New Roman"/>
          <w:sz w:val="22"/>
          <w:szCs w:val="22"/>
          <w:lang w:val="en-US"/>
        </w:rPr>
        <w:t xml:space="preserve">) allows for uncertainties to be given at </w:t>
      </w:r>
      <w:r w:rsidRPr="009E1DB1">
        <w:rPr>
          <w:rFonts w:ascii="Times New Roman" w:eastAsia="Times New Roman" w:hAnsi="Times New Roman" w:cs="Times New Roman"/>
          <w:sz w:val="22"/>
          <w:szCs w:val="22"/>
          <w:lang w:val="en-US"/>
        </w:rPr>
        <w:t>1σ.</w:t>
      </w:r>
    </w:p>
    <w:p w14:paraId="12601308" w14:textId="77777777" w:rsidR="009E1DB1" w:rsidRDefault="009E1DB1" w:rsidP="00C938E9">
      <w:pPr>
        <w:pStyle w:val="Normal1"/>
        <w:spacing w:line="276" w:lineRule="auto"/>
        <w:jc w:val="both"/>
        <w:rPr>
          <w:rFonts w:ascii="Times New Roman" w:hAnsi="Times New Roman" w:cs="Times New Roman"/>
          <w:sz w:val="22"/>
          <w:lang w:val="en-US"/>
        </w:rPr>
      </w:pPr>
    </w:p>
    <w:p w14:paraId="18C46CD9" w14:textId="091EA008" w:rsidR="00153193" w:rsidRPr="005A411A" w:rsidRDefault="00153193" w:rsidP="005A411A">
      <w:pPr>
        <w:pStyle w:val="Normal1"/>
        <w:spacing w:line="276" w:lineRule="auto"/>
        <w:jc w:val="both"/>
        <w:rPr>
          <w:rFonts w:ascii="Times New Roman" w:eastAsia="Times New Roman" w:hAnsi="Times New Roman" w:cs="Times New Roman"/>
          <w:sz w:val="22"/>
          <w:szCs w:val="22"/>
          <w:lang w:val="en-US"/>
        </w:rPr>
      </w:pPr>
      <w:r w:rsidRPr="0084570B">
        <w:rPr>
          <w:rFonts w:ascii="Times New Roman" w:hAnsi="Times New Roman" w:cs="Times New Roman"/>
          <w:sz w:val="22"/>
          <w:lang w:val="en-US"/>
        </w:rPr>
        <w:br w:type="page"/>
      </w:r>
    </w:p>
    <w:p w14:paraId="69AF2072" w14:textId="77777777" w:rsidR="00153193" w:rsidRPr="0084570B" w:rsidRDefault="00153193" w:rsidP="00153193">
      <w:pPr>
        <w:pStyle w:val="Normal1"/>
        <w:spacing w:line="276"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lastRenderedPageBreak/>
        <w:drawing>
          <wp:inline distT="0" distB="0" distL="0" distR="0" wp14:anchorId="453457C2" wp14:editId="041792EF">
            <wp:extent cx="2757267" cy="3412567"/>
            <wp:effectExtent l="0" t="0" r="0"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58197" cy="3413717"/>
                    </a:xfrm>
                    <a:prstGeom prst="rect">
                      <a:avLst/>
                    </a:prstGeom>
                    <a:noFill/>
                    <a:ln>
                      <a:noFill/>
                    </a:ln>
                  </pic:spPr>
                </pic:pic>
              </a:graphicData>
            </a:graphic>
          </wp:inline>
        </w:drawing>
      </w:r>
    </w:p>
    <w:p w14:paraId="7E7CA820" w14:textId="77777777" w:rsidR="00153193" w:rsidRPr="0084570B" w:rsidRDefault="00153193" w:rsidP="00153193">
      <w:pPr>
        <w:pStyle w:val="Normal1"/>
        <w:spacing w:line="276" w:lineRule="auto"/>
        <w:jc w:val="both"/>
        <w:rPr>
          <w:rFonts w:ascii="Times New Roman" w:eastAsia="Times New Roman" w:hAnsi="Times New Roman" w:cs="Times New Roman"/>
          <w:sz w:val="22"/>
          <w:szCs w:val="22"/>
          <w:lang w:val="en-US"/>
        </w:rPr>
      </w:pPr>
    </w:p>
    <w:p w14:paraId="0293C70F" w14:textId="0D0FF528" w:rsidR="00FA2ECF" w:rsidRPr="00360EB0" w:rsidRDefault="00832649" w:rsidP="00360EB0">
      <w:pPr>
        <w:pStyle w:val="Normal1"/>
        <w:spacing w:line="276" w:lineRule="auto"/>
        <w:jc w:val="both"/>
        <w:rPr>
          <w:rFonts w:ascii="Times New Roman" w:hAnsi="Times New Roman" w:cs="Times New Roman"/>
          <w:b/>
          <w:sz w:val="22"/>
          <w:lang w:val="en-US"/>
        </w:rPr>
      </w:pPr>
      <w:r w:rsidRPr="0084570B">
        <w:rPr>
          <w:rFonts w:ascii="Times New Roman" w:eastAsia="Times New Roman" w:hAnsi="Times New Roman" w:cs="Times New Roman"/>
          <w:b/>
          <w:sz w:val="22"/>
          <w:szCs w:val="22"/>
          <w:lang w:val="en-US"/>
        </w:rPr>
        <w:t>Figure S8</w:t>
      </w:r>
      <w:r w:rsidR="00153193" w:rsidRPr="0084570B">
        <w:rPr>
          <w:rFonts w:ascii="Times New Roman" w:eastAsia="Times New Roman" w:hAnsi="Times New Roman" w:cs="Times New Roman"/>
          <w:b/>
          <w:sz w:val="22"/>
          <w:szCs w:val="22"/>
          <w:lang w:val="en-US"/>
        </w:rPr>
        <w:t>. Deconvolution of radiogenic and fissiogenic Xe isotopes for Mt. Etna, Eifel, convecting "upper" man</w:t>
      </w:r>
      <w:r w:rsidR="00153193" w:rsidRPr="0084570B">
        <w:rPr>
          <w:rFonts w:ascii="Times New Roman" w:eastAsia="Times New Roman" w:hAnsi="Times New Roman" w:cs="Times New Roman"/>
          <w:b/>
          <w:color w:val="222222"/>
          <w:sz w:val="22"/>
          <w:szCs w:val="22"/>
          <w:lang w:val="en-US"/>
        </w:rPr>
        <w:t>tle (UM), and primitive lower mantle (or plume mantle, PLM) samples (Table S2). (a)</w:t>
      </w:r>
      <w:r w:rsidR="00153193" w:rsidRPr="0084570B">
        <w:rPr>
          <w:rFonts w:ascii="Times New Roman" w:eastAsia="Times New Roman" w:hAnsi="Times New Roman" w:cs="Times New Roman"/>
          <w:color w:val="222222"/>
          <w:sz w:val="22"/>
          <w:szCs w:val="22"/>
          <w:lang w:val="en-US"/>
        </w:rPr>
        <w:t xml:space="preserve"> Variations of the </w:t>
      </w:r>
      <w:r w:rsidR="00153193" w:rsidRPr="0084570B">
        <w:rPr>
          <w:rFonts w:ascii="Times New Roman" w:eastAsia="Times New Roman" w:hAnsi="Times New Roman" w:cs="Times New Roman"/>
          <w:sz w:val="22"/>
          <w:szCs w:val="22"/>
          <w:vertAlign w:val="superscript"/>
          <w:lang w:val="en-US"/>
        </w:rPr>
        <w:t>136</w:t>
      </w:r>
      <w:r w:rsidR="00153193" w:rsidRPr="0084570B">
        <w:rPr>
          <w:rFonts w:ascii="Times New Roman" w:eastAsia="Times New Roman" w:hAnsi="Times New Roman" w:cs="Times New Roman"/>
          <w:sz w:val="22"/>
          <w:szCs w:val="22"/>
          <w:lang w:val="en-US"/>
        </w:rPr>
        <w:t>Xe</w:t>
      </w:r>
      <w:r w:rsidR="00153193" w:rsidRPr="0084570B">
        <w:rPr>
          <w:rFonts w:ascii="Times New Roman" w:eastAsia="Times New Roman" w:hAnsi="Times New Roman" w:cs="Times New Roman"/>
          <w:sz w:val="22"/>
          <w:szCs w:val="22"/>
          <w:vertAlign w:val="subscript"/>
          <w:lang w:val="en-US"/>
        </w:rPr>
        <w:t>Pu</w:t>
      </w:r>
      <w:r w:rsidR="00153193" w:rsidRPr="0084570B">
        <w:rPr>
          <w:rFonts w:ascii="Times New Roman" w:eastAsia="Times New Roman" w:hAnsi="Times New Roman" w:cs="Times New Roman"/>
          <w:sz w:val="22"/>
          <w:szCs w:val="22"/>
          <w:lang w:val="en-US"/>
        </w:rPr>
        <w:t>/</w:t>
      </w:r>
      <w:r w:rsidR="00153193" w:rsidRPr="0084570B">
        <w:rPr>
          <w:rFonts w:ascii="Times New Roman" w:eastAsia="Times New Roman" w:hAnsi="Times New Roman" w:cs="Times New Roman"/>
          <w:sz w:val="22"/>
          <w:szCs w:val="22"/>
          <w:vertAlign w:val="superscript"/>
          <w:lang w:val="en-US"/>
        </w:rPr>
        <w:t>136</w:t>
      </w:r>
      <w:r w:rsidR="00153193" w:rsidRPr="0084570B">
        <w:rPr>
          <w:rFonts w:ascii="Times New Roman" w:eastAsia="Times New Roman" w:hAnsi="Times New Roman" w:cs="Times New Roman"/>
          <w:sz w:val="22"/>
          <w:szCs w:val="22"/>
          <w:lang w:val="en-US"/>
        </w:rPr>
        <w:t>Xe</w:t>
      </w:r>
      <w:r w:rsidR="00153193" w:rsidRPr="0084570B">
        <w:rPr>
          <w:rFonts w:ascii="Times New Roman" w:eastAsia="Times New Roman" w:hAnsi="Times New Roman" w:cs="Times New Roman"/>
          <w:sz w:val="22"/>
          <w:szCs w:val="22"/>
          <w:vertAlign w:val="subscript"/>
          <w:lang w:val="en-US"/>
        </w:rPr>
        <w:t>TF</w:t>
      </w:r>
      <w:r w:rsidR="00153193" w:rsidRPr="0084570B">
        <w:rPr>
          <w:rFonts w:ascii="Times New Roman" w:eastAsia="Times New Roman" w:hAnsi="Times New Roman" w:cs="Times New Roman"/>
          <w:color w:val="222222"/>
          <w:sz w:val="22"/>
          <w:szCs w:val="22"/>
          <w:lang w:val="en-US"/>
        </w:rPr>
        <w:t xml:space="preserve"> are considered to reflect the long-term degassing history of a mantle reservoir: a less-degassed reservoir would retain more of the Xe generated by </w:t>
      </w:r>
      <w:r w:rsidR="00153193" w:rsidRPr="0084570B">
        <w:rPr>
          <w:rFonts w:ascii="Times New Roman" w:eastAsia="Times New Roman" w:hAnsi="Times New Roman" w:cs="Times New Roman"/>
          <w:color w:val="222222"/>
          <w:sz w:val="22"/>
          <w:szCs w:val="22"/>
          <w:vertAlign w:val="superscript"/>
          <w:lang w:val="en-US"/>
        </w:rPr>
        <w:t>244</w:t>
      </w:r>
      <w:r w:rsidR="00153193" w:rsidRPr="0084570B">
        <w:rPr>
          <w:rFonts w:ascii="Times New Roman" w:eastAsia="Times New Roman" w:hAnsi="Times New Roman" w:cs="Times New Roman"/>
          <w:color w:val="222222"/>
          <w:sz w:val="22"/>
          <w:szCs w:val="22"/>
          <w:lang w:val="en-US"/>
        </w:rPr>
        <w:t xml:space="preserve">Pu fission in the first ~500 Myr of Earth history. Plume sources are typically characterized by high </w:t>
      </w:r>
      <w:r w:rsidR="00153193" w:rsidRPr="0084570B">
        <w:rPr>
          <w:rFonts w:ascii="Times New Roman" w:eastAsia="Times New Roman" w:hAnsi="Times New Roman" w:cs="Times New Roman"/>
          <w:sz w:val="22"/>
          <w:szCs w:val="22"/>
          <w:vertAlign w:val="superscript"/>
          <w:lang w:val="en-US"/>
        </w:rPr>
        <w:t>136</w:t>
      </w:r>
      <w:r w:rsidR="00153193" w:rsidRPr="0084570B">
        <w:rPr>
          <w:rFonts w:ascii="Times New Roman" w:eastAsia="Times New Roman" w:hAnsi="Times New Roman" w:cs="Times New Roman"/>
          <w:sz w:val="22"/>
          <w:szCs w:val="22"/>
          <w:lang w:val="en-US"/>
        </w:rPr>
        <w:t>Xe</w:t>
      </w:r>
      <w:r w:rsidR="00153193" w:rsidRPr="0084570B">
        <w:rPr>
          <w:rFonts w:ascii="Times New Roman" w:eastAsia="Times New Roman" w:hAnsi="Times New Roman" w:cs="Times New Roman"/>
          <w:sz w:val="22"/>
          <w:szCs w:val="22"/>
          <w:vertAlign w:val="subscript"/>
          <w:lang w:val="en-US"/>
        </w:rPr>
        <w:t>Pu</w:t>
      </w:r>
      <w:r w:rsidR="00153193" w:rsidRPr="0084570B">
        <w:rPr>
          <w:rFonts w:ascii="Times New Roman" w:eastAsia="Times New Roman" w:hAnsi="Times New Roman" w:cs="Times New Roman"/>
          <w:sz w:val="22"/>
          <w:szCs w:val="22"/>
          <w:lang w:val="en-US"/>
        </w:rPr>
        <w:t>/</w:t>
      </w:r>
      <w:r w:rsidR="00153193" w:rsidRPr="0084570B">
        <w:rPr>
          <w:rFonts w:ascii="Times New Roman" w:eastAsia="Times New Roman" w:hAnsi="Times New Roman" w:cs="Times New Roman"/>
          <w:sz w:val="22"/>
          <w:szCs w:val="22"/>
          <w:vertAlign w:val="superscript"/>
          <w:lang w:val="en-US"/>
        </w:rPr>
        <w:t>136</w:t>
      </w:r>
      <w:r w:rsidR="00153193" w:rsidRPr="0084570B">
        <w:rPr>
          <w:rFonts w:ascii="Times New Roman" w:eastAsia="Times New Roman" w:hAnsi="Times New Roman" w:cs="Times New Roman"/>
          <w:sz w:val="22"/>
          <w:szCs w:val="22"/>
          <w:lang w:val="en-US"/>
        </w:rPr>
        <w:t>Xe</w:t>
      </w:r>
      <w:r w:rsidR="00153193" w:rsidRPr="0084570B">
        <w:rPr>
          <w:rFonts w:ascii="Times New Roman" w:eastAsia="Times New Roman" w:hAnsi="Times New Roman" w:cs="Times New Roman"/>
          <w:sz w:val="22"/>
          <w:szCs w:val="22"/>
          <w:vertAlign w:val="subscript"/>
          <w:lang w:val="en-US"/>
        </w:rPr>
        <w:t>TF</w:t>
      </w:r>
      <w:r w:rsidR="00153193" w:rsidRPr="0084570B">
        <w:rPr>
          <w:rFonts w:ascii="Times New Roman" w:eastAsia="Times New Roman" w:hAnsi="Times New Roman" w:cs="Times New Roman"/>
          <w:color w:val="222222"/>
          <w:sz w:val="22"/>
          <w:szCs w:val="22"/>
          <w:lang w:val="en-US"/>
        </w:rPr>
        <w:t xml:space="preserve">, indicating less long-term degassing than MORB mantle sources. </w:t>
      </w:r>
      <w:r w:rsidR="00153193" w:rsidRPr="0084570B">
        <w:rPr>
          <w:rFonts w:ascii="Times New Roman" w:eastAsia="Times New Roman" w:hAnsi="Times New Roman" w:cs="Times New Roman"/>
          <w:b/>
          <w:sz w:val="22"/>
          <w:szCs w:val="22"/>
          <w:lang w:val="en-US"/>
        </w:rPr>
        <w:t>(b)</w:t>
      </w:r>
      <w:r w:rsidR="00153193" w:rsidRPr="0084570B">
        <w:rPr>
          <w:rFonts w:ascii="Times New Roman" w:eastAsia="Times New Roman" w:hAnsi="Times New Roman" w:cs="Times New Roman"/>
          <w:sz w:val="22"/>
          <w:szCs w:val="22"/>
          <w:lang w:val="en-US"/>
        </w:rPr>
        <w:t xml:space="preserve"> </w:t>
      </w:r>
      <w:r w:rsidR="00153193" w:rsidRPr="0084570B">
        <w:rPr>
          <w:rFonts w:ascii="Times New Roman" w:eastAsia="Times New Roman" w:hAnsi="Times New Roman" w:cs="Times New Roman"/>
          <w:sz w:val="22"/>
          <w:szCs w:val="22"/>
          <w:vertAlign w:val="superscript"/>
          <w:lang w:val="en-US"/>
        </w:rPr>
        <w:t>129</w:t>
      </w:r>
      <w:r w:rsidR="00153193" w:rsidRPr="0084570B">
        <w:rPr>
          <w:rFonts w:ascii="Times New Roman" w:eastAsia="Times New Roman" w:hAnsi="Times New Roman" w:cs="Times New Roman"/>
          <w:sz w:val="22"/>
          <w:szCs w:val="22"/>
          <w:lang w:val="en-US"/>
        </w:rPr>
        <w:t>Xe</w:t>
      </w:r>
      <w:r w:rsidR="00153193" w:rsidRPr="0084570B">
        <w:rPr>
          <w:rFonts w:ascii="Times New Roman" w:eastAsia="Times New Roman" w:hAnsi="Times New Roman" w:cs="Times New Roman"/>
          <w:sz w:val="22"/>
          <w:szCs w:val="22"/>
          <w:vertAlign w:val="subscript"/>
          <w:lang w:val="en-US"/>
        </w:rPr>
        <w:t>I</w:t>
      </w:r>
      <w:r w:rsidR="00153193" w:rsidRPr="0084570B">
        <w:rPr>
          <w:rFonts w:ascii="Times New Roman" w:eastAsia="Times New Roman" w:hAnsi="Times New Roman" w:cs="Times New Roman"/>
          <w:sz w:val="22"/>
          <w:szCs w:val="22"/>
          <w:lang w:val="en-US"/>
        </w:rPr>
        <w:t>/</w:t>
      </w:r>
      <w:r w:rsidR="00153193" w:rsidRPr="0084570B">
        <w:rPr>
          <w:rFonts w:ascii="Times New Roman" w:eastAsia="Times New Roman" w:hAnsi="Times New Roman" w:cs="Times New Roman"/>
          <w:sz w:val="22"/>
          <w:szCs w:val="22"/>
          <w:vertAlign w:val="superscript"/>
          <w:lang w:val="en-US"/>
        </w:rPr>
        <w:t>136</w:t>
      </w:r>
      <w:r w:rsidR="00153193" w:rsidRPr="0084570B">
        <w:rPr>
          <w:rFonts w:ascii="Times New Roman" w:eastAsia="Times New Roman" w:hAnsi="Times New Roman" w:cs="Times New Roman"/>
          <w:sz w:val="22"/>
          <w:szCs w:val="22"/>
          <w:lang w:val="en-US"/>
        </w:rPr>
        <w:t>Xe</w:t>
      </w:r>
      <w:r w:rsidR="00153193" w:rsidRPr="0084570B">
        <w:rPr>
          <w:rFonts w:ascii="Times New Roman" w:eastAsia="Times New Roman" w:hAnsi="Times New Roman" w:cs="Times New Roman"/>
          <w:sz w:val="22"/>
          <w:szCs w:val="22"/>
          <w:vertAlign w:val="subscript"/>
          <w:lang w:val="en-US"/>
        </w:rPr>
        <w:t>Pu</w:t>
      </w:r>
      <w:r w:rsidR="00153193" w:rsidRPr="0084570B">
        <w:rPr>
          <w:rFonts w:ascii="Times New Roman" w:eastAsia="Times New Roman" w:hAnsi="Times New Roman" w:cs="Times New Roman"/>
          <w:color w:val="222222"/>
          <w:sz w:val="22"/>
          <w:szCs w:val="22"/>
          <w:lang w:val="en-US"/>
        </w:rPr>
        <w:t xml:space="preserve"> variations are considered to reflect (i) accretionary heterogeneities (i.e., later addition of volatile-rich, high I/Pu chondritic material to the upper mantle), (ii) sequestration of I from the lower mantle into the core</w:t>
      </w:r>
      <w:r w:rsidR="00153193" w:rsidRPr="0084570B">
        <w:rPr>
          <w:rFonts w:ascii="Times New Roman" w:eastAsia="Times New Roman" w:hAnsi="Times New Roman" w:cs="Times New Roman"/>
          <w:color w:val="222222"/>
          <w:sz w:val="22"/>
          <w:szCs w:val="22"/>
          <w:lang w:val="en-US"/>
        </w:rPr>
        <w:fldChar w:fldCharType="begin" w:fldLock="1"/>
      </w:r>
      <w:r w:rsidR="00DB5D30" w:rsidRPr="0084570B">
        <w:rPr>
          <w:rFonts w:ascii="Times New Roman" w:eastAsia="Times New Roman" w:hAnsi="Times New Roman" w:cs="Times New Roman"/>
          <w:color w:val="222222"/>
          <w:sz w:val="22"/>
          <w:szCs w:val="22"/>
          <w:lang w:val="en-US"/>
        </w:rPr>
        <w:instrText>ADDIN CSL_CITATION {"citationItems":[{"id":"ITEM-1","itemData":{"DOI":"10.1038/nature25446","author":[{"dropping-particle":"","family":"Jackson","given":"Colin R M","non-dropping-particle":"","parse-names":false,"suffix":""},{"dropping-particle":"","family":"Bennett","given":"Neil R","non-dropping-particle":"","parse-names":false,"suffix":""},{"dropping-particle":"","family":"Du","given":"Zhixue","non-dropping-particle":"","parse-names":false,"suffix":""},{"dropping-particle":"","family":"Cottrell","given":"Elizabeth","non-dropping-particle":"","parse-names":false,"suffix":""},{"dropping-particle":"","family":"Fei","given":"Yingwei","non-dropping-particle":"","parse-names":false,"suffix":""}],"container-title":"Nature","id":"ITEM-1","issued":{"date-parts":[["2018"]]},"page":"491-494","publisher":"Nature Publishing Group","title":"Early episodes of high-pressure core formation preserved in plume mantle","type":"article-journal","volume":"553"},"uris":["http://www.mendeley.com/documents/?uuid=830fb3a1-c9ed-4312-89e8-952ff8fbed3d"]}],"mendeley":{"formattedCitation":"&lt;sup&gt;16&lt;/sup&gt;","plainTextFormattedCitation":"16","previouslyFormattedCitation":"&lt;sup&gt;16&lt;/sup&gt;"},"properties":{"noteIndex":0},"schema":"https://github.com/citation-style-language/schema/raw/master/csl-citation.json"}</w:instrText>
      </w:r>
      <w:r w:rsidR="00153193" w:rsidRPr="0084570B">
        <w:rPr>
          <w:rFonts w:ascii="Times New Roman" w:eastAsia="Times New Roman" w:hAnsi="Times New Roman" w:cs="Times New Roman"/>
          <w:color w:val="222222"/>
          <w:sz w:val="22"/>
          <w:szCs w:val="22"/>
          <w:lang w:val="en-US"/>
        </w:rPr>
        <w:fldChar w:fldCharType="separate"/>
      </w:r>
      <w:r w:rsidR="00DB5D30" w:rsidRPr="0084570B">
        <w:rPr>
          <w:rFonts w:ascii="Times New Roman" w:eastAsia="Times New Roman" w:hAnsi="Times New Roman" w:cs="Times New Roman"/>
          <w:noProof/>
          <w:color w:val="222222"/>
          <w:sz w:val="22"/>
          <w:szCs w:val="22"/>
          <w:vertAlign w:val="superscript"/>
          <w:lang w:val="en-US"/>
        </w:rPr>
        <w:t>16</w:t>
      </w:r>
      <w:r w:rsidR="00153193" w:rsidRPr="0084570B">
        <w:rPr>
          <w:rFonts w:ascii="Times New Roman" w:eastAsia="Times New Roman" w:hAnsi="Times New Roman" w:cs="Times New Roman"/>
          <w:color w:val="222222"/>
          <w:sz w:val="22"/>
          <w:szCs w:val="22"/>
          <w:lang w:val="en-US"/>
        </w:rPr>
        <w:fldChar w:fldCharType="end"/>
      </w:r>
      <w:r w:rsidR="00153193" w:rsidRPr="0084570B">
        <w:rPr>
          <w:rFonts w:ascii="Times New Roman" w:eastAsia="Times New Roman" w:hAnsi="Times New Roman" w:cs="Times New Roman"/>
          <w:color w:val="222222"/>
          <w:sz w:val="22"/>
          <w:szCs w:val="22"/>
          <w:lang w:val="en-US"/>
        </w:rPr>
        <w:t>, and/or (iii) rapid degassing of mantle volatiles to the surface</w:t>
      </w:r>
      <w:r w:rsidR="00153193" w:rsidRPr="0084570B">
        <w:rPr>
          <w:rFonts w:ascii="Times New Roman" w:eastAsia="Times New Roman" w:hAnsi="Times New Roman" w:cs="Times New Roman"/>
          <w:color w:val="222222"/>
          <w:sz w:val="22"/>
          <w:szCs w:val="22"/>
          <w:lang w:val="en-US"/>
        </w:rPr>
        <w:fldChar w:fldCharType="begin" w:fldLock="1"/>
      </w:r>
      <w:r w:rsidR="003376B3">
        <w:rPr>
          <w:rFonts w:ascii="Times New Roman" w:eastAsia="Times New Roman" w:hAnsi="Times New Roman" w:cs="Times New Roman"/>
          <w:color w:val="222222"/>
          <w:sz w:val="22"/>
          <w:szCs w:val="22"/>
          <w:lang w:val="en-US"/>
        </w:rPr>
        <w:instrText>ADDIN CSL_CITATION {"citationItems":[{"id":"ITEM-1","itemData":{"DOI":"10.1038/nature24625","ISSN":"14764687","PMID":"29189777","abstract":"Volatile element delivery and retention played a fundamental part in Earth's formation and subsequent chemical differentiation. The heavy halogens - chlorine (Cl), bromine (Br) and iodine (I) - are key tracers of accretionary processes owing to their high volatility and incompatibility, but have low abundances in most geological and planetary materials. However, noble gas proxy isotopes produced during neutron irradiation provide a high-sensitivity tool for the determination of heavy halogen abundances. Using such isotopes, here we show that Cl, Br and I abundances in carbonaceous, enstatite, Rumuruti and primitive ordinary chondrites are about 6 times, 9 times and 15-37 times lower, respectively, than previously reported and usually accepted estimates. This is independent of the oxidation state or petrological type of the chondrites. The ratios Br/Cl and I/Cl in all studied chondrites show a limited range, indistinguishable from bulk silicate Earth estimates. Our results demonstrate that the halogen depletion of bulk silicate Earth relative to primitive meteorites is consistent with the depletion of lithophile elements of similar volatility. These results for carbonaceous chondrites reveal that late accretion, constrained to a maximum of 0.5 ± 0.2 per cent of Earth's silicate mass, cannot solely account for present-day terrestrial halogen inventories. It is estimated that 80-90 per cent of heavy halogens are concentrated in Earth's surface reservoirs and have not undergone the extreme early loss observed in atmosphere-forming elements. Therefore, in addition to late-stage terrestrial accretion of halogens and mantle degassing, which has removed less than half of Earth's dissolved mantle gases, the efficient extraction of halogen-rich fluids from the solid Earth during the earliest stages of terrestrial differentiation is also required to explain the presence of these heavy halogens at the surface. The hydropilic nature of halogens, whereby they track with water, supports this requirement, and is consistent with volatile-rich or water-rich late-stage terrestrial accretion.","author":[{"dropping-particle":"","family":"Clay","given":"Patricia L.","non-dropping-particle":"","parse-names":false,"suffix":""},{"dropping-particle":"","family":"Burgess","given":"Ray","non-dropping-particle":"","parse-names":false,"suffix":""},{"dropping-particle":"","family":"Busemann","given":"Henner","non-dropping-particle":"","parse-names":false,"suffix":""},{"dropping-particle":"","family":"Ruzié-Hamilton","given":"Lorraine","non-dropping-particle":"","parse-names":false,"suffix":""},{"dropping-particle":"","family":"Joachim","given":"Bastian","non-dropping-particle":"","parse-names":false,"suffix":""},{"dropping-particle":"","family":"Day","given":"James M.D.","non-dropping-particle":"","parse-names":false,"suffix":""},{"dropping-particle":"","family":"Ballentine","given":"Christopher J.","non-dropping-particle":"","parse-names":false,"suffix":""}],"container-title":"Nature","id":"ITEM-1","issue":"7682","issued":{"date-parts":[["2017"]]},"page":"614-618","publisher":"Nature Publishing Group","title":"Halogens in chondritic meteorites and terrestrial accretion","type":"article-journal","volume":"551"},"uris":["http://www.mendeley.com/documents/?uuid=86b2d118-3b3a-4026-9d43-0f21c9481d18"]}],"mendeley":{"formattedCitation":"&lt;sup&gt;113&lt;/sup&gt;","plainTextFormattedCitation":"113","previouslyFormattedCitation":"&lt;sup&gt;113&lt;/sup&gt;"},"properties":{"noteIndex":0},"schema":"https://github.com/citation-style-language/schema/raw/master/csl-citation.json"}</w:instrText>
      </w:r>
      <w:r w:rsidR="00153193" w:rsidRPr="0084570B">
        <w:rPr>
          <w:rFonts w:ascii="Times New Roman" w:eastAsia="Times New Roman" w:hAnsi="Times New Roman" w:cs="Times New Roman"/>
          <w:color w:val="222222"/>
          <w:sz w:val="22"/>
          <w:szCs w:val="22"/>
          <w:lang w:val="en-US"/>
        </w:rPr>
        <w:fldChar w:fldCharType="separate"/>
      </w:r>
      <w:r w:rsidR="00253A47" w:rsidRPr="00253A47">
        <w:rPr>
          <w:rFonts w:ascii="Times New Roman" w:eastAsia="Times New Roman" w:hAnsi="Times New Roman" w:cs="Times New Roman"/>
          <w:noProof/>
          <w:color w:val="222222"/>
          <w:sz w:val="22"/>
          <w:szCs w:val="22"/>
          <w:vertAlign w:val="superscript"/>
          <w:lang w:val="en-US"/>
        </w:rPr>
        <w:t>113</w:t>
      </w:r>
      <w:r w:rsidR="00153193" w:rsidRPr="0084570B">
        <w:rPr>
          <w:rFonts w:ascii="Times New Roman" w:eastAsia="Times New Roman" w:hAnsi="Times New Roman" w:cs="Times New Roman"/>
          <w:color w:val="222222"/>
          <w:sz w:val="22"/>
          <w:szCs w:val="22"/>
          <w:lang w:val="en-US"/>
        </w:rPr>
        <w:fldChar w:fldCharType="end"/>
      </w:r>
      <w:r w:rsidR="00153193" w:rsidRPr="0084570B">
        <w:rPr>
          <w:rFonts w:ascii="Times New Roman" w:eastAsia="Times New Roman" w:hAnsi="Times New Roman" w:cs="Times New Roman"/>
          <w:color w:val="222222"/>
          <w:sz w:val="22"/>
          <w:szCs w:val="22"/>
          <w:lang w:val="en-US"/>
        </w:rPr>
        <w:t>. UM and PLM data are from Bekaert et al.</w:t>
      </w:r>
      <w:r w:rsidR="00153193" w:rsidRPr="0084570B">
        <w:rPr>
          <w:rFonts w:ascii="Times New Roman" w:eastAsia="Times New Roman" w:hAnsi="Times New Roman" w:cs="Times New Roman"/>
          <w:color w:val="222222"/>
          <w:sz w:val="22"/>
          <w:szCs w:val="22"/>
          <w:lang w:val="en-US"/>
        </w:rPr>
        <w:fldChar w:fldCharType="begin" w:fldLock="1"/>
      </w:r>
      <w:r w:rsidR="00153193" w:rsidRPr="0084570B">
        <w:rPr>
          <w:rFonts w:ascii="Times New Roman" w:eastAsia="Times New Roman" w:hAnsi="Times New Roman" w:cs="Times New Roman"/>
          <w:color w:val="222222"/>
          <w:sz w:val="22"/>
          <w:szCs w:val="22"/>
          <w:lang w:val="en-US"/>
        </w:rPr>
        <w:instrText xml:space="preserve">ADDIN CSL_CITATION {"citationItems":[{"id":"ITEM-1","itemData":{"DOI":"10.1016/j.epsl.2019.115766","ISSN":"0012821X","abstract":"The noble gas isotope composition of the mantle can provide unique insights into the origin and evolution of volatile elements on Earth. Xenon isotopes combine primordial signatures with contributions from extinct and extant radionuclides, therefore offering the potential to set constraints on both the nature of Earth's planetary precursor(s) and the timing of their contributions. However, measuring the Xe isotope composition of mantle-derived samples to sufficiently high-precision has proven difficult due to (i) large occurrence of a modern-like atmospheric component in the mantle, and (ii) contribution from shallow and post-eruptive atmospheric contamination. Mantle-derived samples therefore exhibit only small deviations from the modern atmospheric composition, making the identification and deconvolution of mantle-derived Xe signals challenging. Here, we use the Giggenbach sampling method to concentrate magmatic noble gases from the Eifel volcanic area (Germany) into glass bottles in order to conduct high-precision analyses of Ne, Ar and Xe isotopes. The three samples collected from Victoriaquelle and Schwefelquelle wells (South East Eifel) show variable contributions from atmospheric contamination, with the least contaminated sample reaching 40Ar/36Ar </w:instrText>
      </w:r>
      <w:r w:rsidR="00153193" w:rsidRPr="0084570B">
        <w:rPr>
          <w:rFonts w:ascii="Cambria Math" w:eastAsia="Times New Roman" w:hAnsi="Cambria Math" w:cs="Cambria Math"/>
          <w:color w:val="222222"/>
          <w:sz w:val="22"/>
          <w:szCs w:val="22"/>
          <w:lang w:val="en-US"/>
        </w:rPr>
        <w:instrText>∼</w:instrText>
      </w:r>
      <w:r w:rsidR="00153193" w:rsidRPr="0084570B">
        <w:rPr>
          <w:rFonts w:ascii="Times New Roman" w:eastAsia="Times New Roman" w:hAnsi="Times New Roman" w:cs="Times New Roman"/>
          <w:color w:val="222222"/>
          <w:sz w:val="22"/>
          <w:szCs w:val="22"/>
          <w:lang w:val="en-US"/>
        </w:rPr>
        <w:instrText>8,300. Our data indicate that the mantle beneath the Eifel volcanic area, and by extension the Central European Volcanic Province, resembles the convective upper mantle reservoir with limited evidence for an OIB-like deep plume source contribution. It has a geochemical signature that is similar (e.g. in Ne isotopic composition, 40Ar/36Ar, 129Xe/130Xe and 129Xe/136Xe) to the mantle source of the so-called popping rocks (thought to best represent the upper mantle), with an additional source of 238U-derived Xe and low 3He/4He that we attribute to the influence of an ancient subducted component (HIMU). A dichotomy exists between the main sources of fissiogenic xenon isotopes measured in popping rocks and Eifel gas, which appear to be mainly derived from 244Pu and 238U, respectively. According to their respective ratios of 244Pu- to 238U-derived Xe, the mantle sources for Eifel volcanism and popping rocks would have experienced extensive and limited degassing, respectively. In this regard, high Pu–Xe/(Pu+U)–Xe may no longer be considered as being indicative of a mantle deep origin, therefore calling for the geochemical differences between plume and MORB sources to be redefined, with the possibility that vol…","author":[{"dropping-particle":"V.","family":"Bekaert","given":"David","non-dropping-particle":"","parse-names":false,"suffix":""},{"dropping-particle":"","family":"Broadley","given":"Michael W.","non-dropping-particle":"","parse-names":false,"suffix":""},{"dropping-particle":"","family":"Caracausi","given":"Antonio","non-dropping-particle":"","parse-names":false,"suffix":""},{"dropping-particle":"","family":"Marty","given":"Bernard","non-dropping-particle":"","parse-names":false,"suffix":""}],"container-title":"Earth and Planetary Science Letters","id":"ITEM-1","issue":"115766","issued":{"date-parts":[["2019"]]},"title":"Novel insights into the degassing history of Earth's mantle from high precision noble gas analysis of magmatic gas","type":"article-journal","volume":"525"},"uris":["http://www.mendeley.com/documents/?uuid=bd143ecc-58c9-4e80-8771-fe3b0f39a95e"]}],"mendeley":{"formattedCitation":"&lt;sup&gt;7&lt;/sup&gt;","plainTextFormattedCitation":"7","previouslyFormattedCitation":"&lt;sup&gt;7&lt;/sup&gt;"},"properties":{"noteIndex":0},"schema":"https://github.com/citation-style-language/schema/raw/master/csl-citation.json"}</w:instrText>
      </w:r>
      <w:r w:rsidR="00153193" w:rsidRPr="0084570B">
        <w:rPr>
          <w:rFonts w:ascii="Times New Roman" w:eastAsia="Times New Roman" w:hAnsi="Times New Roman" w:cs="Times New Roman"/>
          <w:color w:val="222222"/>
          <w:sz w:val="22"/>
          <w:szCs w:val="22"/>
          <w:lang w:val="en-US"/>
        </w:rPr>
        <w:fldChar w:fldCharType="separate"/>
      </w:r>
      <w:r w:rsidR="00153193" w:rsidRPr="0084570B">
        <w:rPr>
          <w:rFonts w:ascii="Times New Roman" w:eastAsia="Times New Roman" w:hAnsi="Times New Roman" w:cs="Times New Roman"/>
          <w:noProof/>
          <w:color w:val="222222"/>
          <w:sz w:val="22"/>
          <w:szCs w:val="22"/>
          <w:vertAlign w:val="superscript"/>
          <w:lang w:val="en-US"/>
        </w:rPr>
        <w:t>7</w:t>
      </w:r>
      <w:r w:rsidR="00153193" w:rsidRPr="0084570B">
        <w:rPr>
          <w:rFonts w:ascii="Times New Roman" w:eastAsia="Times New Roman" w:hAnsi="Times New Roman" w:cs="Times New Roman"/>
          <w:color w:val="222222"/>
          <w:sz w:val="22"/>
          <w:szCs w:val="22"/>
          <w:lang w:val="en-US"/>
        </w:rPr>
        <w:fldChar w:fldCharType="end"/>
      </w:r>
      <w:r w:rsidR="00153193" w:rsidRPr="0084570B">
        <w:rPr>
          <w:rFonts w:ascii="Times New Roman" w:eastAsia="Times New Roman" w:hAnsi="Times New Roman" w:cs="Times New Roman"/>
          <w:color w:val="222222"/>
          <w:sz w:val="22"/>
          <w:szCs w:val="22"/>
          <w:lang w:val="en-US"/>
        </w:rPr>
        <w:t xml:space="preserve"> and Parai &amp; </w:t>
      </w:r>
      <w:r w:rsidR="00153193" w:rsidRPr="0084570B">
        <w:rPr>
          <w:rFonts w:ascii="Times New Roman" w:eastAsia="Times New Roman" w:hAnsi="Times New Roman" w:cs="Times New Roman"/>
          <w:sz w:val="22"/>
          <w:szCs w:val="22"/>
          <w:lang w:val="en-US"/>
        </w:rPr>
        <w:t>Mukhopadhyay</w:t>
      </w:r>
      <w:r w:rsidR="00153193" w:rsidRPr="0084570B">
        <w:rPr>
          <w:rFonts w:ascii="Times New Roman" w:eastAsia="Times New Roman" w:hAnsi="Times New Roman" w:cs="Times New Roman"/>
          <w:sz w:val="22"/>
          <w:szCs w:val="22"/>
          <w:lang w:val="en-US"/>
        </w:rPr>
        <w:fldChar w:fldCharType="begin" w:fldLock="1"/>
      </w:r>
      <w:r w:rsidR="00153193"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00153193" w:rsidRPr="0084570B">
        <w:rPr>
          <w:rFonts w:ascii="Times New Roman" w:eastAsia="Times New Roman" w:hAnsi="Times New Roman" w:cs="Times New Roman"/>
          <w:sz w:val="22"/>
          <w:szCs w:val="22"/>
          <w:lang w:val="en-US"/>
        </w:rPr>
        <w:fldChar w:fldCharType="separate"/>
      </w:r>
      <w:r w:rsidR="00153193" w:rsidRPr="0084570B">
        <w:rPr>
          <w:rFonts w:ascii="Times New Roman" w:eastAsia="Times New Roman" w:hAnsi="Times New Roman" w:cs="Times New Roman"/>
          <w:noProof/>
          <w:sz w:val="22"/>
          <w:szCs w:val="22"/>
          <w:vertAlign w:val="superscript"/>
          <w:lang w:val="en-US"/>
        </w:rPr>
        <w:t>6</w:t>
      </w:r>
      <w:r w:rsidR="00153193" w:rsidRPr="0084570B">
        <w:rPr>
          <w:rFonts w:ascii="Times New Roman" w:eastAsia="Times New Roman" w:hAnsi="Times New Roman" w:cs="Times New Roman"/>
          <w:sz w:val="22"/>
          <w:szCs w:val="22"/>
          <w:lang w:val="en-US"/>
        </w:rPr>
        <w:fldChar w:fldCharType="end"/>
      </w:r>
      <w:r w:rsidR="00153193" w:rsidRPr="0084570B">
        <w:rPr>
          <w:rFonts w:ascii="Times New Roman" w:eastAsia="Times New Roman" w:hAnsi="Times New Roman" w:cs="Times New Roman"/>
          <w:sz w:val="22"/>
          <w:szCs w:val="22"/>
          <w:lang w:val="en-US"/>
        </w:rPr>
        <w:t>.</w:t>
      </w:r>
      <w:r w:rsidR="00723933">
        <w:rPr>
          <w:rFonts w:ascii="Times New Roman" w:eastAsia="Times New Roman" w:hAnsi="Times New Roman" w:cs="Times New Roman"/>
          <w:sz w:val="22"/>
          <w:szCs w:val="22"/>
          <w:lang w:val="en-US"/>
        </w:rPr>
        <w:t xml:space="preserve"> </w:t>
      </w:r>
      <w:r w:rsidR="00723933" w:rsidRPr="0084570B">
        <w:rPr>
          <w:rFonts w:ascii="Times New Roman" w:eastAsia="Times New Roman" w:hAnsi="Times New Roman" w:cs="Times New Roman"/>
          <w:color w:val="222222"/>
          <w:sz w:val="22"/>
          <w:szCs w:val="22"/>
          <w:lang w:val="en-US"/>
        </w:rPr>
        <w:t>U</w:t>
      </w:r>
      <w:r w:rsidR="00723933">
        <w:rPr>
          <w:rFonts w:ascii="Times New Roman" w:eastAsia="Times New Roman" w:hAnsi="Times New Roman" w:cs="Times New Roman"/>
          <w:sz w:val="22"/>
          <w:szCs w:val="22"/>
          <w:lang w:val="en-US"/>
        </w:rPr>
        <w:t>ncertainties are</w:t>
      </w:r>
      <w:r w:rsidR="00723933" w:rsidRPr="0084570B">
        <w:rPr>
          <w:rFonts w:ascii="Times New Roman" w:eastAsia="Times New Roman" w:hAnsi="Times New Roman" w:cs="Times New Roman"/>
          <w:sz w:val="22"/>
          <w:szCs w:val="22"/>
          <w:lang w:val="en-US"/>
        </w:rPr>
        <w:t xml:space="preserve"> 1σ.</w:t>
      </w:r>
      <w:r w:rsidR="00FA2ECF" w:rsidRPr="0084570B">
        <w:rPr>
          <w:rFonts w:ascii="Times New Roman" w:eastAsia="Times New Roman" w:hAnsi="Times New Roman" w:cs="Times New Roman"/>
          <w:b/>
          <w:sz w:val="28"/>
          <w:szCs w:val="28"/>
          <w:lang w:val="en-US"/>
        </w:rPr>
        <w:br w:type="page"/>
      </w:r>
    </w:p>
    <w:p w14:paraId="67848F03" w14:textId="29028D97" w:rsidR="008120DE" w:rsidRPr="0084570B" w:rsidRDefault="00D971FA" w:rsidP="008120DE">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SI-</w:t>
      </w:r>
      <w:r w:rsidR="008120DE"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693056" behindDoc="1" locked="0" layoutInCell="1" allowOverlap="1" wp14:anchorId="719F03FA" wp14:editId="7C6877EA">
                <wp:simplePos x="0" y="0"/>
                <wp:positionH relativeFrom="column">
                  <wp:posOffset>-2963</wp:posOffset>
                </wp:positionH>
                <wp:positionV relativeFrom="paragraph">
                  <wp:posOffset>-24130</wp:posOffset>
                </wp:positionV>
                <wp:extent cx="5753735" cy="270510"/>
                <wp:effectExtent l="0" t="0" r="12065" b="8890"/>
                <wp:wrapNone/>
                <wp:docPr id="27" name="Rectangle 27"/>
                <wp:cNvGraphicFramePr/>
                <a:graphic xmlns:a="http://schemas.openxmlformats.org/drawingml/2006/main">
                  <a:graphicData uri="http://schemas.microsoft.com/office/word/2010/wordprocessingShape">
                    <wps:wsp>
                      <wps:cNvSpPr/>
                      <wps:spPr>
                        <a:xfrm>
                          <a:off x="0" y="0"/>
                          <a:ext cx="5753735"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6C075F" id="Rectangle 27" o:spid="_x0000_s1026" style="position:absolute;margin-left:-.25pt;margin-top:-1.9pt;width:453.05pt;height:21.3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" fillcolor="#f2dbdb [661]" stroked="f"/>
            </w:pict>
          </mc:Fallback>
        </mc:AlternateContent>
      </w:r>
      <w:r w:rsidR="00265BDB" w:rsidRPr="0084570B">
        <w:rPr>
          <w:rFonts w:ascii="Times New Roman" w:eastAsia="Times New Roman" w:hAnsi="Times New Roman" w:cs="Times New Roman"/>
          <w:b/>
          <w:sz w:val="28"/>
          <w:szCs w:val="28"/>
          <w:lang w:val="en-US"/>
        </w:rPr>
        <w:t>6</w:t>
      </w:r>
      <w:r w:rsidR="008120DE" w:rsidRPr="0084570B">
        <w:rPr>
          <w:rFonts w:ascii="Times New Roman" w:eastAsia="Times New Roman" w:hAnsi="Times New Roman" w:cs="Times New Roman"/>
          <w:b/>
          <w:sz w:val="28"/>
          <w:szCs w:val="28"/>
          <w:lang w:val="en-US"/>
        </w:rPr>
        <w:t>° Numerical model of mantle Xe evolution</w:t>
      </w:r>
    </w:p>
    <w:p w14:paraId="636F52E2" w14:textId="77777777" w:rsidR="008120DE" w:rsidRPr="0084570B" w:rsidRDefault="008120DE" w:rsidP="008120DE">
      <w:pPr>
        <w:rPr>
          <w:rFonts w:ascii="Times New Roman" w:eastAsia="Times New Roman" w:hAnsi="Times New Roman" w:cs="Times New Roman"/>
          <w:b/>
          <w:sz w:val="28"/>
          <w:szCs w:val="28"/>
          <w:lang w:val="en-US"/>
        </w:rPr>
      </w:pPr>
    </w:p>
    <w:p w14:paraId="6B27986A" w14:textId="43515B70" w:rsidR="00713796" w:rsidRPr="00CF3E6A" w:rsidRDefault="00713796" w:rsidP="00265BDB">
      <w:pPr>
        <w:spacing w:line="360" w:lineRule="auto"/>
        <w:jc w:val="both"/>
        <w:rPr>
          <w:rFonts w:ascii="Times New Roman" w:eastAsia="Times New Roman" w:hAnsi="Times New Roman" w:cs="Times New Roman"/>
          <w:b/>
          <w:noProof/>
          <w:sz w:val="22"/>
          <w:szCs w:val="22"/>
          <w:lang w:val="en-US"/>
        </w:rPr>
      </w:pPr>
      <w:bookmarkStart w:id="0" w:name="_efhmg0qp7aoy" w:colFirst="0" w:colLast="0"/>
      <w:bookmarkStart w:id="1" w:name="_1qozuilxoc6u" w:colFirst="0" w:colLast="0"/>
      <w:bookmarkStart w:id="2" w:name="_amofcszea5xi" w:colFirst="0" w:colLast="0"/>
      <w:bookmarkStart w:id="3" w:name="_ovpvycae0sbh" w:colFirst="0" w:colLast="0"/>
      <w:bookmarkStart w:id="4" w:name="_vhozgd3ff86i" w:colFirst="0" w:colLast="0"/>
      <w:bookmarkStart w:id="5" w:name="_c4r6gkyi4s" w:colFirst="0" w:colLast="0"/>
      <w:bookmarkStart w:id="6" w:name="_mzpizhpy4wce" w:colFirst="0" w:colLast="0"/>
      <w:bookmarkEnd w:id="0"/>
      <w:bookmarkEnd w:id="1"/>
      <w:bookmarkEnd w:id="2"/>
      <w:bookmarkEnd w:id="3"/>
      <w:bookmarkEnd w:id="4"/>
      <w:bookmarkEnd w:id="5"/>
      <w:bookmarkEnd w:id="6"/>
      <w:r w:rsidRPr="00CF3E6A">
        <w:rPr>
          <w:rFonts w:ascii="Times New Roman" w:eastAsia="Times New Roman" w:hAnsi="Times New Roman" w:cs="Times New Roman"/>
          <w:b/>
          <w:noProof/>
          <w:sz w:val="22"/>
          <w:szCs w:val="22"/>
          <w:lang w:val="en-US"/>
        </w:rPr>
        <w:t xml:space="preserve"> </w:t>
      </w:r>
    </w:p>
    <w:p w14:paraId="5AD2C5D6" w14:textId="690F0906" w:rsidR="00713796" w:rsidRPr="0084570B" w:rsidRDefault="00713796" w:rsidP="00713796">
      <w:pPr>
        <w:pStyle w:val="Normal1"/>
        <w:spacing w:line="360" w:lineRule="auto"/>
        <w:jc w:val="both"/>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drawing>
          <wp:inline distT="0" distB="0" distL="0" distR="0" wp14:anchorId="0BF72CEA" wp14:editId="2482D64A">
            <wp:extent cx="5760085" cy="3084830"/>
            <wp:effectExtent l="0" t="0" r="5715" b="0"/>
            <wp:docPr id="8" name="Image 8" descr="INTENSO:model_overvi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NSO:model_overview.pd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085" cy="3084830"/>
                    </a:xfrm>
                    <a:prstGeom prst="rect">
                      <a:avLst/>
                    </a:prstGeom>
                    <a:noFill/>
                    <a:ln>
                      <a:noFill/>
                    </a:ln>
                  </pic:spPr>
                </pic:pic>
              </a:graphicData>
            </a:graphic>
          </wp:inline>
        </w:drawing>
      </w:r>
    </w:p>
    <w:p w14:paraId="62FC7BE8" w14:textId="77777777" w:rsidR="00713796" w:rsidRPr="0084570B" w:rsidRDefault="00713796" w:rsidP="00713796">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S9.</w:t>
      </w:r>
      <w:r w:rsidRPr="0084570B">
        <w:rPr>
          <w:rFonts w:ascii="Times New Roman" w:eastAsia="Times New Roman" w:hAnsi="Times New Roman" w:cs="Times New Roman"/>
          <w:sz w:val="22"/>
          <w:szCs w:val="22"/>
          <w:lang w:val="en-US"/>
        </w:rPr>
        <w:t xml:space="preserve"> Schematic representation of the numerical model working principle.</w:t>
      </w:r>
    </w:p>
    <w:p w14:paraId="0B2A52F8" w14:textId="77777777" w:rsidR="00713796" w:rsidRPr="0084570B" w:rsidRDefault="00713796" w:rsidP="00713796">
      <w:pPr>
        <w:pStyle w:val="Normal1"/>
        <w:spacing w:line="360" w:lineRule="auto"/>
        <w:jc w:val="both"/>
        <w:rPr>
          <w:rFonts w:ascii="Times New Roman" w:eastAsia="Times New Roman" w:hAnsi="Times New Roman" w:cs="Times New Roman"/>
          <w:sz w:val="22"/>
          <w:szCs w:val="22"/>
          <w:lang w:val="en-US"/>
        </w:rPr>
      </w:pPr>
    </w:p>
    <w:p w14:paraId="71BDA5D8"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sz w:val="20"/>
          <w:szCs w:val="20"/>
          <w:lang w:val="en-US"/>
        </w:rPr>
        <w:t xml:space="preserve">init.: </w:t>
      </w:r>
      <w:r w:rsidRPr="0084570B">
        <w:rPr>
          <w:rFonts w:ascii="Times New Roman" w:eastAsia="Times New Roman" w:hAnsi="Times New Roman" w:cs="Times New Roman"/>
          <w:sz w:val="20"/>
          <w:szCs w:val="20"/>
          <w:lang w:val="en-US"/>
        </w:rPr>
        <w:t>start of the solar system and time of onset of planetary formation, 4.567 Gyr ago.</w:t>
      </w:r>
    </w:p>
    <w:p w14:paraId="139040B0"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sz w:val="20"/>
          <w:szCs w:val="20"/>
          <w:lang w:val="en-US"/>
        </w:rPr>
        <w:t>pres.:</w:t>
      </w:r>
      <w:r w:rsidRPr="0084570B">
        <w:rPr>
          <w:rFonts w:ascii="Times New Roman" w:eastAsia="Times New Roman" w:hAnsi="Times New Roman" w:cs="Times New Roman"/>
          <w:sz w:val="20"/>
          <w:szCs w:val="20"/>
          <w:lang w:val="en-US"/>
        </w:rPr>
        <w:t xml:space="preserve"> present-day.</w:t>
      </w:r>
    </w:p>
    <w:p w14:paraId="200E6519"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sz w:val="20"/>
          <w:szCs w:val="20"/>
          <w:lang w:val="en-US"/>
        </w:rPr>
        <w:t xml:space="preserve">BSE: </w:t>
      </w:r>
      <w:r w:rsidRPr="0084570B">
        <w:rPr>
          <w:rFonts w:ascii="Times New Roman" w:eastAsia="Times New Roman" w:hAnsi="Times New Roman" w:cs="Times New Roman"/>
          <w:sz w:val="20"/>
          <w:szCs w:val="20"/>
          <w:lang w:val="en-US"/>
        </w:rPr>
        <w:t>Bulk Silicate Earth.</w:t>
      </w:r>
    </w:p>
    <w:p w14:paraId="63493CA8"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sz w:val="20"/>
          <w:szCs w:val="20"/>
          <w:lang w:val="en-US"/>
        </w:rPr>
        <w:t xml:space="preserve">UM: </w:t>
      </w:r>
      <w:r w:rsidRPr="0084570B">
        <w:rPr>
          <w:rFonts w:ascii="Times New Roman" w:eastAsia="Times New Roman" w:hAnsi="Times New Roman" w:cs="Times New Roman"/>
          <w:sz w:val="20"/>
          <w:szCs w:val="22"/>
          <w:lang w:val="en-US"/>
        </w:rPr>
        <w:t>Convecting "Upper" Mantle</w:t>
      </w:r>
      <w:r w:rsidRPr="0084570B">
        <w:rPr>
          <w:rFonts w:ascii="Times New Roman" w:eastAsia="Times New Roman" w:hAnsi="Times New Roman" w:cs="Times New Roman"/>
          <w:sz w:val="20"/>
          <w:szCs w:val="20"/>
          <w:lang w:val="en-US"/>
        </w:rPr>
        <w:t>.</w:t>
      </w:r>
    </w:p>
    <w:p w14:paraId="0BA8EB4D" w14:textId="77777777" w:rsidR="00713796" w:rsidRPr="0084570B" w:rsidRDefault="00713796" w:rsidP="00713796">
      <w:pPr>
        <w:pStyle w:val="Normal1"/>
        <w:spacing w:line="276" w:lineRule="auto"/>
        <w:jc w:val="both"/>
        <w:rPr>
          <w:rFonts w:ascii="Times New Roman" w:eastAsia="Times New Roman" w:hAnsi="Times New Roman" w:cs="Times New Roman"/>
          <w:color w:val="191919"/>
          <w:sz w:val="20"/>
          <w:szCs w:val="20"/>
          <w:lang w:val="en-US"/>
        </w:rPr>
      </w:pPr>
      <w:r w:rsidRPr="0084570B">
        <w:rPr>
          <w:rFonts w:ascii="Times New Roman" w:eastAsia="Times New Roman" w:hAnsi="Times New Roman" w:cs="Times New Roman"/>
          <w:b/>
          <w:sz w:val="20"/>
          <w:szCs w:val="20"/>
          <w:lang w:val="en-US"/>
        </w:rPr>
        <w:t>F</w:t>
      </w:r>
      <w:r w:rsidRPr="0084570B">
        <w:rPr>
          <w:rFonts w:ascii="Times New Roman" w:eastAsia="Times New Roman" w:hAnsi="Times New Roman" w:cs="Times New Roman"/>
          <w:b/>
          <w:sz w:val="20"/>
          <w:szCs w:val="20"/>
          <w:vertAlign w:val="subscript"/>
          <w:lang w:val="en-US"/>
        </w:rPr>
        <w:t>subd</w:t>
      </w:r>
      <w:r w:rsidRPr="0084570B">
        <w:rPr>
          <w:rFonts w:ascii="Times New Roman" w:eastAsia="Times New Roman" w:hAnsi="Times New Roman" w:cs="Times New Roman"/>
          <w:b/>
          <w:color w:val="191919"/>
          <w:sz w:val="20"/>
          <w:szCs w:val="20"/>
          <w:lang w:val="en-US"/>
        </w:rPr>
        <w:t>:</w:t>
      </w:r>
      <w:r w:rsidRPr="0084570B">
        <w:rPr>
          <w:rFonts w:ascii="Times New Roman" w:eastAsia="Times New Roman" w:hAnsi="Times New Roman" w:cs="Times New Roman"/>
          <w:color w:val="191919"/>
          <w:sz w:val="20"/>
          <w:szCs w:val="20"/>
          <w:lang w:val="en-US"/>
        </w:rPr>
        <w:t xml:space="preserve"> Fraction of present-day mantle non-radiogenic Xe originating from recycling via subduction. </w:t>
      </w:r>
    </w:p>
    <w:p w14:paraId="6A579C85" w14:textId="77777777" w:rsidR="00713796" w:rsidRPr="0084570B" w:rsidRDefault="00713796" w:rsidP="00713796">
      <w:pPr>
        <w:pStyle w:val="Normal1"/>
        <w:spacing w:line="276" w:lineRule="auto"/>
        <w:jc w:val="both"/>
        <w:rPr>
          <w:rFonts w:ascii="Times New Roman" w:eastAsia="Times New Roman" w:hAnsi="Times New Roman" w:cs="Times New Roman"/>
          <w:color w:val="191919"/>
          <w:sz w:val="20"/>
          <w:szCs w:val="20"/>
          <w:lang w:val="en-US"/>
        </w:rPr>
      </w:pPr>
      <w:r w:rsidRPr="0084570B">
        <w:rPr>
          <w:rFonts w:ascii="Times New Roman" w:eastAsia="Times New Roman" w:hAnsi="Times New Roman" w:cs="Times New Roman"/>
          <w:b/>
          <w:color w:val="191919"/>
          <w:sz w:val="20"/>
          <w:szCs w:val="20"/>
          <w:lang w:val="en-US"/>
        </w:rPr>
        <w:t>M</w:t>
      </w:r>
      <w:r w:rsidRPr="0084570B">
        <w:rPr>
          <w:rFonts w:ascii="Times New Roman" w:eastAsia="Times New Roman" w:hAnsi="Times New Roman" w:cs="Times New Roman"/>
          <w:b/>
          <w:color w:val="191919"/>
          <w:sz w:val="20"/>
          <w:szCs w:val="20"/>
          <w:vertAlign w:val="subscript"/>
          <w:lang w:val="en-US"/>
        </w:rPr>
        <w:t>UM</w:t>
      </w:r>
      <w:r w:rsidRPr="0084570B">
        <w:rPr>
          <w:rFonts w:ascii="Times New Roman" w:eastAsia="Times New Roman" w:hAnsi="Times New Roman" w:cs="Times New Roman"/>
          <w:b/>
          <w:color w:val="191919"/>
          <w:sz w:val="20"/>
          <w:szCs w:val="20"/>
          <w:lang w:val="en-US"/>
        </w:rPr>
        <w:t>:</w:t>
      </w:r>
      <w:r w:rsidRPr="0084570B">
        <w:rPr>
          <w:rFonts w:ascii="Times New Roman" w:eastAsia="Times New Roman" w:hAnsi="Times New Roman" w:cs="Times New Roman"/>
          <w:color w:val="191919"/>
          <w:sz w:val="20"/>
          <w:szCs w:val="20"/>
          <w:lang w:val="en-US"/>
        </w:rPr>
        <w:t xml:space="preserve"> Mass of the convecting mantle. </w:t>
      </w:r>
    </w:p>
    <w:p w14:paraId="3E1C9952" w14:textId="6E28EA28"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color w:val="191919"/>
          <w:sz w:val="20"/>
          <w:szCs w:val="20"/>
          <w:lang w:val="en-US"/>
        </w:rPr>
        <w:t>Q</w:t>
      </w:r>
      <w:r w:rsidRPr="0084570B">
        <w:rPr>
          <w:rFonts w:ascii="Times New Roman" w:eastAsia="Times New Roman" w:hAnsi="Times New Roman" w:cs="Times New Roman"/>
          <w:b/>
          <w:color w:val="191919"/>
          <w:sz w:val="20"/>
          <w:szCs w:val="20"/>
          <w:vertAlign w:val="subscript"/>
          <w:lang w:val="en-US"/>
        </w:rPr>
        <w:t>p</w:t>
      </w:r>
      <w:r w:rsidRPr="0084570B">
        <w:rPr>
          <w:rFonts w:ascii="Times New Roman" w:eastAsia="Times New Roman" w:hAnsi="Times New Roman" w:cs="Times New Roman"/>
          <w:b/>
          <w:color w:val="191919"/>
          <w:sz w:val="20"/>
          <w:szCs w:val="20"/>
          <w:lang w:val="en-US"/>
        </w:rPr>
        <w:t>:</w:t>
      </w:r>
      <w:r w:rsidRPr="0084570B">
        <w:rPr>
          <w:rFonts w:ascii="Times New Roman" w:eastAsia="Times New Roman" w:hAnsi="Times New Roman" w:cs="Times New Roman"/>
          <w:color w:val="191919"/>
          <w:sz w:val="20"/>
          <w:szCs w:val="20"/>
          <w:lang w:val="en-US"/>
        </w:rPr>
        <w:t xml:space="preserve"> </w:t>
      </w:r>
      <w:r w:rsidRPr="0084570B">
        <w:rPr>
          <w:rFonts w:ascii="Times New Roman" w:eastAsia="Times New Roman" w:hAnsi="Times New Roman" w:cs="Times New Roman"/>
          <w:sz w:val="20"/>
          <w:szCs w:val="20"/>
          <w:lang w:val="en-US"/>
        </w:rPr>
        <w:t>present-day mantle processing rate (6.1 x10</w:t>
      </w:r>
      <w:r w:rsidRPr="0084570B">
        <w:rPr>
          <w:rFonts w:ascii="Times New Roman" w:eastAsia="Times New Roman" w:hAnsi="Times New Roman" w:cs="Times New Roman"/>
          <w:sz w:val="20"/>
          <w:szCs w:val="20"/>
          <w:vertAlign w:val="superscript"/>
          <w:lang w:val="en-US"/>
        </w:rPr>
        <w:t>17</w:t>
      </w:r>
      <w:r w:rsidRPr="0084570B">
        <w:rPr>
          <w:rFonts w:ascii="Times New Roman" w:eastAsia="Times New Roman" w:hAnsi="Times New Roman" w:cs="Times New Roman"/>
          <w:sz w:val="20"/>
          <w:szCs w:val="20"/>
          <w:vertAlign w:val="subscript"/>
          <w:lang w:val="en-US"/>
        </w:rPr>
        <w:t xml:space="preserve"> </w:t>
      </w:r>
      <w:r w:rsidRPr="0084570B">
        <w:rPr>
          <w:rFonts w:ascii="Times New Roman" w:eastAsia="Times New Roman" w:hAnsi="Times New Roman" w:cs="Times New Roman"/>
          <w:sz w:val="20"/>
          <w:szCs w:val="20"/>
          <w:lang w:val="en-US"/>
        </w:rPr>
        <w:t>g.yr</w:t>
      </w:r>
      <w:r w:rsidRPr="0084570B">
        <w:rPr>
          <w:rFonts w:ascii="Times New Roman" w:eastAsia="Times New Roman" w:hAnsi="Times New Roman" w:cs="Times New Roman"/>
          <w:sz w:val="20"/>
          <w:szCs w:val="20"/>
          <w:vertAlign w:val="superscript"/>
          <w:lang w:val="en-US"/>
        </w:rPr>
        <w:t xml:space="preserve">-1 </w:t>
      </w:r>
      <w:r w:rsidRPr="0084570B">
        <w:rPr>
          <w:rFonts w:ascii="Times New Roman" w:eastAsia="Times New Roman" w:hAnsi="Times New Roman" w:cs="Times New Roman"/>
          <w:sz w:val="20"/>
          <w:szCs w:val="20"/>
          <w:lang w:val="en-US"/>
        </w:rPr>
        <w:t xml:space="preserve">; </w:t>
      </w:r>
      <w:r w:rsidRPr="0084570B">
        <w:rPr>
          <w:rFonts w:ascii="Times New Roman" w:eastAsia="Times New Roman" w:hAnsi="Times New Roman" w:cs="Times New Roman"/>
          <w:sz w:val="20"/>
          <w:szCs w:val="20"/>
          <w:lang w:val="en-US"/>
        </w:rPr>
        <w:fldChar w:fldCharType="begin" w:fldLock="1"/>
      </w:r>
      <w:r w:rsidR="009D2C8F" w:rsidRPr="0084570B">
        <w:rPr>
          <w:rFonts w:ascii="Times New Roman" w:eastAsia="Times New Roman" w:hAnsi="Times New Roman" w:cs="Times New Roman"/>
          <w:sz w:val="20"/>
          <w:szCs w:val="20"/>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eastAsia="Times New Roman" w:hAnsi="Times New Roman" w:cs="Times New Roman"/>
          <w:sz w:val="20"/>
          <w:szCs w:val="20"/>
          <w:lang w:val="en-US"/>
        </w:rPr>
        <w:fldChar w:fldCharType="separate"/>
      </w:r>
      <w:r w:rsidR="009D2C8F" w:rsidRPr="0084570B">
        <w:rPr>
          <w:rFonts w:ascii="Times New Roman" w:eastAsia="Times New Roman" w:hAnsi="Times New Roman" w:cs="Times New Roman"/>
          <w:noProof/>
          <w:sz w:val="20"/>
          <w:szCs w:val="20"/>
          <w:vertAlign w:val="superscript"/>
          <w:lang w:val="en-US"/>
        </w:rPr>
        <w:t>11</w:t>
      </w:r>
      <w:r w:rsidRPr="0084570B">
        <w:rPr>
          <w:rFonts w:ascii="Times New Roman" w:eastAsia="Times New Roman" w:hAnsi="Times New Roman" w:cs="Times New Roman"/>
          <w:sz w:val="20"/>
          <w:szCs w:val="20"/>
          <w:lang w:val="en-US"/>
        </w:rPr>
        <w:fldChar w:fldCharType="end"/>
      </w:r>
      <w:r w:rsidRPr="0084570B">
        <w:rPr>
          <w:rFonts w:ascii="Times New Roman" w:eastAsia="Times New Roman" w:hAnsi="Times New Roman" w:cs="Times New Roman"/>
          <w:sz w:val="20"/>
          <w:szCs w:val="20"/>
          <w:lang w:val="en-US"/>
        </w:rPr>
        <w:t>).</w:t>
      </w:r>
    </w:p>
    <w:p w14:paraId="6A32B40E" w14:textId="77777777" w:rsidR="00713796" w:rsidRPr="0084570B" w:rsidRDefault="00713796" w:rsidP="00713796">
      <w:pPr>
        <w:pStyle w:val="Normal1"/>
        <w:spacing w:line="276" w:lineRule="auto"/>
        <w:jc w:val="both"/>
        <w:rPr>
          <w:rFonts w:ascii="Times New Roman" w:eastAsia="Times New Roman" w:hAnsi="Times New Roman" w:cs="Times New Roman"/>
          <w:color w:val="191919"/>
          <w:sz w:val="20"/>
          <w:szCs w:val="20"/>
          <w:lang w:val="en-US"/>
        </w:rPr>
      </w:pPr>
      <w:r w:rsidRPr="0084570B">
        <w:rPr>
          <w:rFonts w:ascii="Times New Roman" w:eastAsia="Times New Roman" w:hAnsi="Times New Roman" w:cs="Times New Roman"/>
          <w:b/>
          <w:color w:val="191919"/>
          <w:sz w:val="20"/>
          <w:szCs w:val="20"/>
          <w:lang w:val="en-US"/>
        </w:rPr>
        <w:t>η:</w:t>
      </w:r>
      <w:r w:rsidRPr="0084570B">
        <w:rPr>
          <w:rFonts w:ascii="Times New Roman" w:eastAsia="Times New Roman" w:hAnsi="Times New Roman" w:cs="Times New Roman"/>
          <w:color w:val="191919"/>
          <w:sz w:val="20"/>
          <w:szCs w:val="20"/>
          <w:lang w:val="en-US"/>
        </w:rPr>
        <w:t xml:space="preserve"> total amount of degassing, reflecting the </w:t>
      </w:r>
      <w:r w:rsidRPr="0084570B">
        <w:rPr>
          <w:rFonts w:ascii="Times New Roman" w:eastAsia="Times New Roman" w:hAnsi="Times New Roman" w:cs="Times New Roman"/>
          <w:sz w:val="20"/>
          <w:szCs w:val="20"/>
          <w:lang w:val="en-US"/>
        </w:rPr>
        <w:t>rate at which mantle processing increases when moving back through time</w:t>
      </w:r>
      <w:r w:rsidRPr="0084570B">
        <w:rPr>
          <w:rFonts w:ascii="Times New Roman" w:eastAsia="Times New Roman" w:hAnsi="Times New Roman" w:cs="Times New Roman"/>
          <w:color w:val="191919"/>
          <w:sz w:val="20"/>
          <w:szCs w:val="20"/>
          <w:lang w:val="en-US"/>
        </w:rPr>
        <w:t>.</w:t>
      </w:r>
    </w:p>
    <w:p w14:paraId="3632720D"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color w:val="191919"/>
          <w:sz w:val="20"/>
          <w:szCs w:val="20"/>
          <w:lang w:val="en-US"/>
        </w:rPr>
        <w:t>f</w:t>
      </w:r>
      <w:r w:rsidRPr="0084570B">
        <w:rPr>
          <w:rFonts w:ascii="Times New Roman" w:eastAsia="Times New Roman" w:hAnsi="Times New Roman" w:cs="Times New Roman"/>
          <w:b/>
          <w:color w:val="191919"/>
          <w:sz w:val="20"/>
          <w:szCs w:val="20"/>
          <w:vertAlign w:val="subscript"/>
          <w:lang w:val="en-US"/>
        </w:rPr>
        <w:t>exp</w:t>
      </w:r>
      <w:r w:rsidRPr="0084570B">
        <w:rPr>
          <w:rFonts w:ascii="Times New Roman" w:eastAsia="Times New Roman" w:hAnsi="Times New Roman" w:cs="Times New Roman"/>
          <w:sz w:val="20"/>
          <w:szCs w:val="20"/>
          <w:lang w:val="en-US"/>
        </w:rPr>
        <w:t>: fraction of the exponential component in the mantle processing curve.</w:t>
      </w:r>
    </w:p>
    <w:p w14:paraId="484E24F4"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sz w:val="20"/>
          <w:szCs w:val="20"/>
          <w:lang w:val="en-US"/>
        </w:rPr>
        <w:t>C(t):</w:t>
      </w:r>
      <w:r w:rsidRPr="0084570B">
        <w:rPr>
          <w:rFonts w:ascii="Times New Roman" w:eastAsia="Times New Roman" w:hAnsi="Times New Roman" w:cs="Times New Roman"/>
          <w:sz w:val="20"/>
          <w:szCs w:val="20"/>
          <w:lang w:val="en-US"/>
        </w:rPr>
        <w:t xml:space="preserve"> continental crust growth curve relative to present.</w:t>
      </w:r>
    </w:p>
    <w:p w14:paraId="78EC825F" w14:textId="77777777" w:rsidR="00713796" w:rsidRPr="0084570B" w:rsidRDefault="00713796" w:rsidP="00713796">
      <w:pPr>
        <w:pStyle w:val="Normal1"/>
        <w:spacing w:line="276" w:lineRule="auto"/>
        <w:jc w:val="both"/>
        <w:rPr>
          <w:rFonts w:ascii="Times New Roman" w:eastAsia="Times New Roman" w:hAnsi="Times New Roman" w:cs="Times New Roman"/>
          <w:sz w:val="20"/>
          <w:szCs w:val="20"/>
          <w:lang w:val="en-US"/>
        </w:rPr>
      </w:pPr>
      <w:r w:rsidRPr="0084570B">
        <w:rPr>
          <w:rFonts w:ascii="Times New Roman" w:eastAsia="Times New Roman" w:hAnsi="Times New Roman" w:cs="Times New Roman"/>
          <w:b/>
          <w:color w:val="191919"/>
          <w:sz w:val="20"/>
          <w:szCs w:val="20"/>
          <w:lang w:val="en-US"/>
        </w:rPr>
        <w:t xml:space="preserve">Q(t): </w:t>
      </w:r>
      <w:r w:rsidRPr="0084570B">
        <w:rPr>
          <w:rFonts w:ascii="Times New Roman" w:eastAsia="Times New Roman" w:hAnsi="Times New Roman" w:cs="Times New Roman"/>
          <w:sz w:val="20"/>
          <w:szCs w:val="20"/>
          <w:lang w:val="en-US"/>
        </w:rPr>
        <w:t>mantle processing rate through time.</w:t>
      </w:r>
    </w:p>
    <w:p w14:paraId="24527FA2" w14:textId="77777777" w:rsidR="00713796" w:rsidRPr="0084570B" w:rsidRDefault="00713796" w:rsidP="00713796">
      <w:pPr>
        <w:pStyle w:val="Normal1"/>
        <w:spacing w:line="276" w:lineRule="auto"/>
        <w:jc w:val="both"/>
        <w:rPr>
          <w:rFonts w:ascii="Times New Roman" w:eastAsia="Arial" w:hAnsi="Times New Roman" w:cs="Times New Roman"/>
          <w:color w:val="BDC1C6"/>
          <w:sz w:val="19"/>
          <w:szCs w:val="19"/>
          <w:shd w:val="clear" w:color="auto" w:fill="202124"/>
          <w:lang w:val="en-US"/>
        </w:rPr>
      </w:pPr>
      <w:r w:rsidRPr="0084570B">
        <w:rPr>
          <w:rFonts w:ascii="Times New Roman" w:eastAsia="Times New Roman" w:hAnsi="Times New Roman" w:cs="Times New Roman"/>
          <w:b/>
          <w:sz w:val="20"/>
          <w:szCs w:val="20"/>
          <w:lang w:val="en-US"/>
        </w:rPr>
        <w:t>TF:</w:t>
      </w:r>
      <w:r w:rsidRPr="0084570B">
        <w:rPr>
          <w:rFonts w:ascii="Times New Roman" w:eastAsia="Times New Roman" w:hAnsi="Times New Roman" w:cs="Times New Roman"/>
          <w:sz w:val="20"/>
          <w:szCs w:val="20"/>
          <w:lang w:val="en-US"/>
        </w:rPr>
        <w:t xml:space="preserve"> Total Fission (i.e., from both U and Pu)</w:t>
      </w:r>
    </w:p>
    <w:p w14:paraId="2D4768DB" w14:textId="77777777" w:rsidR="00713796" w:rsidRPr="0084570B" w:rsidRDefault="00713796" w:rsidP="00713796">
      <w:pPr>
        <w:spacing w:line="360" w:lineRule="auto"/>
        <w:jc w:val="both"/>
        <w:rPr>
          <w:rFonts w:ascii="Times New Roman" w:eastAsia="Times New Roman" w:hAnsi="Times New Roman" w:cs="Times New Roman"/>
          <w:sz w:val="22"/>
          <w:szCs w:val="28"/>
          <w:lang w:val="en-US"/>
        </w:rPr>
      </w:pPr>
    </w:p>
    <w:p w14:paraId="7A0AAAFB" w14:textId="715D8F17" w:rsidR="00713796" w:rsidRPr="0084570B" w:rsidRDefault="00713796" w:rsidP="00713796">
      <w:pPr>
        <w:spacing w:line="360" w:lineRule="auto"/>
        <w:jc w:val="both"/>
        <w:rPr>
          <w:rFonts w:ascii="Times New Roman" w:eastAsia="Times New Roman" w:hAnsi="Times New Roman" w:cs="Times New Roman"/>
          <w:sz w:val="22"/>
          <w:szCs w:val="22"/>
          <w:lang w:val="en-US"/>
        </w:rPr>
      </w:pPr>
    </w:p>
    <w:p w14:paraId="064E5FFD" w14:textId="77777777" w:rsidR="00713796" w:rsidRPr="0084570B" w:rsidRDefault="00713796" w:rsidP="008120DE">
      <w:pPr>
        <w:pStyle w:val="Normal1"/>
        <w:spacing w:line="360" w:lineRule="auto"/>
        <w:rPr>
          <w:rFonts w:ascii="Times New Roman" w:eastAsia="Times New Roman" w:hAnsi="Times New Roman" w:cs="Times New Roman"/>
          <w:b/>
          <w:lang w:val="en-US"/>
        </w:rPr>
      </w:pPr>
    </w:p>
    <w:p w14:paraId="0413E648" w14:textId="77777777" w:rsidR="00713796" w:rsidRPr="0084570B" w:rsidRDefault="00713796">
      <w:pPr>
        <w:rPr>
          <w:rFonts w:ascii="Times New Roman" w:eastAsia="Times New Roman" w:hAnsi="Times New Roman" w:cs="Times New Roman"/>
          <w:b/>
          <w:lang w:val="en-US"/>
        </w:rPr>
      </w:pPr>
      <w:r w:rsidRPr="0084570B">
        <w:rPr>
          <w:rFonts w:ascii="Times New Roman" w:eastAsia="Times New Roman" w:hAnsi="Times New Roman" w:cs="Times New Roman"/>
          <w:b/>
          <w:lang w:val="en-US"/>
        </w:rPr>
        <w:br w:type="page"/>
      </w:r>
    </w:p>
    <w:p w14:paraId="5CB53614" w14:textId="6CE40EAD" w:rsidR="008120DE" w:rsidRPr="0084570B" w:rsidRDefault="008120DE" w:rsidP="008120DE">
      <w:pPr>
        <w:pStyle w:val="Normal1"/>
        <w:spacing w:line="360" w:lineRule="auto"/>
        <w:rPr>
          <w:rFonts w:ascii="Times New Roman" w:eastAsia="Times New Roman" w:hAnsi="Times New Roman" w:cs="Times New Roman"/>
          <w:b/>
          <w:lang w:val="en-US"/>
        </w:rPr>
      </w:pPr>
      <w:r w:rsidRPr="0084570B">
        <w:rPr>
          <w:rFonts w:ascii="Times New Roman" w:eastAsia="Times New Roman" w:hAnsi="Times New Roman" w:cs="Times New Roman"/>
          <w:b/>
          <w:lang w:val="en-US"/>
        </w:rPr>
        <w:lastRenderedPageBreak/>
        <w:t>A) Model parameterization</w:t>
      </w:r>
    </w:p>
    <w:p w14:paraId="2EE8730F" w14:textId="77777777" w:rsidR="008120DE" w:rsidRPr="0084570B" w:rsidRDefault="008120DE" w:rsidP="008120DE">
      <w:pPr>
        <w:pStyle w:val="Normal1"/>
        <w:spacing w:line="360" w:lineRule="auto"/>
        <w:rPr>
          <w:rFonts w:ascii="Times New Roman" w:eastAsia="Times New Roman" w:hAnsi="Times New Roman" w:cs="Times New Roman"/>
          <w:b/>
          <w:sz w:val="14"/>
          <w:lang w:val="en-US"/>
        </w:rPr>
      </w:pPr>
      <w:bookmarkStart w:id="7" w:name="_e0ysfv54a9rl" w:colFirst="0" w:colLast="0"/>
      <w:bookmarkEnd w:id="7"/>
    </w:p>
    <w:p w14:paraId="2692DF77" w14:textId="77777777" w:rsidR="008120DE" w:rsidRPr="0084570B" w:rsidRDefault="008120DE" w:rsidP="008120DE">
      <w:pPr>
        <w:pStyle w:val="Normal1"/>
        <w:numPr>
          <w:ilvl w:val="0"/>
          <w:numId w:val="2"/>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Degassing model</w:t>
      </w:r>
    </w:p>
    <w:p w14:paraId="6B93A9FA" w14:textId="3685EBE8"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One of the primary inputs of the model is the proposed mantle degassing history over time. This is linked to the rate at which oceanic crust is formed at mid-ocean ridges, referred to as the mantle processing rate. This rate was certainly higher early in Earth</w:t>
      </w:r>
      <w:r w:rsidR="006C5866" w:rsidRPr="0084570B">
        <w:rPr>
          <w:rFonts w:ascii="Times New Roman" w:eastAsia="Times New Roman" w:hAnsi="Times New Roman" w:cs="Times New Roman"/>
          <w:sz w:val="22"/>
          <w:szCs w:val="22"/>
          <w:lang w:val="en-US"/>
        </w:rPr>
        <w:t>'s</w:t>
      </w:r>
      <w:r w:rsidRPr="0084570B">
        <w:rPr>
          <w:rFonts w:ascii="Times New Roman" w:eastAsia="Times New Roman" w:hAnsi="Times New Roman" w:cs="Times New Roman"/>
          <w:sz w:val="22"/>
          <w:szCs w:val="22"/>
          <w:lang w:val="en-US"/>
        </w:rPr>
        <w:t xml:space="preserve"> history, but the exact form of this evolution, and the total magnitude of mantle processed is still poorly constrained</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{"citationItems":[{"id":"ITEM-1","itemData":{"DOI":"10.1002/2015GL063636","ISSN":"19448007","abstract":"Although fissiogenic Xe in mid-ocean ridge basalt (MORB) has long been used inferred to infer an early (&gt;4 Ga) catastrophic mantle degassing, decomposition of the analyzed gas in terms of its constituents requires several assumptions. The canonical interpretation has not been tested using the full spectrum of possible initial components and radiogenic inputs. We use a Markov chain Monte Carlo approach that examines a broad range of Xe isotopic components present during Earth formation and evolution. Our best fit simulations are consistent with the preservation of much higher Pu/U in MORB source Xe than previously recognized but are equally supportive of both limited and early catastrophic loss. We show that an initially Xe depleted upper mantle that becomes progressively ingassed through both radiogenic ingrowth and subduction of evolving atmospheric Xe is equally consistent with all evidence, underscoring the need for improvements to our knowledge of fission Xe spectra, MORB Xe measurements, and Pu geochemistry.","author":[{"dropping-particle":"","family":"Boehnke","given":"P.","non-dropping-particle":"","parse-names":false,"suffix":""},{"dropping-particle":"","family":"Caffee","given":"M. W.","non-dropping-particle":"","parse-names":false,"suffix":""},{"dropping-particle":"","family":"Harrison","given":"T. M.","non-dropping-particle":"","parse-names":false,"suffix":""}],"container-title":"Geophysical Research Letters","id":"ITEM-1","issue":"11","issued":{"date-parts":[["2015"]]},"page":"4367-4374","title":"Xenon isotopes in the MORB source, not distinctive of early global degassing","type":"article-journal","volume":"42"},"uris":["http://www.mendeley.com/documents/?uuid=891edb60-d3c0-449a-8093-456fb75fc9b8"]}],"mendeley":{"formattedCitation":"&lt;sup&gt;114&lt;/sup&gt;","plainTextFormattedCitation":"114","previouslyFormattedCitation":"&lt;sup&gt;114&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114</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Here, we can consider two simple end-member possibilities for mantle processing rate evolution, exponential and linear decay:</w:t>
      </w:r>
    </w:p>
    <w:p w14:paraId="1AECBC2E" w14:textId="27296F77" w:rsidR="008120DE" w:rsidRPr="0084570B" w:rsidRDefault="008549F7" w:rsidP="008120DE">
      <w:pPr>
        <w:pStyle w:val="Normal1"/>
        <w:spacing w:line="360" w:lineRule="auto"/>
        <w:jc w:val="right"/>
        <w:rPr>
          <w:rFonts w:ascii="Times New Roman" w:eastAsia="Cambria Math" w:hAnsi="Times New Roman" w:cs="Times New Roman"/>
          <w:sz w:val="22"/>
          <w:szCs w:val="22"/>
          <w:lang w:val="en-US"/>
        </w:rPr>
      </w:pPr>
      <m:oMath>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Q</m:t>
            </m:r>
          </m:e>
          <m:sub>
            <m:r>
              <w:rPr>
                <w:rFonts w:ascii="Cambria Math" w:eastAsia="Cambria Math" w:hAnsi="Cambria Math" w:cs="Times New Roman"/>
                <w:sz w:val="22"/>
                <w:szCs w:val="22"/>
                <w:lang w:val="en-US"/>
              </w:rPr>
              <m:t>exp</m:t>
            </m:r>
          </m:sub>
        </m:sSub>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 xml:space="preserve">= </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Q</m:t>
            </m:r>
          </m:e>
          <m:sub>
            <m:r>
              <w:rPr>
                <w:rFonts w:ascii="Cambria Math" w:eastAsia="Cambria Math" w:hAnsi="Cambria Math" w:cs="Times New Roman"/>
                <w:sz w:val="22"/>
                <w:szCs w:val="22"/>
                <w:lang w:val="en-US"/>
              </w:rPr>
              <m:t>p</m:t>
            </m:r>
          </m:sub>
        </m:sSub>
        <m:r>
          <w:rPr>
            <w:rFonts w:ascii="Cambria Math" w:eastAsia="Cambria Math" w:hAnsi="Cambria Math" w:cs="Times New Roman"/>
            <w:sz w:val="22"/>
            <w:szCs w:val="22"/>
            <w:lang w:val="en-US"/>
          </w:rPr>
          <m:t xml:space="preserve"> × </m:t>
        </m:r>
        <m:sSup>
          <m:sSupPr>
            <m:ctrlPr>
              <w:rPr>
                <w:rFonts w:ascii="Cambria Math" w:eastAsia="Cambria Math" w:hAnsi="Cambria Math" w:cs="Times New Roman"/>
                <w:sz w:val="22"/>
                <w:szCs w:val="22"/>
                <w:lang w:val="en-US"/>
              </w:rPr>
            </m:ctrlPr>
          </m:sSupPr>
          <m:e>
            <m:r>
              <w:rPr>
                <w:rFonts w:ascii="Cambria Math" w:eastAsia="Cambria Math" w:hAnsi="Cambria Math" w:cs="Times New Roman"/>
                <w:sz w:val="22"/>
                <w:szCs w:val="22"/>
                <w:lang w:val="en-US"/>
              </w:rPr>
              <m:t>e</m:t>
            </m:r>
          </m:e>
          <m:sup>
            <m:r>
              <w:rPr>
                <w:rFonts w:ascii="Cambria Math" w:eastAsia="Cambria Math" w:hAnsi="Cambria Math" w:cs="Times New Roman"/>
                <w:sz w:val="22"/>
                <w:szCs w:val="22"/>
                <w:lang w:val="en-US"/>
              </w:rPr>
              <m:t>η</m:t>
            </m:r>
            <m:d>
              <m:dPr>
                <m:ctrlPr>
                  <w:rPr>
                    <w:rFonts w:ascii="Cambria Math" w:eastAsia="Cambria Math" w:hAnsi="Cambria Math" w:cs="Times New Roman"/>
                    <w:sz w:val="22"/>
                    <w:szCs w:val="22"/>
                    <w:lang w:val="en-US"/>
                  </w:rPr>
                </m:ctrlPr>
              </m:dPr>
              <m:e>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T</m:t>
                    </m:r>
                  </m:e>
                  <m:sub>
                    <m:r>
                      <w:rPr>
                        <w:rFonts w:ascii="Cambria Math" w:eastAsia="Cambria Math" w:hAnsi="Cambria Math" w:cs="Times New Roman"/>
                        <w:sz w:val="22"/>
                        <w:szCs w:val="22"/>
                        <w:lang w:val="en-US"/>
                      </w:rPr>
                      <m:t>E</m:t>
                    </m:r>
                  </m:sub>
                </m:sSub>
                <m:r>
                  <w:rPr>
                    <w:rFonts w:ascii="Cambria Math" w:eastAsia="Cambria Math" w:hAnsi="Cambria Math" w:cs="Times New Roman"/>
                    <w:sz w:val="22"/>
                    <w:szCs w:val="22"/>
                    <w:lang w:val="en-US"/>
                  </w:rPr>
                  <m:t>-</m:t>
                </m:r>
                <m:r>
                  <w:rPr>
                    <w:rFonts w:ascii="Cambria Math" w:eastAsia="Cambria Math" w:hAnsi="Cambria Math" w:cs="Times New Roman"/>
                    <w:sz w:val="22"/>
                    <w:szCs w:val="22"/>
                    <w:lang w:val="en-US"/>
                  </w:rPr>
                  <m:t>t</m:t>
                </m:r>
              </m:e>
            </m:d>
          </m:sup>
        </m:sSup>
      </m:oMath>
      <w:r w:rsidR="008120DE"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964453" w:rsidRPr="0084570B">
        <w:rPr>
          <w:rFonts w:ascii="Times New Roman" w:eastAsia="Times New Roman" w:hAnsi="Times New Roman" w:cs="Times New Roman"/>
          <w:sz w:val="22"/>
          <w:szCs w:val="22"/>
          <w:lang w:val="en-US"/>
        </w:rPr>
        <w:tab/>
        <w:t xml:space="preserve">         (EQ. </w:t>
      </w:r>
      <w:r w:rsidR="00D47278">
        <w:rPr>
          <w:rFonts w:ascii="Times New Roman" w:eastAsia="Times New Roman" w:hAnsi="Times New Roman" w:cs="Times New Roman"/>
          <w:sz w:val="22"/>
          <w:szCs w:val="22"/>
          <w:lang w:val="en-US"/>
        </w:rPr>
        <w:t>S1</w:t>
      </w:r>
      <w:r w:rsidR="008120DE" w:rsidRPr="0084570B">
        <w:rPr>
          <w:rFonts w:ascii="Times New Roman" w:eastAsia="Times New Roman" w:hAnsi="Times New Roman" w:cs="Times New Roman"/>
          <w:sz w:val="22"/>
          <w:szCs w:val="22"/>
          <w:lang w:val="en-US"/>
        </w:rPr>
        <w:t>)</w:t>
      </w:r>
    </w:p>
    <w:p w14:paraId="06FBFAF8" w14:textId="45818E4D" w:rsidR="008120DE" w:rsidRPr="0084570B" w:rsidRDefault="008120DE" w:rsidP="008120DE">
      <w:pPr>
        <w:pStyle w:val="Normal1"/>
        <w:spacing w:line="360" w:lineRule="auto"/>
        <w:jc w:val="right"/>
        <w:rPr>
          <w:rFonts w:ascii="Times New Roman" w:eastAsia="Cambria Math" w:hAnsi="Times New Roman" w:cs="Times New Roman"/>
          <w:sz w:val="22"/>
          <w:szCs w:val="22"/>
          <w:lang w:val="en-US"/>
        </w:rPr>
      </w:pPr>
      <w:r w:rsidRPr="0084570B">
        <w:rPr>
          <w:rFonts w:ascii="Times New Roman" w:eastAsia="Cambria Math" w:hAnsi="Times New Roman" w:cs="Times New Roman"/>
          <w:sz w:val="22"/>
          <w:szCs w:val="22"/>
          <w:lang w:val="en-US"/>
        </w:rPr>
        <w:t xml:space="preserve"> </w:t>
      </w:r>
      <m:oMath>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Q</m:t>
            </m:r>
          </m:e>
          <m:sub>
            <m:r>
              <w:rPr>
                <w:rFonts w:ascii="Cambria Math" w:eastAsia="Cambria Math" w:hAnsi="Cambria Math" w:cs="Times New Roman"/>
                <w:sz w:val="22"/>
                <w:szCs w:val="22"/>
                <w:lang w:val="en-US"/>
              </w:rPr>
              <m:t>lin</m:t>
            </m:r>
          </m:sub>
        </m:sSub>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 xml:space="preserve">= m × </m:t>
        </m:r>
        <m:d>
          <m:dPr>
            <m:ctrlPr>
              <w:rPr>
                <w:rFonts w:ascii="Cambria Math" w:eastAsia="Cambria Math" w:hAnsi="Cambria Math" w:cs="Times New Roman"/>
                <w:sz w:val="22"/>
                <w:szCs w:val="22"/>
                <w:lang w:val="en-US"/>
              </w:rPr>
            </m:ctrlPr>
          </m:dPr>
          <m:e>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T</m:t>
                </m:r>
              </m:e>
              <m:sub>
                <m:r>
                  <w:rPr>
                    <w:rFonts w:ascii="Cambria Math" w:eastAsia="Cambria Math" w:hAnsi="Cambria Math" w:cs="Times New Roman"/>
                    <w:sz w:val="22"/>
                    <w:szCs w:val="22"/>
                    <w:lang w:val="en-US"/>
                  </w:rPr>
                  <m:t>E</m:t>
                </m:r>
              </m:sub>
            </m:sSub>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Q</m:t>
            </m:r>
          </m:e>
          <m:sub>
            <m:r>
              <w:rPr>
                <w:rFonts w:ascii="Cambria Math" w:eastAsia="Cambria Math" w:hAnsi="Cambria Math" w:cs="Times New Roman"/>
                <w:sz w:val="22"/>
                <w:szCs w:val="22"/>
                <w:lang w:val="en-US"/>
              </w:rPr>
              <m:t>p</m:t>
            </m:r>
          </m:sub>
        </m:sSub>
      </m:oMath>
      <w:r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964453" w:rsidRPr="0084570B">
        <w:rPr>
          <w:rFonts w:ascii="Times New Roman" w:eastAsia="Times New Roman" w:hAnsi="Times New Roman" w:cs="Times New Roman"/>
          <w:sz w:val="22"/>
          <w:szCs w:val="22"/>
          <w:lang w:val="en-US"/>
        </w:rPr>
        <w:tab/>
        <w:t xml:space="preserve">         (EQ. </w:t>
      </w:r>
      <w:r w:rsidR="00D47278">
        <w:rPr>
          <w:rFonts w:ascii="Times New Roman" w:eastAsia="Times New Roman" w:hAnsi="Times New Roman" w:cs="Times New Roman"/>
          <w:sz w:val="22"/>
          <w:szCs w:val="22"/>
          <w:lang w:val="en-US"/>
        </w:rPr>
        <w:t>S2</w:t>
      </w:r>
      <w:r w:rsidRPr="0084570B">
        <w:rPr>
          <w:rFonts w:ascii="Times New Roman" w:eastAsia="Times New Roman" w:hAnsi="Times New Roman" w:cs="Times New Roman"/>
          <w:sz w:val="22"/>
          <w:szCs w:val="22"/>
          <w:lang w:val="en-US"/>
        </w:rPr>
        <w:t>)</w:t>
      </w:r>
    </w:p>
    <w:p w14:paraId="0BD7AFCC" w14:textId="77777777" w:rsidR="008120DE" w:rsidRPr="0084570B" w:rsidRDefault="008120DE" w:rsidP="008120DE">
      <w:pPr>
        <w:pStyle w:val="Normal1"/>
        <w:spacing w:line="360" w:lineRule="auto"/>
        <w:jc w:val="center"/>
        <w:rPr>
          <w:rFonts w:ascii="Times New Roman" w:eastAsia="Cambria Math" w:hAnsi="Times New Roman" w:cs="Times New Roman"/>
          <w:sz w:val="22"/>
          <w:szCs w:val="22"/>
          <w:lang w:val="en-US"/>
        </w:rPr>
      </w:pPr>
    </w:p>
    <w:p w14:paraId="6C7FE552" w14:textId="72DDBD55"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Q</w:t>
      </w:r>
      <w:r w:rsidRPr="0084570B">
        <w:rPr>
          <w:rFonts w:ascii="Times New Roman" w:eastAsia="Times New Roman" w:hAnsi="Times New Roman" w:cs="Times New Roman"/>
          <w:i/>
          <w:sz w:val="22"/>
          <w:szCs w:val="22"/>
          <w:vertAlign w:val="subscript"/>
          <w:lang w:val="en-US"/>
        </w:rPr>
        <w:t>p</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is the present-day mantle processing rate of 6.1 x10</w:t>
      </w:r>
      <w:r w:rsidRPr="0084570B">
        <w:rPr>
          <w:rFonts w:ascii="Times New Roman" w:eastAsia="Times New Roman" w:hAnsi="Times New Roman" w:cs="Times New Roman"/>
          <w:sz w:val="22"/>
          <w:szCs w:val="22"/>
          <w:vertAlign w:val="superscript"/>
          <w:lang w:val="en-US"/>
        </w:rPr>
        <w:t>17</w:t>
      </w:r>
      <w:r w:rsidRPr="0084570B">
        <w:rPr>
          <w:rFonts w:ascii="Times New Roman" w:eastAsia="Times New Roman" w:hAnsi="Times New Roman" w:cs="Times New Roman"/>
          <w:sz w:val="22"/>
          <w:szCs w:val="22"/>
          <w:vertAlign w:val="subscript"/>
          <w:lang w:val="en-US"/>
        </w:rPr>
        <w:t xml:space="preserve"> </w:t>
      </w:r>
      <w:r w:rsidRPr="0084570B">
        <w:rPr>
          <w:rFonts w:ascii="Times New Roman" w:eastAsia="Times New Roman" w:hAnsi="Times New Roman" w:cs="Times New Roman"/>
          <w:sz w:val="22"/>
          <w:szCs w:val="22"/>
          <w:lang w:val="en-US"/>
        </w:rPr>
        <w:t>g.yr</w:t>
      </w:r>
      <w:r w:rsidRPr="0084570B">
        <w:rPr>
          <w:rFonts w:ascii="Times New Roman" w:eastAsia="Times New Roman" w:hAnsi="Times New Roman" w:cs="Times New Roman"/>
          <w:sz w:val="22"/>
          <w:szCs w:val="22"/>
          <w:vertAlign w:val="superscript"/>
          <w:lang w:val="en-US"/>
        </w:rPr>
        <w:t xml:space="preserve">-1 </w:t>
      </w:r>
      <w:r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i/>
          <w:sz w:val="22"/>
          <w:szCs w:val="22"/>
          <w:vertAlign w:val="subscript"/>
          <w:lang w:val="en-US"/>
        </w:rPr>
        <w:t>E</w:t>
      </w:r>
      <w:r w:rsidRPr="0084570B">
        <w:rPr>
          <w:rFonts w:ascii="Times New Roman" w:eastAsia="Times New Roman" w:hAnsi="Times New Roman" w:cs="Times New Roman"/>
          <w:sz w:val="22"/>
          <w:szCs w:val="22"/>
          <w:lang w:val="en-US"/>
        </w:rPr>
        <w:t xml:space="preserve"> is the age of the Earth and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 xml:space="preserve"> is model time. The parameter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xml:space="preserve"> represents the rate at which mantle processing increases when moving back through time, and as such directly controls the total amount of degassing in the model. The equivalent parameter in the linear component is the gradient </w:t>
      </w:r>
      <w:r w:rsidRPr="0084570B">
        <w:rPr>
          <w:rFonts w:ascii="Times New Roman" w:eastAsia="Times New Roman" w:hAnsi="Times New Roman" w:cs="Times New Roman"/>
          <w:i/>
          <w:sz w:val="22"/>
          <w:szCs w:val="22"/>
          <w:lang w:val="en-US"/>
        </w:rPr>
        <w:t>m</w:t>
      </w:r>
      <w:r w:rsidRPr="0084570B">
        <w:rPr>
          <w:rFonts w:ascii="Times New Roman" w:eastAsia="Times New Roman" w:hAnsi="Times New Roman" w:cs="Times New Roman"/>
          <w:sz w:val="22"/>
          <w:szCs w:val="22"/>
          <w:lang w:val="en-US"/>
        </w:rPr>
        <w:t xml:space="preserve">. We can directly relate </w:t>
      </w:r>
      <w:r w:rsidRPr="0084570B">
        <w:rPr>
          <w:rFonts w:ascii="Times New Roman" w:eastAsia="Times New Roman" w:hAnsi="Times New Roman" w:cs="Times New Roman"/>
          <w:i/>
          <w:sz w:val="22"/>
          <w:szCs w:val="22"/>
          <w:lang w:val="en-US"/>
        </w:rPr>
        <w:t>m</w:t>
      </w:r>
      <w:r w:rsidRPr="0084570B">
        <w:rPr>
          <w:rFonts w:ascii="Times New Roman" w:eastAsia="Times New Roman" w:hAnsi="Times New Roman" w:cs="Times New Roman"/>
          <w:sz w:val="22"/>
          <w:szCs w:val="22"/>
          <w:lang w:val="en-US"/>
        </w:rPr>
        <w:t xml:space="preserve"> to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xml:space="preserve"> such that over the model time they produce the same total amount of degassing.</w:t>
      </w:r>
    </w:p>
    <w:p w14:paraId="018D6E2F"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29C8AA10" w14:textId="72234C7A"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m:oMath>
        <m:r>
          <w:rPr>
            <w:rFonts w:ascii="Cambria Math" w:eastAsia="Cambria Math" w:hAnsi="Cambria Math" w:cs="Times New Roman"/>
            <w:sz w:val="22"/>
            <w:szCs w:val="22"/>
            <w:lang w:val="en-US"/>
          </w:rPr>
          <m:t>m=</m:t>
        </m:r>
        <m:f>
          <m:fPr>
            <m:ctrlPr>
              <w:rPr>
                <w:rFonts w:ascii="Cambria Math" w:eastAsia="Cambria Math" w:hAnsi="Cambria Math" w:cs="Times New Roman"/>
                <w:sz w:val="22"/>
                <w:szCs w:val="22"/>
                <w:lang w:val="en-US"/>
              </w:rPr>
            </m:ctrlPr>
          </m:fPr>
          <m:num>
            <m:r>
              <w:rPr>
                <w:rFonts w:ascii="Cambria Math" w:eastAsia="Cambria Math" w:hAnsi="Cambria Math" w:cs="Times New Roman"/>
                <w:sz w:val="22"/>
                <w:szCs w:val="22"/>
                <w:lang w:val="en-US"/>
              </w:rPr>
              <m:t>2</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 xml:space="preserve"> × Q</m:t>
                </m:r>
              </m:e>
              <m:sub>
                <m:r>
                  <w:rPr>
                    <w:rFonts w:ascii="Cambria Math" w:eastAsia="Cambria Math" w:hAnsi="Cambria Math" w:cs="Times New Roman"/>
                    <w:sz w:val="22"/>
                    <w:szCs w:val="22"/>
                    <w:lang w:val="en-US"/>
                  </w:rPr>
                  <m:t>p</m:t>
                </m:r>
              </m:sub>
            </m:sSub>
          </m:num>
          <m:den>
            <m:sSubSup>
              <m:sSubSupPr>
                <m:ctrlPr>
                  <w:rPr>
                    <w:rFonts w:ascii="Cambria Math" w:eastAsia="Cambria Math" w:hAnsi="Cambria Math" w:cs="Times New Roman"/>
                    <w:sz w:val="22"/>
                    <w:szCs w:val="22"/>
                    <w:lang w:val="en-US"/>
                  </w:rPr>
                </m:ctrlPr>
              </m:sSubSupPr>
              <m:e>
                <m:r>
                  <w:rPr>
                    <w:rFonts w:ascii="Cambria Math" w:eastAsia="Cambria Math" w:hAnsi="Cambria Math" w:cs="Times New Roman"/>
                    <w:sz w:val="22"/>
                    <w:szCs w:val="22"/>
                    <w:lang w:val="en-US"/>
                  </w:rPr>
                  <m:t>T</m:t>
                </m:r>
              </m:e>
              <m:sub>
                <m:r>
                  <w:rPr>
                    <w:rFonts w:ascii="Cambria Math" w:eastAsia="Cambria Math" w:hAnsi="Cambria Math" w:cs="Times New Roman"/>
                    <w:sz w:val="22"/>
                    <w:szCs w:val="22"/>
                    <w:lang w:val="en-US"/>
                  </w:rPr>
                  <m:t>E</m:t>
                </m:r>
              </m:sub>
              <m:sup>
                <m:r>
                  <w:rPr>
                    <w:rFonts w:ascii="Cambria Math" w:eastAsia="Cambria Math" w:hAnsi="Cambria Math" w:cs="Times New Roman"/>
                    <w:sz w:val="22"/>
                    <w:szCs w:val="22"/>
                    <w:lang w:val="en-US"/>
                  </w:rPr>
                  <m:t>2</m:t>
                </m:r>
              </m:sup>
            </m:sSubSup>
          </m:den>
        </m:f>
        <m:d>
          <m:dPr>
            <m:ctrlPr>
              <w:rPr>
                <w:rFonts w:ascii="Cambria Math" w:eastAsia="Cambria Math" w:hAnsi="Cambria Math" w:cs="Times New Roman"/>
                <w:sz w:val="22"/>
                <w:szCs w:val="22"/>
                <w:lang w:val="en-US"/>
              </w:rPr>
            </m:ctrlPr>
          </m:dPr>
          <m:e>
            <m:f>
              <m:fPr>
                <m:ctrlPr>
                  <w:rPr>
                    <w:rFonts w:ascii="Cambria Math" w:eastAsia="Cambria Math" w:hAnsi="Cambria Math" w:cs="Times New Roman"/>
                    <w:sz w:val="22"/>
                    <w:szCs w:val="22"/>
                    <w:lang w:val="en-US"/>
                  </w:rPr>
                </m:ctrlPr>
              </m:fPr>
              <m:num>
                <m:sSup>
                  <m:sSupPr>
                    <m:ctrlPr>
                      <w:rPr>
                        <w:rFonts w:ascii="Cambria Math" w:eastAsia="Cambria Math" w:hAnsi="Cambria Math" w:cs="Times New Roman"/>
                        <w:sz w:val="22"/>
                        <w:szCs w:val="22"/>
                        <w:lang w:val="en-US"/>
                      </w:rPr>
                    </m:ctrlPr>
                  </m:sSupPr>
                  <m:e>
                    <m:r>
                      <w:rPr>
                        <w:rFonts w:ascii="Cambria Math" w:eastAsia="Cambria Math" w:hAnsi="Cambria Math" w:cs="Times New Roman"/>
                        <w:sz w:val="22"/>
                        <w:szCs w:val="22"/>
                        <w:lang w:val="en-US"/>
                      </w:rPr>
                      <m:t>e</m:t>
                    </m:r>
                  </m:e>
                  <m:sup>
                    <m:r>
                      <w:rPr>
                        <w:rFonts w:ascii="Cambria Math" w:eastAsia="Cambria Math" w:hAnsi="Cambria Math" w:cs="Times New Roman"/>
                        <w:sz w:val="22"/>
                        <w:szCs w:val="22"/>
                        <w:lang w:val="en-US"/>
                      </w:rPr>
                      <m:t>η</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T</m:t>
                        </m:r>
                      </m:e>
                      <m:sub>
                        <m:r>
                          <w:rPr>
                            <w:rFonts w:ascii="Cambria Math" w:eastAsia="Cambria Math" w:hAnsi="Cambria Math" w:cs="Times New Roman"/>
                            <w:sz w:val="22"/>
                            <w:szCs w:val="22"/>
                            <w:lang w:val="en-US"/>
                          </w:rPr>
                          <m:t>E</m:t>
                        </m:r>
                      </m:sub>
                    </m:sSub>
                  </m:sup>
                </m:sSup>
                <m:r>
                  <w:rPr>
                    <w:rFonts w:ascii="Cambria Math" w:eastAsia="Cambria Math" w:hAnsi="Cambria Math" w:cs="Times New Roman"/>
                    <w:sz w:val="22"/>
                    <w:szCs w:val="22"/>
                    <w:lang w:val="en-US"/>
                  </w:rPr>
                  <m:t xml:space="preserve">-1 </m:t>
                </m:r>
              </m:num>
              <m:den>
                <m:r>
                  <w:rPr>
                    <w:rFonts w:ascii="Cambria Math" w:eastAsia="Cambria Math" w:hAnsi="Cambria Math" w:cs="Times New Roman"/>
                    <w:sz w:val="22"/>
                    <w:szCs w:val="22"/>
                    <w:lang w:val="en-US"/>
                  </w:rPr>
                  <m:t>η</m:t>
                </m:r>
              </m:den>
            </m:f>
            <m:r>
              <w:rPr>
                <w:rFonts w:ascii="Cambria Math" w:eastAsia="Cambria Math" w:hAnsi="Cambria Math" w:cs="Times New Roman"/>
                <w:sz w:val="22"/>
                <w:szCs w:val="22"/>
                <w:lang w:val="en-US"/>
              </w:rPr>
              <m:t>-</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T</m:t>
                </m:r>
              </m:e>
              <m:sub>
                <m:r>
                  <w:rPr>
                    <w:rFonts w:ascii="Cambria Math" w:eastAsia="Cambria Math" w:hAnsi="Cambria Math" w:cs="Times New Roman"/>
                    <w:sz w:val="22"/>
                    <w:szCs w:val="22"/>
                    <w:lang w:val="en-US"/>
                  </w:rPr>
                  <m:t>E</m:t>
                </m:r>
              </m:sub>
            </m:sSub>
          </m:e>
        </m:d>
      </m:oMath>
      <w:r w:rsidRPr="0084570B">
        <w:rPr>
          <w:rFonts w:ascii="Times New Roman" w:eastAsia="Cambria Math" w:hAnsi="Times New Roman" w:cs="Times New Roman"/>
          <w:sz w:val="22"/>
          <w:szCs w:val="22"/>
          <w:lang w:val="en-US"/>
        </w:rPr>
        <w:t xml:space="preserve">               </w:t>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t xml:space="preserve">         (EQ. S3</w:t>
      </w:r>
      <w:r w:rsidRPr="0084570B">
        <w:rPr>
          <w:rFonts w:ascii="Times New Roman" w:eastAsia="Times New Roman" w:hAnsi="Times New Roman" w:cs="Times New Roman"/>
          <w:sz w:val="22"/>
          <w:szCs w:val="22"/>
          <w:lang w:val="en-US"/>
        </w:rPr>
        <w:t>)</w:t>
      </w:r>
    </w:p>
    <w:p w14:paraId="1230E901" w14:textId="77777777"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w:p>
    <w:p w14:paraId="79678B63" w14:textId="03499EF8" w:rsidR="008120DE" w:rsidRPr="0084570B" w:rsidRDefault="008120DE" w:rsidP="008120DE">
      <w:pPr>
        <w:pStyle w:val="Normal1"/>
        <w:spacing w:line="360" w:lineRule="auto"/>
        <w:ind w:firstLine="708"/>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We can then combine the linear and exponential components to generate a mantle processing curve that can range from either purely exponential to purely linear or anywhere in between, for a given value of total degassing amount (controlled by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w:t>
      </w:r>
    </w:p>
    <w:p w14:paraId="145B4A1E"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0D372769" w14:textId="1F87E838"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m:oMath>
        <m:r>
          <w:rPr>
            <w:rFonts w:ascii="Cambria Math" w:eastAsia="Cambria Math" w:hAnsi="Cambria Math" w:cs="Times New Roman"/>
            <w:sz w:val="22"/>
            <w:szCs w:val="22"/>
            <w:lang w:val="en-US"/>
          </w:rPr>
          <m:t>Q</m:t>
        </m:r>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 xml:space="preserve">= </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f</m:t>
            </m:r>
          </m:e>
          <m:sub>
            <m:r>
              <w:rPr>
                <w:rFonts w:ascii="Cambria Math" w:eastAsia="Cambria Math" w:hAnsi="Cambria Math" w:cs="Times New Roman"/>
                <w:sz w:val="22"/>
                <w:szCs w:val="22"/>
                <w:lang w:val="en-US"/>
              </w:rPr>
              <m:t>exp</m:t>
            </m:r>
          </m:sub>
        </m:sSub>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 xml:space="preserve"> × Q</m:t>
            </m:r>
          </m:e>
          <m:sub>
            <m:r>
              <w:rPr>
                <w:rFonts w:ascii="Cambria Math" w:eastAsia="Cambria Math" w:hAnsi="Cambria Math" w:cs="Times New Roman"/>
                <w:sz w:val="22"/>
                <w:szCs w:val="22"/>
                <w:lang w:val="en-US"/>
              </w:rPr>
              <m:t>exp</m:t>
            </m:r>
          </m:sub>
        </m:sSub>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m:t>
        </m:r>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1-</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f</m:t>
                </m:r>
              </m:e>
              <m:sub>
                <m:r>
                  <w:rPr>
                    <w:rFonts w:ascii="Cambria Math" w:eastAsia="Cambria Math" w:hAnsi="Cambria Math" w:cs="Times New Roman"/>
                    <w:sz w:val="22"/>
                    <w:szCs w:val="22"/>
                    <w:lang w:val="en-US"/>
                  </w:rPr>
                  <m:t>exp</m:t>
                </m:r>
              </m:sub>
            </m:sSub>
          </m:e>
        </m:d>
        <m:r>
          <w:rPr>
            <w:rFonts w:ascii="Cambria Math" w:eastAsia="Cambria Math" w:hAnsi="Cambria Math" w:cs="Times New Roman"/>
            <w:sz w:val="22"/>
            <w:szCs w:val="22"/>
            <w:lang w:val="en-US"/>
          </w:rPr>
          <m:t xml:space="preserve">× </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Q</m:t>
            </m:r>
          </m:e>
          <m:sub>
            <m:r>
              <w:rPr>
                <w:rFonts w:ascii="Cambria Math" w:eastAsia="Cambria Math" w:hAnsi="Cambria Math" w:cs="Times New Roman"/>
                <w:sz w:val="22"/>
                <w:szCs w:val="22"/>
                <w:lang w:val="en-US"/>
              </w:rPr>
              <m:t>lin</m:t>
            </m:r>
          </m:sub>
        </m:sSub>
        <m:r>
          <w:rPr>
            <w:rFonts w:ascii="Cambria Math" w:eastAsia="Cambria Math" w:hAnsi="Cambria Math" w:cs="Times New Roman"/>
            <w:sz w:val="22"/>
            <w:szCs w:val="22"/>
            <w:lang w:val="en-US"/>
          </w:rPr>
          <m:t>(</m:t>
        </m:r>
        <m:r>
          <w:rPr>
            <w:rFonts w:ascii="Times New Roman" w:eastAsia="Cambria Math" w:hAnsi="Times New Roman" w:cs="Times New Roman"/>
            <w:sz w:val="22"/>
            <w:szCs w:val="22"/>
            <w:lang w:val="en-US"/>
          </w:rPr>
          <m:t>t</m:t>
        </m:r>
        <m:r>
          <w:rPr>
            <w:rFonts w:ascii="Cambria Math" w:eastAsia="Cambria Math" w:hAnsi="Cambria Math" w:cs="Times New Roman"/>
            <w:sz w:val="22"/>
            <w:szCs w:val="22"/>
            <w:lang w:val="en-US"/>
          </w:rPr>
          <m:t>)</m:t>
        </m:r>
      </m:oMath>
      <w:r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 xml:space="preserve">         (EQ. S4</w:t>
      </w:r>
      <w:r w:rsidRPr="0084570B">
        <w:rPr>
          <w:rFonts w:ascii="Times New Roman" w:eastAsia="Times New Roman" w:hAnsi="Times New Roman" w:cs="Times New Roman"/>
          <w:sz w:val="22"/>
          <w:szCs w:val="22"/>
          <w:lang w:val="en-US"/>
        </w:rPr>
        <w:t>)</w:t>
      </w:r>
    </w:p>
    <w:p w14:paraId="17EF97B3" w14:textId="77777777" w:rsidR="008120DE" w:rsidRPr="0084570B" w:rsidRDefault="008120DE" w:rsidP="008120DE">
      <w:pPr>
        <w:pStyle w:val="Normal1"/>
        <w:spacing w:line="360" w:lineRule="auto"/>
        <w:jc w:val="right"/>
        <w:rPr>
          <w:rFonts w:ascii="Times New Roman" w:eastAsia="Cambria Math" w:hAnsi="Times New Roman" w:cs="Times New Roman"/>
          <w:sz w:val="22"/>
          <w:szCs w:val="22"/>
          <w:lang w:val="en-US"/>
        </w:rPr>
      </w:pPr>
    </w:p>
    <w:p w14:paraId="5D9B7C7A"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is the fraction of the exponential component in the resulting mantle processing curve. The mantle processing curve can be converted into a degassing curve as follows:</w:t>
      </w:r>
    </w:p>
    <w:p w14:paraId="310334FB"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631440CC" w14:textId="5F0D244D"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m:oMath>
        <m:r>
          <w:rPr>
            <w:rFonts w:ascii="Cambria Math" w:eastAsia="Cambria Math" w:hAnsi="Cambria Math" w:cs="Times New Roman"/>
            <w:sz w:val="22"/>
            <w:szCs w:val="22"/>
            <w:lang w:val="en-US"/>
          </w:rPr>
          <m:t>D</m:t>
        </m:r>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 xml:space="preserve">= </m:t>
        </m:r>
        <m:f>
          <m:fPr>
            <m:ctrlPr>
              <w:rPr>
                <w:rFonts w:ascii="Cambria Math" w:eastAsia="Cambria Math" w:hAnsi="Cambria Math" w:cs="Times New Roman"/>
                <w:sz w:val="22"/>
                <w:szCs w:val="22"/>
                <w:lang w:val="en-US"/>
              </w:rPr>
            </m:ctrlPr>
          </m:fPr>
          <m:num>
            <m:r>
              <w:rPr>
                <w:rFonts w:ascii="Cambria Math" w:eastAsia="Cambria Math" w:hAnsi="Cambria Math" w:cs="Times New Roman"/>
                <w:sz w:val="22"/>
                <w:szCs w:val="22"/>
                <w:lang w:val="en-US"/>
              </w:rPr>
              <m:t>Q(t)</m:t>
            </m:r>
          </m:num>
          <m:den>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M</m:t>
                </m:r>
              </m:e>
              <m:sub>
                <m:r>
                  <w:rPr>
                    <w:rFonts w:ascii="Cambria Math" w:eastAsia="Cambria Math" w:hAnsi="Cambria Math" w:cs="STIXGeneral-Regular"/>
                    <w:sz w:val="22"/>
                    <w:szCs w:val="22"/>
                    <w:lang w:val="en-US"/>
                  </w:rPr>
                  <m:t>C</m:t>
                </m:r>
                <m:r>
                  <w:rPr>
                    <w:rFonts w:ascii="Cambria Math" w:eastAsia="Cambria Math" w:hAnsi="Cambria Math" w:cs="Times New Roman"/>
                    <w:sz w:val="22"/>
                    <w:szCs w:val="22"/>
                    <w:lang w:val="en-US"/>
                  </w:rPr>
                  <m:t>M</m:t>
                </m:r>
              </m:sub>
            </m:sSub>
          </m:den>
        </m:f>
      </m:oMath>
      <w:r w:rsidRPr="0084570B">
        <w:rPr>
          <w:rFonts w:ascii="Times New Roman" w:eastAsia="Cambria Math" w:hAnsi="Times New Roman" w:cs="Times New Roman"/>
          <w:sz w:val="22"/>
          <w:szCs w:val="22"/>
          <w:lang w:val="en-US"/>
        </w:rPr>
        <w:t xml:space="preserve">               </w:t>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t xml:space="preserve">         (EQ. S5</w:t>
      </w:r>
      <w:r w:rsidRPr="0084570B">
        <w:rPr>
          <w:rFonts w:ascii="Times New Roman" w:eastAsia="Times New Roman" w:hAnsi="Times New Roman" w:cs="Times New Roman"/>
          <w:sz w:val="22"/>
          <w:szCs w:val="22"/>
          <w:lang w:val="en-US"/>
        </w:rPr>
        <w:t>)</w:t>
      </w:r>
    </w:p>
    <w:p w14:paraId="1B06B41E" w14:textId="77777777" w:rsidR="008120DE" w:rsidRPr="0084570B" w:rsidRDefault="008120DE" w:rsidP="008120DE">
      <w:pPr>
        <w:pStyle w:val="Normal1"/>
        <w:spacing w:line="360" w:lineRule="auto"/>
        <w:jc w:val="right"/>
        <w:rPr>
          <w:rFonts w:ascii="Times New Roman" w:eastAsia="Times New Roman" w:hAnsi="Times New Roman" w:cs="Times New Roman"/>
          <w:b/>
          <w:sz w:val="22"/>
          <w:szCs w:val="22"/>
          <w:lang w:val="en-US"/>
        </w:rPr>
      </w:pPr>
    </w:p>
    <w:p w14:paraId="784C0BBF" w14:textId="39EB4F01"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M</w:t>
      </w:r>
      <w:r w:rsidRPr="0084570B">
        <w:rPr>
          <w:rFonts w:ascii="Times New Roman" w:eastAsia="Times New Roman" w:hAnsi="Times New Roman" w:cs="Times New Roman"/>
          <w:i/>
          <w:sz w:val="22"/>
          <w:szCs w:val="22"/>
          <w:vertAlign w:val="subscript"/>
          <w:lang w:val="en-US"/>
        </w:rPr>
        <w:t>CM</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is the mass of the convecting mantle (UM). </w:t>
      </w:r>
      <w:r w:rsidRPr="0084570B">
        <w:rPr>
          <w:rFonts w:ascii="Times New Roman" w:eastAsia="Times New Roman" w:hAnsi="Times New Roman" w:cs="Times New Roman"/>
          <w:i/>
          <w:sz w:val="22"/>
          <w:szCs w:val="22"/>
          <w:lang w:val="en-US"/>
        </w:rPr>
        <w:t xml:space="preserve">D(t) </w:t>
      </w:r>
      <w:r w:rsidRPr="0084570B">
        <w:rPr>
          <w:rFonts w:ascii="Times New Roman" w:eastAsia="Times New Roman" w:hAnsi="Times New Roman" w:cs="Times New Roman"/>
          <w:sz w:val="22"/>
          <w:szCs w:val="22"/>
          <w:lang w:val="en-US"/>
        </w:rPr>
        <w:t>represents the fractional degassing rate in units of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We can thus generate degassing curves using only two input parameters: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which controls the total amount of mantle degassing over Earth</w:t>
      </w:r>
      <w:r w:rsidR="006C5866" w:rsidRPr="0084570B">
        <w:rPr>
          <w:rFonts w:ascii="Times New Roman" w:eastAsia="Times New Roman" w:hAnsi="Times New Roman" w:cs="Times New Roman"/>
          <w:sz w:val="22"/>
          <w:szCs w:val="22"/>
          <w:lang w:val="en-US"/>
        </w:rPr>
        <w:t>'s</w:t>
      </w:r>
      <w:r w:rsidRPr="0084570B">
        <w:rPr>
          <w:rFonts w:ascii="Times New Roman" w:eastAsia="Times New Roman" w:hAnsi="Times New Roman" w:cs="Times New Roman"/>
          <w:sz w:val="22"/>
          <w:szCs w:val="22"/>
          <w:lang w:val="en-US"/>
        </w:rPr>
        <w:t xml:space="preserve"> history, and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which controls the shape of the degassing curve (exponential </w:t>
      </w:r>
      <w:r w:rsidR="006C5866" w:rsidRPr="0084570B">
        <w:rPr>
          <w:rFonts w:ascii="Times New Roman" w:eastAsia="Times New Roman" w:hAnsi="Times New Roman" w:cs="Times New Roman"/>
          <w:sz w:val="22"/>
          <w:szCs w:val="22"/>
          <w:lang w:val="en-US"/>
        </w:rPr>
        <w:t>versus</w:t>
      </w:r>
      <w:r w:rsidRPr="0084570B">
        <w:rPr>
          <w:rFonts w:ascii="Times New Roman" w:eastAsia="Times New Roman" w:hAnsi="Times New Roman" w:cs="Times New Roman"/>
          <w:sz w:val="22"/>
          <w:szCs w:val="22"/>
          <w:lang w:val="en-US"/>
        </w:rPr>
        <w:t xml:space="preserve"> linear). </w:t>
      </w:r>
      <w:r w:rsidR="006C5866" w:rsidRPr="0084570B">
        <w:rPr>
          <w:rFonts w:ascii="Times New Roman" w:eastAsia="Times New Roman" w:hAnsi="Times New Roman" w:cs="Times New Roman"/>
          <w:sz w:val="22"/>
          <w:szCs w:val="22"/>
          <w:lang w:val="en-US"/>
        </w:rPr>
        <w:t>T</w:t>
      </w:r>
      <w:r w:rsidRPr="0084570B">
        <w:rPr>
          <w:rFonts w:ascii="Times New Roman" w:eastAsia="Times New Roman" w:hAnsi="Times New Roman" w:cs="Times New Roman"/>
          <w:sz w:val="22"/>
          <w:szCs w:val="22"/>
          <w:lang w:val="en-US"/>
        </w:rPr>
        <w:t xml:space="preserve">o generate a degassing curve we take a time array </w:t>
      </w:r>
      <w:r w:rsidRPr="0084570B">
        <w:rPr>
          <w:rFonts w:ascii="Times New Roman" w:eastAsia="Times New Roman" w:hAnsi="Times New Roman" w:cs="Times New Roman"/>
          <w:sz w:val="22"/>
          <w:szCs w:val="22"/>
          <w:lang w:val="en-US"/>
        </w:rPr>
        <w:lastRenderedPageBreak/>
        <w:t xml:space="preserve">ranging from 0 to 4568 with a step size of 1 Myr, and calculate </w:t>
      </w:r>
      <w:r w:rsidRPr="0084570B">
        <w:rPr>
          <w:rFonts w:ascii="Times New Roman" w:eastAsia="Times New Roman" w:hAnsi="Times New Roman" w:cs="Times New Roman"/>
          <w:i/>
          <w:sz w:val="22"/>
          <w:szCs w:val="22"/>
          <w:lang w:val="en-US"/>
        </w:rPr>
        <w:t>D(t)</w:t>
      </w:r>
      <w:r w:rsidRPr="0084570B">
        <w:rPr>
          <w:rFonts w:ascii="Times New Roman" w:eastAsia="Times New Roman" w:hAnsi="Times New Roman" w:cs="Times New Roman"/>
          <w:sz w:val="22"/>
          <w:szCs w:val="22"/>
          <w:lang w:val="en-US"/>
        </w:rPr>
        <w:t xml:space="preserve"> for each of these resulting in another array of length 4568. Example degassing curves are shown in </w:t>
      </w: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0</w:t>
      </w:r>
      <w:r w:rsidRPr="0084570B">
        <w:rPr>
          <w:rFonts w:ascii="Times New Roman" w:eastAsia="Times New Roman" w:hAnsi="Times New Roman" w:cs="Times New Roman"/>
          <w:sz w:val="22"/>
          <w:szCs w:val="22"/>
          <w:lang w:val="en-US"/>
        </w:rPr>
        <w:t>.</w:t>
      </w:r>
    </w:p>
    <w:p w14:paraId="2F6117FF" w14:textId="77777777" w:rsidR="00863DC5" w:rsidRPr="0084570B" w:rsidRDefault="00863DC5" w:rsidP="008120DE">
      <w:pPr>
        <w:pStyle w:val="Normal1"/>
        <w:spacing w:line="360" w:lineRule="auto"/>
        <w:jc w:val="both"/>
        <w:rPr>
          <w:rFonts w:ascii="Times New Roman" w:eastAsia="Times New Roman" w:hAnsi="Times New Roman" w:cs="Times New Roman"/>
          <w:sz w:val="22"/>
          <w:szCs w:val="22"/>
          <w:lang w:val="en-US"/>
        </w:rPr>
      </w:pPr>
    </w:p>
    <w:p w14:paraId="186B959A" w14:textId="77777777" w:rsidR="008120DE" w:rsidRPr="0084570B" w:rsidRDefault="008120DE" w:rsidP="008120DE">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drawing>
          <wp:inline distT="0" distB="0" distL="0" distR="0" wp14:anchorId="7D3125C5" wp14:editId="6182E7A2">
            <wp:extent cx="5537507" cy="2129790"/>
            <wp:effectExtent l="0" t="0" r="0" b="3810"/>
            <wp:docPr id="20" name="image17.png" descr="David Byrne HD:Users:dbyrne:Python:EtnaFigs:degassing_examples_edit.png"/>
            <wp:cNvGraphicFramePr/>
            <a:graphic xmlns:a="http://schemas.openxmlformats.org/drawingml/2006/main">
              <a:graphicData uri="http://schemas.openxmlformats.org/drawingml/2006/picture">
                <pic:pic xmlns:pic="http://schemas.openxmlformats.org/drawingml/2006/picture">
                  <pic:nvPicPr>
                    <pic:cNvPr id="0" name="image17.png" descr="David Byrne HD:Users:dbyrne:Python:EtnaFigs:degassing_examples_edit.png"/>
                    <pic:cNvPicPr preferRelativeResize="0"/>
                  </pic:nvPicPr>
                  <pic:blipFill>
                    <a:blip r:embed="rId19"/>
                    <a:srcRect/>
                    <a:stretch>
                      <a:fillRect/>
                    </a:stretch>
                  </pic:blipFill>
                  <pic:spPr>
                    <a:xfrm>
                      <a:off x="0" y="0"/>
                      <a:ext cx="5538198" cy="2130056"/>
                    </a:xfrm>
                    <a:prstGeom prst="rect">
                      <a:avLst/>
                    </a:prstGeom>
                    <a:ln/>
                  </pic:spPr>
                </pic:pic>
              </a:graphicData>
            </a:graphic>
          </wp:inline>
        </w:drawing>
      </w:r>
    </w:p>
    <w:p w14:paraId="7256E81E" w14:textId="00586ADD" w:rsidR="008120DE" w:rsidRPr="0084570B" w:rsidRDefault="005C6798" w:rsidP="008120D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S10</w:t>
      </w:r>
      <w:r w:rsidR="008120DE" w:rsidRPr="0084570B">
        <w:rPr>
          <w:rFonts w:ascii="Times New Roman" w:eastAsia="Times New Roman" w:hAnsi="Times New Roman" w:cs="Times New Roman"/>
          <w:b/>
          <w:sz w:val="22"/>
          <w:szCs w:val="22"/>
          <w:lang w:val="en-US"/>
        </w:rPr>
        <w:t>.</w:t>
      </w:r>
      <w:r w:rsidR="008120DE" w:rsidRPr="0084570B">
        <w:rPr>
          <w:rFonts w:ascii="Times New Roman" w:eastAsia="Times New Roman" w:hAnsi="Times New Roman" w:cs="Times New Roman"/>
          <w:sz w:val="22"/>
          <w:szCs w:val="22"/>
          <w:lang w:val="en-US"/>
        </w:rPr>
        <w:t xml:space="preserve"> Example degassing curves for two selected values of </w:t>
      </w:r>
      <w:r w:rsidR="008120DE" w:rsidRPr="0084570B">
        <w:rPr>
          <w:rFonts w:ascii="Times New Roman" w:eastAsia="Times New Roman" w:hAnsi="Times New Roman" w:cs="Times New Roman"/>
          <w:i/>
          <w:sz w:val="22"/>
          <w:szCs w:val="22"/>
          <w:lang w:val="en-US"/>
        </w:rPr>
        <w:t>η</w:t>
      </w:r>
      <w:r w:rsidR="008120DE" w:rsidRPr="0084570B">
        <w:rPr>
          <w:rFonts w:ascii="Times New Roman" w:eastAsia="Times New Roman" w:hAnsi="Times New Roman" w:cs="Times New Roman"/>
          <w:sz w:val="22"/>
          <w:szCs w:val="22"/>
          <w:lang w:val="en-US"/>
        </w:rPr>
        <w:t xml:space="preserve"> (eta), with variable </w:t>
      </w:r>
      <w:r w:rsidR="008120DE" w:rsidRPr="0084570B">
        <w:rPr>
          <w:rFonts w:ascii="Times New Roman" w:eastAsia="Times New Roman" w:hAnsi="Times New Roman" w:cs="Times New Roman"/>
          <w:i/>
          <w:sz w:val="22"/>
          <w:szCs w:val="22"/>
          <w:lang w:val="en-US"/>
        </w:rPr>
        <w:t>f</w:t>
      </w:r>
      <w:r w:rsidR="008120DE" w:rsidRPr="0084570B">
        <w:rPr>
          <w:rFonts w:ascii="Times New Roman" w:eastAsia="Times New Roman" w:hAnsi="Times New Roman" w:cs="Times New Roman"/>
          <w:i/>
          <w:sz w:val="22"/>
          <w:szCs w:val="22"/>
          <w:vertAlign w:val="subscript"/>
          <w:lang w:val="en-US"/>
        </w:rPr>
        <w:t>exp</w:t>
      </w:r>
      <w:r w:rsidR="008120DE" w:rsidRPr="0084570B">
        <w:rPr>
          <w:rFonts w:ascii="Times New Roman" w:eastAsia="Times New Roman" w:hAnsi="Times New Roman" w:cs="Times New Roman"/>
          <w:sz w:val="22"/>
          <w:szCs w:val="22"/>
          <w:lang w:val="en-US"/>
        </w:rPr>
        <w:t xml:space="preserve">. Degassing curves with </w:t>
      </w:r>
      <w:r w:rsidR="008120DE" w:rsidRPr="0084570B">
        <w:rPr>
          <w:rFonts w:ascii="Times New Roman" w:eastAsia="Times New Roman" w:hAnsi="Times New Roman" w:cs="Times New Roman"/>
          <w:i/>
          <w:sz w:val="22"/>
          <w:szCs w:val="22"/>
          <w:lang w:val="en-US"/>
        </w:rPr>
        <w:t>f</w:t>
      </w:r>
      <w:r w:rsidR="008120DE" w:rsidRPr="0084570B">
        <w:rPr>
          <w:rFonts w:ascii="Times New Roman" w:eastAsia="Times New Roman" w:hAnsi="Times New Roman" w:cs="Times New Roman"/>
          <w:i/>
          <w:sz w:val="22"/>
          <w:szCs w:val="22"/>
          <w:vertAlign w:val="subscript"/>
          <w:lang w:val="en-US"/>
        </w:rPr>
        <w:t>exp</w:t>
      </w:r>
      <w:r w:rsidR="008120DE" w:rsidRPr="0084570B">
        <w:rPr>
          <w:rFonts w:ascii="Times New Roman" w:eastAsia="Times New Roman" w:hAnsi="Times New Roman" w:cs="Times New Roman"/>
          <w:sz w:val="22"/>
          <w:szCs w:val="22"/>
          <w:lang w:val="en-US"/>
        </w:rPr>
        <w:t xml:space="preserve"> equal to 1 and 0 are shown as solid lines and annotated respectively. Intermediate curves with </w:t>
      </w:r>
      <w:r w:rsidR="008120DE" w:rsidRPr="0084570B">
        <w:rPr>
          <w:rFonts w:ascii="Times New Roman" w:eastAsia="Times New Roman" w:hAnsi="Times New Roman" w:cs="Times New Roman"/>
          <w:i/>
          <w:sz w:val="22"/>
          <w:szCs w:val="22"/>
          <w:lang w:val="en-US"/>
        </w:rPr>
        <w:t>f</w:t>
      </w:r>
      <w:r w:rsidR="008120DE" w:rsidRPr="0084570B">
        <w:rPr>
          <w:rFonts w:ascii="Times New Roman" w:eastAsia="Times New Roman" w:hAnsi="Times New Roman" w:cs="Times New Roman"/>
          <w:i/>
          <w:sz w:val="22"/>
          <w:szCs w:val="22"/>
          <w:vertAlign w:val="subscript"/>
          <w:lang w:val="en-US"/>
        </w:rPr>
        <w:t>exp</w:t>
      </w:r>
      <w:r w:rsidR="008120DE" w:rsidRPr="0084570B">
        <w:rPr>
          <w:rFonts w:ascii="Times New Roman" w:eastAsia="Times New Roman" w:hAnsi="Times New Roman" w:cs="Times New Roman"/>
          <w:sz w:val="22"/>
          <w:szCs w:val="22"/>
          <w:lang w:val="en-US"/>
        </w:rPr>
        <w:t xml:space="preserve"> of 0.2, 0.4, 0.6 and 0.8 are shown as dashed lines.</w:t>
      </w:r>
    </w:p>
    <w:p w14:paraId="0B13C96D" w14:textId="77777777"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p>
    <w:p w14:paraId="11231E43"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0B4CA4A5" w14:textId="77777777" w:rsidR="008120DE" w:rsidRPr="0084570B" w:rsidRDefault="008120DE" w:rsidP="008120DE">
      <w:pPr>
        <w:pStyle w:val="Normal1"/>
        <w:numPr>
          <w:ilvl w:val="0"/>
          <w:numId w:val="2"/>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Initial Xe abundance</w:t>
      </w:r>
    </w:p>
    <w:p w14:paraId="1654F92E" w14:textId="3E918A8E"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 xml:space="preserve">A fundamental control on the Xe isotopic evolution of the mantle through time is the quantity of primordial Xe present in the convecting mantle (UM) at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 xml:space="preserve"> = 0, before the start of degassing and r</w:t>
      </w:r>
      <w:r w:rsidR="006C5866" w:rsidRPr="0084570B">
        <w:rPr>
          <w:rFonts w:ascii="Times New Roman" w:eastAsia="Times New Roman" w:hAnsi="Times New Roman" w:cs="Times New Roman"/>
          <w:sz w:val="22"/>
          <w:szCs w:val="22"/>
          <w:lang w:val="en-US"/>
        </w:rPr>
        <w:t>adiogenic ingrowth. The most up-to-</w:t>
      </w:r>
      <w:r w:rsidRPr="0084570B">
        <w:rPr>
          <w:rFonts w:ascii="Times New Roman" w:eastAsia="Times New Roman" w:hAnsi="Times New Roman" w:cs="Times New Roman"/>
          <w:sz w:val="22"/>
          <w:szCs w:val="22"/>
          <w:lang w:val="en-US"/>
        </w:rPr>
        <w:t xml:space="preserve">date estimate of modern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 abundance in the UM is (1.79±0.25) x10</w:t>
      </w:r>
      <w:r w:rsidRPr="0084570B">
        <w:rPr>
          <w:rFonts w:ascii="Times New Roman" w:eastAsia="Times New Roman" w:hAnsi="Times New Roman" w:cs="Times New Roman"/>
          <w:sz w:val="22"/>
          <w:szCs w:val="22"/>
          <w:vertAlign w:val="superscript"/>
          <w:lang w:val="en-US"/>
        </w:rPr>
        <w:t>-18</w:t>
      </w:r>
      <w:r w:rsidRPr="0084570B">
        <w:rPr>
          <w:rFonts w:ascii="Times New Roman" w:eastAsia="Times New Roman" w:hAnsi="Times New Roman" w:cs="Times New Roman"/>
          <w:sz w:val="22"/>
          <w:szCs w:val="22"/>
          <w:lang w:val="en-US"/>
        </w:rPr>
        <w:t xml:space="preserve"> mol/g</w:t>
      </w:r>
      <w:r w:rsidRPr="0084570B">
        <w:rPr>
          <w:rFonts w:ascii="Times New Roman" w:eastAsia="Times New Roman" w:hAnsi="Times New Roman" w:cs="Times New Roman"/>
          <w:sz w:val="22"/>
          <w:szCs w:val="22"/>
          <w:lang w:val="en-US"/>
        </w:rPr>
        <w:fldChar w:fldCharType="begin" w:fldLock="1"/>
      </w:r>
      <w:r w:rsidR="00DB5D30" w:rsidRPr="0084570B">
        <w:rPr>
          <w:rFonts w:ascii="Times New Roman" w:eastAsia="Times New Roman" w:hAnsi="Times New Roman" w:cs="Times New Roman"/>
          <w:sz w:val="22"/>
          <w:szCs w:val="22"/>
          <w:lang w:val="en-US"/>
        </w:rPr>
        <w:instrText>ADDIN CSL_CITATION {"citationItems":[{"id":"ITEM-1","itemData":{"DOI":"10.1146/annurev-earth-071620-055024","ISSN":"0084-6597","abstract":"Volatile elements (water, carbon, nitrogen, sulfur, halogens, and noble gases) played an essential role in the secular evolution of the solid Earth and emergence of life. Here we provide an overview of Earth's volatile inventories and describe the mechanisms by which volatiles are conveyed between Earth's surface and mantle reservoirs, via subduction and volcanism. Using literature data, we compute volatile concentration and flux estimates for Earth's major volatile reservoirs and provide an internally balanced assessment of modern global volatile recycling. Using a nitrogen isotope box model, we show that recycling of N (and possibly C and S) likely began before 2 Ga and that ingassing fluxes have remained roughly constant since this time. In contrast, our model indicates recycling of H 2 O (and most likely noble gases) was less efficient in the past. This suggests a decoupling of major volatile species during subduction through time, which we attribute to the evolving thermal regime of subduction zones and the different stabilities of the carrier phases hosting each volatile. ▪ This review provides an overview of Earth's volatile inventory and the mechanisms by which volatiles are transferred between Earth reservoirs via subduction. ▪ The review frames the current thinking regarding how Earth acquired its original volatile inventory and subsequently evolved through subduction processes and volcanism. Expected final online publication date for the Annual Review of Earth and Planetary Sciences, Volume 49 is May 28, 2021. Please see http://www.annualreviews.org/page/journal/pubdates for revised estimates.","author":[{"dropping-particle":"","family":"Bekaert","given":"D.V.","non-dropping-particle":"","parse-names":false,"suffix":""},{"dropping-particle":"","family":"Turner","given":"S.J.","non-dropping-particle":"","parse-names":false,"suffix":""},{"dropping-particle":"","family":"Broadley","given":"M.W.","non-dropping-particle":"","parse-names":false,"suffix":""},{"dropping-particle":"","family":"Barnes","given":"J.D.","non-dropping-particle":"","parse-names":false,"suffix":""},{"dropping-particle":"","family":"Halldórsson","given":"S.A.","non-dropping-particle":"","parse-names":false,"suffix":""},{"dropping-particle":"","family":"Labidi","given":"J.","non-dropping-particle":"","parse-names":false,"suffix":""},{"dropping-particle":"","family":"Wade","given":"J.","non-dropping-particle":"","parse-names":false,"suffix":""},{"dropping-particle":"","family":"Walowski","given":"K.J.","non-dropping-particle":"","parse-names":false,"suffix":""},{"dropping-particle":"","family":"Barry","given":"P.H.","non-dropping-particle":"","parse-names":false,"suffix":""}],"container-title":"Annual Review of Earth and Planetary Sciences","id":"ITEM-1","issued":{"date-parts":[["2021"]]},"page":"49:37","title":"Subduction-Driven Volatile Recycling: A Global Mass Balance","type":"article-journal","volume":"70"},"uris":["http://www.mendeley.com/documents/?uuid=472bb93c-6d42-41df-8091-9950f35ac163"]}],"mendeley":{"formattedCitation":"&lt;sup&gt;14&lt;/sup&gt;","plainTextFormattedCitation":"14","previouslyFormattedCitation":"&lt;sup&gt;14&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DB5D30" w:rsidRPr="0084570B">
        <w:rPr>
          <w:rFonts w:ascii="Times New Roman" w:eastAsia="Times New Roman" w:hAnsi="Times New Roman" w:cs="Times New Roman"/>
          <w:noProof/>
          <w:sz w:val="22"/>
          <w:szCs w:val="22"/>
          <w:vertAlign w:val="superscript"/>
          <w:lang w:val="en-US"/>
        </w:rPr>
        <w:t>14</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and we will consider a range of possible values within a factor of 2 of this best estimate. The initial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 abundance in the mantle can be directly calculated from the supposed modern value and the chosen degassing profile:</w:t>
      </w:r>
    </w:p>
    <w:p w14:paraId="54E805C5" w14:textId="77777777" w:rsidR="008120DE" w:rsidRPr="0084570B" w:rsidRDefault="008120DE" w:rsidP="008120DE">
      <w:pPr>
        <w:pStyle w:val="Normal1"/>
        <w:spacing w:line="360" w:lineRule="auto"/>
        <w:rPr>
          <w:rFonts w:ascii="Times New Roman" w:eastAsia="Times New Roman" w:hAnsi="Times New Roman" w:cs="Times New Roman"/>
          <w:sz w:val="22"/>
          <w:szCs w:val="22"/>
          <w:lang w:val="en-US"/>
        </w:rPr>
      </w:pPr>
    </w:p>
    <w:p w14:paraId="643228E9" w14:textId="7AD7504C" w:rsidR="008120DE" w:rsidRPr="0084570B" w:rsidRDefault="008549F7" w:rsidP="008120DE">
      <w:pPr>
        <w:pStyle w:val="Normal1"/>
        <w:spacing w:line="360" w:lineRule="auto"/>
        <w:jc w:val="right"/>
        <w:rPr>
          <w:rFonts w:ascii="Times New Roman" w:eastAsia="Cambria Math" w:hAnsi="Times New Roman" w:cs="Times New Roman"/>
          <w:sz w:val="22"/>
          <w:szCs w:val="22"/>
          <w:lang w:val="en-US"/>
        </w:rPr>
      </w:pPr>
      <m:oMath>
        <m:sSub>
          <m:sSubPr>
            <m:ctrlPr>
              <w:rPr>
                <w:rFonts w:ascii="Cambria Math" w:eastAsia="Cambria Math" w:hAnsi="Cambria Math" w:cs="Times New Roman"/>
                <w:sz w:val="22"/>
                <w:szCs w:val="22"/>
                <w:lang w:val="en-US"/>
              </w:rPr>
            </m:ctrlPr>
          </m:sSubPr>
          <m:e>
            <m:d>
              <m:dPr>
                <m:begChr m:val="["/>
                <m:endChr m:val="]"/>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 xml:space="preserve"> </m:t>
                </m:r>
                <m:sPre>
                  <m:sPrePr>
                    <m:ctrlPr>
                      <w:rPr>
                        <w:rFonts w:ascii="Cambria Math" w:eastAsia="Cambria Math" w:hAnsi="Cambria Math" w:cs="Times New Roman"/>
                        <w:i/>
                        <w:sz w:val="22"/>
                        <w:szCs w:val="22"/>
                        <w:lang w:val="en-US"/>
                      </w:rPr>
                    </m:ctrlPr>
                  </m:sPrePr>
                  <m:sub>
                    <m:r>
                      <w:rPr>
                        <w:rFonts w:ascii="Cambria Math" w:eastAsia="Cambria Math" w:hAnsi="Cambria Math" w:cs="Times New Roman"/>
                        <w:sz w:val="22"/>
                        <w:szCs w:val="22"/>
                        <w:lang w:val="en-US"/>
                      </w:rPr>
                      <m:t xml:space="preserve"> </m:t>
                    </m:r>
                  </m:sub>
                  <m:sup>
                    <m:r>
                      <w:rPr>
                        <w:rFonts w:ascii="Cambria Math" w:eastAsia="Cambria Math" w:hAnsi="Cambria Math" w:cs="Times New Roman"/>
                        <w:sz w:val="22"/>
                        <w:szCs w:val="22"/>
                        <w:lang w:val="en-US"/>
                      </w:rPr>
                      <m:t>130</m:t>
                    </m:r>
                  </m:sup>
                  <m:e>
                    <m:r>
                      <w:rPr>
                        <w:rFonts w:ascii="Cambria Math" w:eastAsia="Cambria Math" w:hAnsi="Cambria Math" w:cs="Times New Roman"/>
                        <w:sz w:val="22"/>
                        <w:szCs w:val="22"/>
                        <w:lang w:val="en-US"/>
                      </w:rPr>
                      <m:t>Xe</m:t>
                    </m:r>
                  </m:e>
                </m:sPre>
              </m:e>
            </m:d>
          </m:e>
          <m:sub>
            <m:r>
              <w:rPr>
                <w:rFonts w:ascii="Cambria Math" w:eastAsia="Cambria Math" w:hAnsi="Cambria Math" w:cs="Times New Roman"/>
                <w:sz w:val="22"/>
                <w:szCs w:val="22"/>
                <w:lang w:val="en-US"/>
              </w:rPr>
              <m:t>init</m:t>
            </m:r>
            <m:r>
              <w:rPr>
                <w:rFonts w:ascii="Cambria Math" w:eastAsia="Cambria Math" w:hAnsi="Cambria Math" w:cs="Times New Roman"/>
                <w:sz w:val="22"/>
                <w:szCs w:val="22"/>
                <w:lang w:val="en-US"/>
              </w:rPr>
              <m:t>.</m:t>
            </m:r>
          </m:sub>
        </m:sSub>
        <m:r>
          <w:rPr>
            <w:rFonts w:ascii="Cambria Math" w:eastAsia="Cambria Math" w:hAnsi="Cambria Math" w:cs="Times New Roman"/>
            <w:sz w:val="22"/>
            <w:szCs w:val="22"/>
            <w:lang w:val="en-US"/>
          </w:rPr>
          <m:t xml:space="preserve">= </m:t>
        </m:r>
        <m:f>
          <m:fPr>
            <m:ctrlPr>
              <w:rPr>
                <w:rFonts w:ascii="Cambria Math" w:eastAsia="Cambria Math" w:hAnsi="Cambria Math" w:cs="Times New Roman"/>
                <w:sz w:val="22"/>
                <w:szCs w:val="22"/>
                <w:lang w:val="en-US"/>
              </w:rPr>
            </m:ctrlPr>
          </m:fPr>
          <m:num>
            <m:sSub>
              <m:sSubPr>
                <m:ctrlPr>
                  <w:rPr>
                    <w:rFonts w:ascii="Cambria Math" w:eastAsia="Cambria Math" w:hAnsi="Cambria Math" w:cs="Times New Roman"/>
                    <w:sz w:val="22"/>
                    <w:szCs w:val="22"/>
                    <w:lang w:val="en-US"/>
                  </w:rPr>
                </m:ctrlPr>
              </m:sSubPr>
              <m:e>
                <m:d>
                  <m:dPr>
                    <m:begChr m:val="["/>
                    <m:endChr m:val="]"/>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 xml:space="preserve"> </m:t>
                    </m:r>
                    <m:sPre>
                      <m:sPrePr>
                        <m:ctrlPr>
                          <w:rPr>
                            <w:rFonts w:ascii="Cambria Math" w:eastAsia="Cambria Math" w:hAnsi="Cambria Math" w:cs="Times New Roman"/>
                            <w:i/>
                            <w:sz w:val="22"/>
                            <w:szCs w:val="22"/>
                            <w:lang w:val="en-US"/>
                          </w:rPr>
                        </m:ctrlPr>
                      </m:sPrePr>
                      <m:sub>
                        <m:r>
                          <w:rPr>
                            <w:rFonts w:ascii="Cambria Math" w:eastAsia="Cambria Math" w:hAnsi="Cambria Math" w:cs="Times New Roman"/>
                            <w:sz w:val="22"/>
                            <w:szCs w:val="22"/>
                            <w:lang w:val="en-US"/>
                          </w:rPr>
                          <m:t xml:space="preserve"> </m:t>
                        </m:r>
                      </m:sub>
                      <m:sup>
                        <m:r>
                          <w:rPr>
                            <w:rFonts w:ascii="Cambria Math" w:eastAsia="Cambria Math" w:hAnsi="Cambria Math" w:cs="Times New Roman"/>
                            <w:sz w:val="22"/>
                            <w:szCs w:val="22"/>
                            <w:lang w:val="en-US"/>
                          </w:rPr>
                          <m:t>130</m:t>
                        </m:r>
                      </m:sup>
                      <m:e>
                        <m:r>
                          <w:rPr>
                            <w:rFonts w:ascii="Cambria Math" w:eastAsia="Cambria Math" w:hAnsi="Cambria Math" w:cs="Times New Roman"/>
                            <w:sz w:val="22"/>
                            <w:szCs w:val="22"/>
                            <w:lang w:val="en-US"/>
                          </w:rPr>
                          <m:t>Xe</m:t>
                        </m:r>
                      </m:e>
                    </m:sPre>
                  </m:e>
                </m:d>
              </m:e>
              <m:sub>
                <m:r>
                  <w:rPr>
                    <w:rFonts w:ascii="Cambria Math" w:eastAsia="Cambria Math" w:hAnsi="Cambria Math" w:cs="Times New Roman"/>
                    <w:sz w:val="22"/>
                    <w:szCs w:val="22"/>
                    <w:lang w:val="en-US"/>
                  </w:rPr>
                  <m:t>pres</m:t>
                </m:r>
                <m:r>
                  <w:rPr>
                    <w:rFonts w:ascii="Cambria Math" w:eastAsia="Cambria Math" w:hAnsi="Cambria Math" w:cs="Times New Roman"/>
                    <w:sz w:val="22"/>
                    <w:szCs w:val="22"/>
                    <w:lang w:val="en-US"/>
                  </w:rPr>
                  <m:t>. </m:t>
                </m:r>
              </m:sub>
            </m:sSub>
            <m:r>
              <w:rPr>
                <w:rFonts w:ascii="Cambria Math" w:eastAsia="Cambria Math" w:hAnsi="Cambria Math" w:cs="Times New Roman"/>
                <w:sz w:val="22"/>
                <w:szCs w:val="22"/>
                <w:lang w:val="en-US"/>
              </w:rPr>
              <m:t>× (1-</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F</m:t>
                </m:r>
              </m:e>
              <m:sub>
                <m:r>
                  <w:rPr>
                    <w:rFonts w:ascii="Cambria Math" w:eastAsia="Cambria Math" w:hAnsi="Cambria Math" w:cs="Times New Roman"/>
                    <w:sz w:val="22"/>
                    <w:szCs w:val="22"/>
                    <w:lang w:val="en-US"/>
                  </w:rPr>
                  <m:t>subd</m:t>
                </m:r>
                <m:r>
                  <w:rPr>
                    <w:rFonts w:ascii="Cambria Math" w:eastAsia="Cambria Math" w:hAnsi="Cambria Math" w:cs="Times New Roman"/>
                    <w:sz w:val="22"/>
                    <w:szCs w:val="22"/>
                    <w:lang w:val="en-US"/>
                  </w:rPr>
                  <m:t>.</m:t>
                </m:r>
              </m:sub>
            </m:sSub>
            <m:r>
              <w:rPr>
                <w:rFonts w:ascii="Cambria Math" w:eastAsia="Cambria Math" w:hAnsi="Cambria Math" w:cs="Times New Roman"/>
                <w:sz w:val="22"/>
                <w:szCs w:val="22"/>
                <w:lang w:val="en-US"/>
              </w:rPr>
              <m:t>)</m:t>
            </m:r>
          </m:num>
          <m:den>
            <m:nary>
              <m:naryPr>
                <m:chr m:val="∏"/>
                <m:ctrlPr>
                  <w:rPr>
                    <w:rFonts w:ascii="Cambria Math" w:eastAsia="Cambria Math" w:hAnsi="Cambria Math" w:cs="Times New Roman"/>
                    <w:sz w:val="22"/>
                    <w:szCs w:val="22"/>
                    <w:lang w:val="en-US"/>
                  </w:rPr>
                </m:ctrlPr>
              </m:naryPr>
              <m:sub>
                <m:r>
                  <w:rPr>
                    <w:rFonts w:ascii="Cambria Math" w:eastAsia="Cambria Math" w:hAnsi="Cambria Math" w:cs="Times New Roman"/>
                    <w:sz w:val="22"/>
                    <w:szCs w:val="22"/>
                    <w:lang w:val="en-US"/>
                  </w:rPr>
                  <m:t>t</m:t>
                </m:r>
                <m:r>
                  <w:rPr>
                    <w:rFonts w:ascii="Cambria Math" w:eastAsia="Cambria Math" w:hAnsi="Cambria Math" w:cs="Times New Roman"/>
                    <w:sz w:val="22"/>
                    <w:szCs w:val="22"/>
                    <w:lang w:val="en-US"/>
                  </w:rPr>
                  <m:t>=0</m:t>
                </m:r>
              </m:sub>
              <m:sup>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T</m:t>
                    </m:r>
                  </m:e>
                  <m:sub>
                    <m:r>
                      <w:rPr>
                        <w:rFonts w:ascii="Cambria Math" w:eastAsia="Cambria Math" w:hAnsi="Cambria Math" w:cs="Times New Roman"/>
                        <w:sz w:val="22"/>
                        <w:szCs w:val="22"/>
                        <w:lang w:val="en-US"/>
                      </w:rPr>
                      <m:t>E</m:t>
                    </m:r>
                  </m:sub>
                </m:sSub>
              </m:sup>
              <m:e>
                <m:r>
                  <w:rPr>
                    <w:rFonts w:ascii="Cambria Math" w:eastAsia="Cambria Math" w:hAnsi="Cambria Math" w:cs="Times New Roman"/>
                    <w:sz w:val="22"/>
                    <w:szCs w:val="22"/>
                    <w:lang w:val="en-US"/>
                  </w:rPr>
                  <m:t xml:space="preserve"> (1-</m:t>
                </m:r>
                <m:r>
                  <w:rPr>
                    <w:rFonts w:ascii="Cambria Math" w:eastAsia="Cambria Math" w:hAnsi="Cambria Math" w:cs="Times New Roman"/>
                    <w:sz w:val="22"/>
                    <w:szCs w:val="22"/>
                    <w:lang w:val="en-US"/>
                  </w:rPr>
                  <m:t>D</m:t>
                </m:r>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m:t>
                </m:r>
              </m:e>
            </m:nary>
          </m:den>
        </m:f>
      </m:oMath>
      <w:r w:rsidR="008120DE"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964453" w:rsidRPr="0084570B">
        <w:rPr>
          <w:rFonts w:ascii="Times New Roman" w:eastAsia="Times New Roman" w:hAnsi="Times New Roman" w:cs="Times New Roman"/>
          <w:sz w:val="22"/>
          <w:szCs w:val="22"/>
          <w:lang w:val="en-US"/>
        </w:rPr>
        <w:tab/>
        <w:t xml:space="preserve">         (EQ. </w:t>
      </w:r>
      <w:r w:rsidR="00D47278">
        <w:rPr>
          <w:rFonts w:ascii="Times New Roman" w:eastAsia="Times New Roman" w:hAnsi="Times New Roman" w:cs="Times New Roman"/>
          <w:sz w:val="22"/>
          <w:szCs w:val="22"/>
          <w:lang w:val="en-US"/>
        </w:rPr>
        <w:t>S6</w:t>
      </w:r>
      <w:r w:rsidR="008120DE" w:rsidRPr="0084570B">
        <w:rPr>
          <w:rFonts w:ascii="Times New Roman" w:eastAsia="Times New Roman" w:hAnsi="Times New Roman" w:cs="Times New Roman"/>
          <w:sz w:val="22"/>
          <w:szCs w:val="22"/>
          <w:lang w:val="en-US"/>
        </w:rPr>
        <w:t>)</w:t>
      </w:r>
    </w:p>
    <w:p w14:paraId="73586462"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210FF977" w14:textId="137C4A4D"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where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is the present day UM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abundance, and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subd.</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is the fraction of mantle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 derived from recycling of surface-derived components (i.e., 80±2%</w:t>
      </w:r>
      <w:r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w:t>
      </w:r>
    </w:p>
    <w:p w14:paraId="7CE2196D" w14:textId="77777777" w:rsidR="008120DE" w:rsidRPr="0084570B" w:rsidRDefault="008120DE" w:rsidP="008120DE">
      <w:pPr>
        <w:pStyle w:val="Normal1"/>
        <w:spacing w:line="360" w:lineRule="auto"/>
        <w:rPr>
          <w:rFonts w:ascii="Times New Roman" w:eastAsia="Times New Roman" w:hAnsi="Times New Roman" w:cs="Times New Roman"/>
          <w:sz w:val="22"/>
          <w:szCs w:val="22"/>
          <w:lang w:val="en-US"/>
        </w:rPr>
      </w:pPr>
    </w:p>
    <w:p w14:paraId="08F66A94" w14:textId="77777777" w:rsidR="008120DE" w:rsidRPr="0084570B" w:rsidRDefault="008120DE" w:rsidP="008120DE">
      <w:pPr>
        <w:pStyle w:val="Normal1"/>
        <w:numPr>
          <w:ilvl w:val="0"/>
          <w:numId w:val="2"/>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Continental crust growth</w:t>
      </w:r>
    </w:p>
    <w:p w14:paraId="70636C88" w14:textId="47CE254D"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The generation of continental crust removes U (and other incompatible elements) from the mantle and therefore must be considered when calculating ingrowth of fissiogenic Xe isotopes. Crucially, p</w:t>
      </w:r>
      <w:r w:rsidRPr="0084570B">
        <w:rPr>
          <w:rFonts w:ascii="Times New Roman" w:hAnsi="Times New Roman" w:cs="Times New Roman"/>
          <w:sz w:val="22"/>
          <w:szCs w:val="22"/>
          <w:lang w:val="en-US"/>
        </w:rPr>
        <w:t>revious models of terrestrial Xe evolution</w:t>
      </w:r>
      <w:r w:rsidRPr="0084570B">
        <w:rPr>
          <w:rFonts w:ascii="Times New Roman" w:hAnsi="Times New Roman" w:cs="Times New Roman"/>
          <w:sz w:val="22"/>
          <w:szCs w:val="22"/>
          <w:lang w:val="en-US"/>
        </w:rPr>
        <w:fldChar w:fldCharType="begin" w:fldLock="1"/>
      </w:r>
      <w:r w:rsidR="009D2C8F" w:rsidRPr="0084570B">
        <w:rPr>
          <w:rFonts w:ascii="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hAnsi="Times New Roman" w:cs="Times New Roman"/>
          <w:sz w:val="22"/>
          <w:szCs w:val="22"/>
          <w:lang w:val="en-US"/>
        </w:rPr>
        <w:fldChar w:fldCharType="separate"/>
      </w:r>
      <w:r w:rsidR="009D2C8F" w:rsidRPr="0084570B">
        <w:rPr>
          <w:rFonts w:ascii="Times New Roman" w:hAnsi="Times New Roman" w:cs="Times New Roman"/>
          <w:noProof/>
          <w:sz w:val="22"/>
          <w:szCs w:val="22"/>
          <w:vertAlign w:val="superscript"/>
          <w:lang w:val="en-US"/>
        </w:rPr>
        <w:t>11</w:t>
      </w:r>
      <w:r w:rsidRPr="0084570B">
        <w:rPr>
          <w:rFonts w:ascii="Times New Roman" w:hAnsi="Times New Roman" w:cs="Times New Roman"/>
          <w:sz w:val="22"/>
          <w:szCs w:val="22"/>
          <w:lang w:val="en-US"/>
        </w:rPr>
        <w:fldChar w:fldCharType="end"/>
      </w:r>
      <w:r w:rsidRPr="0084570B">
        <w:rPr>
          <w:rFonts w:ascii="Times New Roman" w:hAnsi="Times New Roman" w:cs="Times New Roman"/>
          <w:sz w:val="22"/>
          <w:szCs w:val="22"/>
          <w:lang w:val="en-US"/>
        </w:rPr>
        <w:t xml:space="preserve"> have scaled the reduction in U and Pu concentrations in the UM over time to a growth curve of continental (felsic) crust over the Archean and Proterozoic eons. However, the shape of this curve remains highly debated, with a great variety of continental crust growth curves proposed in the literature (</w:t>
      </w:r>
      <w:r w:rsidRPr="0084570B">
        <w:rPr>
          <w:rFonts w:ascii="Times New Roman" w:hAnsi="Times New Roman" w:cs="Times New Roman"/>
          <w:b/>
          <w:sz w:val="22"/>
          <w:szCs w:val="22"/>
          <w:lang w:val="en-US"/>
        </w:rPr>
        <w:t>Figure S1</w:t>
      </w:r>
      <w:r w:rsidR="005C6798" w:rsidRPr="0084570B">
        <w:rPr>
          <w:rFonts w:ascii="Times New Roman" w:hAnsi="Times New Roman" w:cs="Times New Roman"/>
          <w:b/>
          <w:sz w:val="22"/>
          <w:szCs w:val="22"/>
          <w:lang w:val="en-US"/>
        </w:rPr>
        <w:t>1</w:t>
      </w:r>
      <w:r w:rsidRPr="0084570B">
        <w:rPr>
          <w:rFonts w:ascii="Times New Roman" w:hAnsi="Times New Roman" w:cs="Times New Roman"/>
          <w:sz w:val="22"/>
          <w:szCs w:val="22"/>
          <w:lang w:val="en-US"/>
        </w:rPr>
        <w:t>). M</w:t>
      </w:r>
      <w:r w:rsidRPr="0084570B">
        <w:rPr>
          <w:rFonts w:ascii="Times New Roman" w:eastAsia="Times New Roman" w:hAnsi="Times New Roman" w:cs="Times New Roman"/>
          <w:sz w:val="22"/>
          <w:szCs w:val="22"/>
          <w:lang w:val="en-US"/>
        </w:rPr>
        <w:t xml:space="preserve">odels proposing a late </w:t>
      </w:r>
      <w:r w:rsidRPr="0084570B">
        <w:rPr>
          <w:rFonts w:ascii="Times New Roman" w:eastAsia="Times New Roman" w:hAnsi="Times New Roman" w:cs="Times New Roman"/>
          <w:sz w:val="22"/>
          <w:szCs w:val="22"/>
          <w:lang w:val="en-US"/>
        </w:rPr>
        <w:lastRenderedPageBreak/>
        <w:t xml:space="preserve">crustal growth with a near absence of continental crust during the first 0.5–1 Gyr of Earth’s history </w:t>
      </w:r>
      <w:r w:rsidRPr="0084570B">
        <w:rPr>
          <w:rFonts w:ascii="Times New Roman" w:hAnsi="Times New Roman" w:cs="Times New Roman"/>
          <w:sz w:val="22"/>
          <w:szCs w:val="22"/>
          <w:lang w:val="en-US"/>
        </w:rPr>
        <w:t>appear highly incompatible with the conspicuous occurrence of a thick and stable Hadean crust</w:t>
      </w:r>
      <w:r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{"citationItems":[{"id":"ITEM-1","itemData":{"author":[{"dropping-particle":"","family":"O'Neil","given":"J.","non-dropping-particle":"","parse-names":false,"suffix":""},{"dropping-particle":"","family":"Carlson","given":"R. W.","non-dropping-particle":"","parse-names":false,"suffix":""},{"dropping-particle":"","family":"Francis","given":"D.","non-dropping-particle":"","parse-names":false,"suffix":""},{"dropping-particle":"","family":"Stevenson","given":"R. K.","non-dropping-particle":"","parse-names":false,"suffix":""}],"container-title":"Science","id":"ITEM-1","issue":"September","issued":{"date-parts":[["2008"]]},"page":"1828-1831","title":"Neodymium-142 Evidence for Hadean Mafic Crust","type":"article-journal","volume":"321"},"uris":["http://www.mendeley.com/documents/?uuid=a772a0f1-6bcd-4095-8bbf-88315ac9d0a2"]}],"mendeley":{"formattedCitation":"&lt;sup&gt;45&lt;/sup&gt;","plainTextFormattedCitation":"45","previouslyFormattedCitation":"&lt;sup&gt;45&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45</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Yet, these are the models that are typically considered for modeling mantle Xe isotope evolutions</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 xml:space="preserve">ADDIN CSL_CITATION {"citationItems":[{"id":"ITEM-1","itemData":{"DOI":"10.1016/j.epsl.2006.08.014","ISSN":"0012821X","abstract":"The relationships between the major terrestrial volatile reservoirs are explored by resolving the different components in the Xe isotope signatures displayed by Harding County and Caroline CO2 well gases and mid-ocean ridge basalts (MORB). For the nonradiogenic isotopes, there is evidence for the presence of components enhanced in the light 124-128Xe/130Xe isotope ratios with respect to the terrestrial atmosphere. The observation of small but significant elevations of these ratios in the MORB and well gas reservoirs means that the nonradiogenic Xe in the atmosphere cannot be the primordial base composition in the mantle. The presence of solar-like components, for example U-Xe, solar wind Xe, or both, is required. For radiogenic Xe generated by decay of short-lived 129I and 244Pu, the 129Xerad/136Xe244 ratios are indistinguishable in MORB and the present atmosphere, but differ by approximately an order of magnitude between the MORB and well gas sources. Correspondence of these ratios in MORB and the atmosphere within the relatively small uncertainties found here significantly constrains possible mantle degassing scenarios. The widely held view that substantial early degassing of 129Xerad and 136Xe244 from the MORB reservoir to the atmosphere occurred and then ended while 129I was still alive is incompatible with equal ratios, and so is not a possible explanation for observed elevations of 129Xe/130Xe in MORB compared to the atmosphere. Detailed degassing chronologies constructed from the isotopic composition of MORB Xe are therefore questionable. If the present estimate for the uranium/iodine ratio in the bulk silicate Earth (BSE) is taken to apply to all interior volatile reservoirs, the differing 129Xerad/136Xe244 ratios in MORB and the well gases point to two episodes of major mantle degassing, presumably driven by giant impacts, respectively </w:instrText>
      </w:r>
      <w:r w:rsidRPr="0084570B">
        <w:rPr>
          <w:rFonts w:ascii="Cambria Math" w:eastAsia="Times New Roman" w:hAnsi="Cambria Math" w:cs="Cambria Math"/>
          <w:sz w:val="22"/>
          <w:szCs w:val="22"/>
          <w:lang w:val="en-US"/>
        </w:rPr>
        <w:instrText>∼</w:instrText>
      </w:r>
      <w:r w:rsidRPr="0084570B">
        <w:rPr>
          <w:rFonts w:ascii="Times New Roman" w:eastAsia="Times New Roman" w:hAnsi="Times New Roman" w:cs="Times New Roman"/>
          <w:sz w:val="22"/>
          <w:szCs w:val="22"/>
          <w:lang w:val="en-US"/>
        </w:rPr>
        <w:instrText xml:space="preserve"> 20-50 Ma and </w:instrText>
      </w:r>
      <w:r w:rsidRPr="0084570B">
        <w:rPr>
          <w:rFonts w:ascii="Cambria Math" w:eastAsia="Times New Roman" w:hAnsi="Cambria Math" w:cs="Cambria Math"/>
          <w:sz w:val="22"/>
          <w:szCs w:val="22"/>
          <w:lang w:val="en-US"/>
        </w:rPr>
        <w:instrText>∼</w:instrText>
      </w:r>
      <w:r w:rsidRPr="0084570B">
        <w:rPr>
          <w:rFonts w:ascii="Times New Roman" w:eastAsia="Times New Roman" w:hAnsi="Times New Roman" w:cs="Times New Roman"/>
          <w:sz w:val="22"/>
          <w:szCs w:val="22"/>
          <w:lang w:val="en-US"/>
        </w:rPr>
        <w:instrText xml:space="preserve"> 95-100 Ma after solar system origin assuming current values for initial 129I/127I and 244Pu/238U. The earlier time range, for degassing of the well gas source, spans Hf-W calculations for the timing of a moon-forming impact. The second, later impact further outgassed the upper mantle and MORB source. A single event that degassed both the MORB and gas well reservoirs at the time of the moon-forming collision would be compatible with their distinct 129Xerad/136Xe244 ratios only if the post-impact iodine abundance in the MORB reservoir was about an order of magnitude lower than current estimates. In…","author":[{"dropping-particle":"","family":"Pepin","given":"Robert O.","non-dropping-particle":"","parse-names":false,"suffix":""},{"dropping-particle":"","family":"Porcelli","given":"Don","non-dropping-particle":"","parse-names":false,"suffix":""}],"container-title":"Earth and Planetary Science Letters","id":"ITEM-1","issue":"3-4","issued":{"date-parts":[["2006"]]},"page":"470-485","title":"Xenon isotope systematics, giant impacts, and mantle degassing on the early Earth","type":"article-journal","volume":"250"},"uris":["http://www.mendeley.com/documents/?uuid=427b4856-93c5-457c-9757-6fd33bca1a9d"]}],"mendeley":{"formattedCitation":"&lt;sup&gt;3&lt;/sup&gt;","plainTextFormattedCitation":"3","previouslyFormattedCitation":"&lt;sup&gt;3&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3</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2013.08.034","ISSN":"0016-7037","author":[{"dropping-particle":"","family":"Tolstikhin","given":"I","non-dropping-particle":"","parse-names":false,"suffix":""},{"dropping-particle":"","family":"Marty","given":"B","non-dropping-particle":"","parse-names":false,"suffix":""},{"dropping-particle":"","family":"Porcelli","given":"D","non-dropping-particle":"","parse-names":false,"suffix":""},{"dropping-particle":"","family":"Hofmann","given":"A","non-dropping-particle":"","parse-names":false,"suffix":""}],"container-title":"GEOCHIMICA ET COSMOCHIMICA ACTA","id":"ITEM-1","issued":{"date-parts":[["2014"]]},"page":"229-246","publisher":"Elsevier Ltd","title":"Evolution of volatile species in the earth's mantle: a view from xenology","type":"article-journal","volume":"136"},"uris":["http://www.mendeley.com/documents/?uuid=d97d6ac7-1ed0-4371-83a9-c854a31f2ac1"]}],"mendeley":{"formattedCitation":"&lt;sup&gt;5&lt;/sup&gt;","plainTextFormattedCitation":"5","previouslyFormattedCitation":"&lt;sup&gt;5&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5</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w:t>
      </w:r>
    </w:p>
    <w:p w14:paraId="31478329"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1F7F8926" w14:textId="7A198DCB"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Based on the occurrence of Hadean zircons (e.g., the 4.2 Ga zircons in 4.03 Ga Acasta gneisses</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 xml:space="preserve">ADDIN CSL_CITATION {"citationItems":[{"id":"ITEM-1","itemData":{"DOI":"10.1007/s004100050465","ISSN":"00107999","abstract":"Ancient crustal rocks provide the only direct evidence for the processes and products of early Earth differentiation. SHRIMP zircon U-Th-Pb dating has identified, amongst the Acasta gneisses of the western Slave Province, Canada, two metatonalites and a metagranodiorite that have igneous ages of 4002 ± 4, 4012 ± 6 and 4031 ± 3 Ga respectively. These are the first identified Priscoan terrestrial rocks. A record of metamorphic events at </w:instrText>
      </w:r>
      <w:r w:rsidR="003376B3">
        <w:rPr>
          <w:rFonts w:ascii="Cambria Math" w:eastAsia="Times New Roman" w:hAnsi="Cambria Math" w:cs="Cambria Math"/>
          <w:sz w:val="22"/>
          <w:szCs w:val="22"/>
          <w:lang w:val="en-US"/>
        </w:rPr>
        <w:instrText>∼</w:instrText>
      </w:r>
      <w:r w:rsidR="003376B3">
        <w:rPr>
          <w:rFonts w:ascii="Times New Roman" w:eastAsia="Times New Roman" w:hAnsi="Times New Roman" w:cs="Times New Roman"/>
          <w:sz w:val="22"/>
          <w:szCs w:val="22"/>
          <w:lang w:val="en-US"/>
        </w:rPr>
        <w:instrText xml:space="preserve">3.75, </w:instrText>
      </w:r>
      <w:r w:rsidR="003376B3">
        <w:rPr>
          <w:rFonts w:ascii="Cambria Math" w:eastAsia="Times New Roman" w:hAnsi="Cambria Math" w:cs="Cambria Math"/>
          <w:sz w:val="22"/>
          <w:szCs w:val="22"/>
          <w:lang w:val="en-US"/>
        </w:rPr>
        <w:instrText>∼</w:instrText>
      </w:r>
      <w:r w:rsidR="003376B3">
        <w:rPr>
          <w:rFonts w:ascii="Times New Roman" w:eastAsia="Times New Roman" w:hAnsi="Times New Roman" w:cs="Times New Roman"/>
          <w:sz w:val="22"/>
          <w:szCs w:val="22"/>
          <w:lang w:val="en-US"/>
        </w:rPr>
        <w:instrText xml:space="preserve">3.6 and </w:instrText>
      </w:r>
      <w:r w:rsidR="003376B3">
        <w:rPr>
          <w:rFonts w:ascii="Cambria Math" w:eastAsia="Times New Roman" w:hAnsi="Cambria Math" w:cs="Cambria Math"/>
          <w:sz w:val="22"/>
          <w:szCs w:val="22"/>
          <w:lang w:val="en-US"/>
        </w:rPr>
        <w:instrText>∼</w:instrText>
      </w:r>
      <w:r w:rsidR="003376B3">
        <w:rPr>
          <w:rFonts w:ascii="Times New Roman" w:eastAsia="Times New Roman" w:hAnsi="Times New Roman" w:cs="Times New Roman"/>
          <w:sz w:val="22"/>
          <w:szCs w:val="22"/>
          <w:lang w:val="en-US"/>
        </w:rPr>
        <w:instrText xml:space="preserve">1.7 Ga also is preserved. These discoveries approximately double, to </w:instrText>
      </w:r>
      <w:r w:rsidR="003376B3">
        <w:rPr>
          <w:rFonts w:ascii="Cambria Math" w:eastAsia="Times New Roman" w:hAnsi="Cambria Math" w:cs="Cambria Math"/>
          <w:sz w:val="22"/>
          <w:szCs w:val="22"/>
          <w:lang w:val="en-US"/>
        </w:rPr>
        <w:instrText>∼</w:instrText>
      </w:r>
      <w:r w:rsidR="003376B3">
        <w:rPr>
          <w:rFonts w:ascii="Times New Roman" w:eastAsia="Times New Roman" w:hAnsi="Times New Roman" w:cs="Times New Roman"/>
          <w:sz w:val="22"/>
          <w:szCs w:val="22"/>
          <w:lang w:val="en-US"/>
        </w:rPr>
        <w:instrText xml:space="preserve">40 km2, the area over which </w:instrText>
      </w:r>
      <w:r w:rsidR="003376B3">
        <w:rPr>
          <w:rFonts w:ascii="Cambria Math" w:eastAsia="Times New Roman" w:hAnsi="Cambria Math" w:cs="Cambria Math"/>
          <w:sz w:val="22"/>
          <w:szCs w:val="22"/>
          <w:lang w:val="en-US"/>
        </w:rPr>
        <w:instrText>∼</w:instrText>
      </w:r>
      <w:r w:rsidR="003376B3">
        <w:rPr>
          <w:rFonts w:ascii="Times New Roman" w:eastAsia="Times New Roman" w:hAnsi="Times New Roman" w:cs="Times New Roman"/>
          <w:sz w:val="22"/>
          <w:szCs w:val="22"/>
          <w:lang w:val="en-US"/>
        </w:rPr>
        <w:instrText>4.0 Ga gneisses are known to occur. A single older zircon core in one sample suggests that rocks as old as 4.06 Ga might yet be found in the region. As early as 4.03 Ga, terrestrial differentiation was already producing tonalitic magmas, probably by partial melting of pre-existing, less differentiated crust. © Springer-Verlag 1999.","author":[{"dropping-particle":"","family":"Bowring","given":"Samuel A.","non-dropping-particle":"","parse-names":false,"suffix":""},{"dropping-particle":"","family":"Williams","given":"Ian S.","non-dropping-particle":"","parse-names":false,"suffix":""}],"container-title":"Contributions to Mineralogy and Petrology","id":"ITEM-1","issue":"1","issued":{"date-parts":[["1999"]]},"page":"3-16","title":"Priscoan (4.00-4.03 Ga) orthogneisses from northwestern Canada","type":"article-journal","volume":"134"},"uris":["http://www.mendeley.com/documents/?uuid=821579e8-b759-469e-829a-354178bd4da0"]}],"mendeley":{"formattedCitation":"&lt;sup&gt;115&lt;/sup&gt;","plainTextFormattedCitation":"115","previouslyFormattedCitation":"&lt;sup&gt;115&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115</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{"citationItems":[{"id":"ITEM-1","itemData":{"DOI":"10.1130/G22124.1","ISSN":"00917613","abstract":"Evidence for the existence of continental crust older than 4.06 Ga has so far been obtained only from zircons in the Yilgarn Craton of Western Australia. In this paper we report the first occurrence of a very old zircon with a U-Pb age of 4.2 Ga in the Acasta Gneiss Complex of northwestern Canada, based on a laser ablation-inductively coupled plasma-mass spectrometry and sensitive high-resolution ion microprobe study. The U-Pb data reveal that the 4.2 Ga zircon occurs as a xenocryst in a 3.9 Ga granitic rock. Trace element compositions of the xenocryst suggest that it crystallized from a granitic magma. Our results, suggesting the existence of granitic rocks outside the Yilgarn Craton at 4.2 Ga, imply that granitic continental crust was more widespread than previously thought, and that it was reworked into Early Archean continental crust. © 2006 Geological Society of America.","author":[{"dropping-particle":"","family":"Iizuka","given":"Tsuyoshi","non-dropping-particle":"","parse-names":false,"suffix":""},{"dropping-particle":"","family":"Horie","given":"Kenji","non-dropping-particle":"","parse-names":false,"suffix":""},{"dropping-particle":"","family":"Komiya","given":"Tsuyoshi","non-dropping-particle":"","parse-names":false,"suffix":""},{"dropping-particle":"","family":"Maruyama","given":"Shigenori","non-dropping-particle":"","parse-names":false,"suffix":""},{"dropping-particle":"","family":"Hirata","given":"Takafumi","non-dropping-particle":"","parse-names":false,"suffix":""},{"dropping-particle":"","family":"Hidaka","given":"Hiroshi","non-dropping-particle":"","parse-names":false,"suffix":""},{"dropping-particle":"","family":"Windley","given":"Brian F.","non-dropping-particle":"","parse-names":false,"suffix":""}],"container-title":"Geology","id":"ITEM-1","issue":"4","issued":{"date-parts":[["2006"]]},"page":"245-248","title":"4.2 Ga zircon xenocryst in an Acasta gneiss from northwestern Canada: Evidence for early continental crust","type":"article-journal","volume":"34"},"uris":["http://www.mendeley.com/documents/?uuid=14c2d013-148c-476f-a7b5-9830445c683f"]}],"mendeley":{"formattedCitation":"&lt;sup&gt;116&lt;/sup&gt;","plainTextFormattedCitation":"116","previouslyFormattedCitation":"&lt;sup&gt;116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4.4 Ga detrital zircons from Jack Hills in Western Australia</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 xml:space="preserve">ADDIN CSL_CITATION {"citationItems":[{"id":"ITEM-1","itemData":{"DOI":"10.1038/35051550","ISSN":"00280836","PMID":"11196637","abstract":"No crustal rocks are known to have survived since the time of the intense meteor bombardment that affected Earth1 between its formation about 4,550 Myr ago and 4,030 Myr, the age of the oldest known components in the Acasta Gneiss of northwestern Canada2. But evidence of an even older crust is provided by detrital zircons in metamorphosed sediments at Mt Narryer3 and Jack Hills4-8 in the Narryer Gneiss Terrane9, Yilgarn Craton, Western Australia, where grains as old as </w:instrText>
      </w:r>
      <w:r w:rsidR="003376B3">
        <w:rPr>
          <w:rFonts w:ascii="Cambria Math" w:eastAsia="Times New Roman" w:hAnsi="Cambria Math" w:cs="Cambria Math"/>
          <w:sz w:val="22"/>
          <w:szCs w:val="22"/>
          <w:lang w:val="en-US"/>
        </w:rPr>
        <w:instrText>∼</w:instrText>
      </w:r>
      <w:r w:rsidR="003376B3">
        <w:rPr>
          <w:rFonts w:ascii="Times New Roman" w:eastAsia="Times New Roman" w:hAnsi="Times New Roman" w:cs="Times New Roman"/>
          <w:sz w:val="22"/>
          <w:szCs w:val="22"/>
          <w:lang w:val="en-US"/>
        </w:rPr>
        <w:instrText>4,276 Myr have been found4. Here we report, based on a detailed micro-analytical study of Jack Hills zircons10, the discovery of a detrital zircon with an age as old as 4,404 ± 8 Myr - about 130 million years older than any previously identified on Earth. We found that the zircon is zoned with respect to rare earth elements and oxygen isotope ratios (δ18O values from 7.4 to 5.0‰), indicating that it formed from an evolving magmatic source. The evolved chemistry, high δ18O value and micro-inclusions of SiO2 are consistent with growth from a granitic melt11,2 with a δ18O value from 8.5 to 9.5‰. Magmatic oxygen isotope ratios in this range point toward the involvement of supracrustal material that has undergone low-temperature interaction with a liquid hydrosphere. This zircon thus represents the earliest evidence for continental crust and oceans on the Earth.","author":[{"dropping-particle":"","family":"Wilde","given":"Simon A.","non-dropping-particle":"","parse-names":false,"suffix":""},{"dropping-particle":"","family":"Valley","given":"John W.","non-dropping-particle":"","parse-names":false,"suffix":""},{"dropping-particle":"","family":"Peck","given":"William H.","non-dropping-particle":"","parse-names":false,"suffix":""},{"dropping-particle":"","family":"Graham","given":"Colin M.","non-dropping-particle":"","parse-names":false,"suffix":""}],"container-title":"Nature","id":"ITEM-1","issue":"6817","issued":{"date-parts":[["2001"]]},"page":"175-178","title":"Evidence from detrital zircons for the existence of continental crust and oceans on the Earth 4.4 Gyr ago","type":"article-journal","volume":"409"},"uris":["http://www.mendeley.com/documents/?uuid=d369938d-bbe8-4937-aa4f-8d55cf244e52"]}],"mendeley":{"formattedCitation":"&lt;sup&gt;117&lt;/sup&gt;","plainTextFormattedCitation":"117","previouslyFormattedCitation":"&lt;sup&gt;117&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117</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{"citationItems":[{"id":"ITEM-1","itemData":{"DOI":"10.1016/j.epsl.2008.02.011","ISSN":"0012821X","abstract":"Large deviations in e{open}Hf(T) from bulk silicate Earth seen in &gt; 4 Ga detrital zircons from Jack Hills, Western Australia, have been interpreted as reflecting a major differentiation of the silicate Earth at 4.4 to 4.5 Ga. We have expanded the characterization of 176Hf/177Hf initial ratios (Hf) in Hadean zircons by acquiring a further 116 laser ablation Lu-Hf measurements on 87 grains with ion microprobe 207Pb/206Pb ages up to 4.36 Ga. Most measurements employed concurrent Lu-Hf and 207Pb/206Pb analyses, permitting assessment of the age of the volumetrically larger domain sampled by laser drilling against the spatially more restricted ion microprobe ages. Our new results confirm and extend the earlier observation of significant negative deviations in e{open}Hf(T) throughout the Hadean, although no positive e{open}Hf(T) values were documented in this study. Monte Carlo modelling of these data yields an essentially uniform spectrum of model ages between 4.56 and 4.20 Ga for extraction of the zircons' protoliths from a chondritic reservoir. To assess whether the five data plotting close to solar system initial Hf (Hfo) are statistically robust, we derived the error propagation equation for a parameter, e{open}o, which measures the difference of a sample from Hfo. Our analysis suggests that this limited data is indicative of source sequestration in a crustal-type Lu/Hf environment prior to 4.5 Ga. Oxygen isotope data and Ti thermometry from Hadean zircons show little obvious correlation with Hf, consistent with their derivation through fusion of a broad suite of crustal rock types under water-saturated conditions. Together with other isotopic and trace element data obtained from these ancient zircons, our results indicate essentially continuous derivation of crust from the mantle from 4.5 to 4.2 Ga with concurrent recycling into the mantle and internal crustal re-working. These results represent further evidence that by 4.35 Ga, portions of the crust had taken on continental characteristics. © 2008 Elsevier B.V. All rights reserved.","author":[{"dropping-particle":"","family":"Harrison","given":"T. Mark","non-dropping-particle":"","parse-names":false,"suffix":""},{"dropping-particle":"","family":"Schmitt","given":"Axel K.","non-dropping-particle":"","parse-names":false,"suffix":""},{"dropping-particle":"","family":"McCulloch","given":"Malcolm T.","non-dropping-particle":"","parse-names":false,"suffix":""},{"dropping-particle":"","family":"Lovera","given":"Oscar M.","non-dropping-particle":"","parse-names":false,"suffix":""}],"container-title":"Earth and Planetary Science Letters","id":"ITEM-1","issue":"3-4","issued":{"date-parts":[["2008"]]},"page":"476-486","title":"Early (≥ 4.5 Ga) formation of terrestrial crust: Lu-Hf, δ18O, and Ti thermometry results for Hadean zircons","type":"article-journal","volume":"268"},"uris":["http://www.mendeley.com/documents/?uuid=c886b8aa-d4e0-4214-8dbe-46e41286572b"]}],"mendeley":{"formattedCitation":"&lt;sup&gt;118&lt;/sup&gt;","plainTextFormattedCitation":"118","previouslyFormattedCitation":"&lt;sup&gt;118&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118</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{"citationItems":[{"id":"ITEM-1","itemData":{"DOI":"10.1016/j.epsl.2010.04.043","ISSN":"0012821X","abstract":"Detrital zircon crystals from the Jack Hills metasedimentary belt, Western Australia, are the only surviving vestiges of Hadean crust and represent an extraordinary archive into the nature of the early Earth. We report the results of an in situ isotopic study of 68 Jack Hills zircons in which the Hf and Pb isotope ratios were measured concurrently, allowing a better integration of isotope tracer information (176Hf/177Hf) with crystallization age (207Pb/206Pb). These data are augmented by Hf isotope data from zircons of the surrounding Narryer gneisses (3.65-3.30Ga) and from Neoarchaean granites that intrude the Jack Hills belt. The detrital zircons define a subchondritic ξHf-time array that attests to a far simpler evolution for the Hadean Earth than claimed by recent studies. This evolution is consistent with the protracted intra-crustal reworking of an enriched, dominantly mafic protolith that was extracted from primordial mantle at 4.4-4.5Ga, perhaps during the solidification of a terrestrial magma ocean. There is no evidence for the existence of strongly depleted Hadean mantle, or for juvenile input into the parental magmas to the Jack Hills zircons. This simple Hf isotope evolution is difficult to reconcile with modern plate tectonic processes. Strongly unradiogenic Hf isotope compositions of zircons from several Archaean gneiss terranes, including the Narryer and Acasta gneisses, suggest that Hadean source reservoirs were tapped by granitic magmas throughout the Archaean. This supports the notion of a long-lived and globally extensive Hadean protocrust that may have comprised the nuclei of some Archaean cratons. © 2010 Elsevier B.V.","author":[{"dropping-particle":"","family":"Kemp","given":"A. I.S.","non-dropping-particle":"","parse-names":false,"suffix":""},{"dropping-particle":"","family":"Wilde","given":"S. A.","non-dropping-particle":"","parse-names":false,"suffix":""},{"dropping-particle":"","family":"Hawkesworth","given":"C. J.","non-dropping-particle":"","parse-names":false,"suffix":""},{"dropping-particle":"","family":"Coath","given":"C. D.","non-dropping-particle":"","parse-names":false,"suffix":""},{"dropping-particle":"","family":"Nemchin","given":"A.","non-dropping-particle":"","parse-names":false,"suffix":""},{"dropping-particle":"","family":"Pidgeon","given":"R. T.","non-dropping-particle":"","parse-names":false,"suffix":""},{"dropping-particle":"","family":"Vervoort","given":"J. D.","non-dropping-particle":"","parse-names":false,"suffix":""},{"dropping-particle":"","family":"DuFrane","given":"S. A.","non-dropping-particle":"","parse-names":false,"suffix":""}],"container-title":"Earth and Planetary Science Letters","id":"ITEM-1","issue":"1-2","issued":{"date-parts":[["2010"]]},"page":"45-56","publisher":"Elsevier B.V.","title":"Hadean crustal evolution revisited: New constraints from Pb-Hf isotope systematics of the Jack Hills zircons","type":"article-journal","volume":"296"},"uris":["http://www.mendeley.com/documents/?uuid=02666710-d00d-42d2-8cf5-fbe700f292e4"]}],"mendeley":{"formattedCitation":"&lt;sup&gt;119&lt;/sup&gt;","plainTextFormattedCitation":"119","previouslyFormattedCitation":"&lt;sup&gt;119&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119</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w:t>
      </w:r>
      <w:r w:rsidRPr="0084570B">
        <w:rPr>
          <w:rFonts w:ascii="Times New Roman" w:hAnsi="Times New Roman" w:cs="Times New Roman"/>
          <w:sz w:val="22"/>
          <w:szCs w:val="22"/>
          <w:lang w:val="en-US"/>
        </w:rPr>
        <w:t xml:space="preserve"> several models have suggested that crustal growth could have started </w:t>
      </w:r>
      <w:r w:rsidRPr="0084570B">
        <w:rPr>
          <w:rFonts w:ascii="Times New Roman" w:eastAsia="Times New Roman" w:hAnsi="Times New Roman" w:cs="Times New Roman"/>
          <w:sz w:val="22"/>
          <w:szCs w:val="22"/>
          <w:lang w:val="en-US"/>
        </w:rPr>
        <w:t xml:space="preserve">as early as the Hadean, within the first 500 Myr of Earth’s history. </w:t>
      </w:r>
      <w:r w:rsidRPr="0084570B">
        <w:rPr>
          <w:rFonts w:ascii="Times New Roman" w:hAnsi="Times New Roman" w:cs="Times New Roman"/>
          <w:sz w:val="22"/>
          <w:szCs w:val="22"/>
          <w:lang w:val="en-US"/>
        </w:rPr>
        <w:t>Latest models of felsic continental growth based on argon degassing</w:t>
      </w:r>
      <w:r w:rsidRPr="0084570B">
        <w:rPr>
          <w:rFonts w:ascii="Times New Roman" w:hAnsi="Times New Roman" w:cs="Times New Roman"/>
          <w:sz w:val="22"/>
          <w:szCs w:val="22"/>
          <w:lang w:val="en-US"/>
        </w:rPr>
        <w:fldChar w:fldCharType="begin" w:fldLock="1"/>
      </w:r>
      <w:r w:rsidR="00DD29E3">
        <w:rPr>
          <w:rFonts w:ascii="Times New Roman" w:hAnsi="Times New Roman" w:cs="Times New Roman"/>
          <w:sz w:val="22"/>
          <w:szCs w:val="22"/>
          <w:lang w:val="en-US"/>
        </w:rPr>
        <w:instrText>ADDIN CSL_CITATION {"citationItems":[{"id":"ITEM-1","itemData":{"DOI":"10.1126/sciadv.aaz6234","ISSN":"23752548","PMID":"32671213","abstract":"The continental crust is a major geochemical reservoir, the evolution of which has shaped the surface environment of Earth. In this study, we present a new model of coupled crust-mantle-atmosphere evolution to constrain the growth of continental crust with atmospheric 40Ar/36Ar. Our model is the first to combine argon degassing with the thermal evolution of Earth in a self-consistent manner and to incorporate the effect of crustal recycling and reworking using the distributions of crustal formation and surface ages. Our results suggest that the history of argon degassing favors rapid crustal growth during the early Earth. The mass of continental crust, highly enriched in potassium, is estimated to have already reached &gt;80% of the present-day level during the early Archean. The presence of such potassium-rich, likely felsic, crust has important implications for tectonics, surface environment, and the regime of mantle convection in the early Earth.","author":[{"dropping-particle":"","family":"Guo","given":"Meng","non-dropping-particle":"","parse-names":false,"suffix":""},{"dropping-particle":"","family":"Korenaga","given":"Jun","non-dropping-particle":"","parse-names":false,"suffix":""}],"container-title":"Science Advances","id":"ITEM-1","issue":"21","issued":{"date-parts":[["2020"]]},"page":"1-11","title":"Argon constraints on the early growth of felsic continental crust","type":"article-journal","volume":"6"},"uris":["http://www.mendeley.com/documents/?uuid=0a94883b-bdd0-47fd-b356-d00bceb78ce9"]}],"mendeley":{"formattedCitation":"&lt;sup&gt;36&lt;/sup&gt;","plainTextFormattedCitation":"36","previouslyFormattedCitation":"&lt;sup&gt;36&lt;/sup&gt;"},"properties":{"noteIndex":0},"schema":"https://github.com/citation-style-language/schema/raw/master/csl-citation.json"}</w:instrText>
      </w:r>
      <w:r w:rsidRPr="0084570B">
        <w:rPr>
          <w:rFonts w:ascii="Times New Roman" w:hAnsi="Times New Roman" w:cs="Times New Roman"/>
          <w:sz w:val="22"/>
          <w:szCs w:val="22"/>
          <w:lang w:val="en-US"/>
        </w:rPr>
        <w:fldChar w:fldCharType="separate"/>
      </w:r>
      <w:r w:rsidR="00937986" w:rsidRPr="0084570B">
        <w:rPr>
          <w:rFonts w:ascii="Times New Roman" w:hAnsi="Times New Roman" w:cs="Times New Roman"/>
          <w:noProof/>
          <w:sz w:val="22"/>
          <w:szCs w:val="22"/>
          <w:vertAlign w:val="superscript"/>
          <w:lang w:val="en-US"/>
        </w:rPr>
        <w:t>36</w:t>
      </w:r>
      <w:r w:rsidRPr="0084570B">
        <w:rPr>
          <w:rFonts w:ascii="Times New Roman" w:hAnsi="Times New Roman" w:cs="Times New Roman"/>
          <w:sz w:val="22"/>
          <w:szCs w:val="22"/>
          <w:lang w:val="en-US"/>
        </w:rPr>
        <w:fldChar w:fldCharType="end"/>
      </w:r>
      <w:r w:rsidRPr="0084570B">
        <w:rPr>
          <w:rFonts w:ascii="Times New Roman" w:hAnsi="Times New Roman" w:cs="Times New Roman"/>
          <w:sz w:val="22"/>
          <w:szCs w:val="22"/>
          <w:lang w:val="en-US"/>
        </w:rPr>
        <w:t xml:space="preserve"> and samarium-neodymium isotope</w:t>
      </w:r>
      <w:r w:rsidRPr="0084570B">
        <w:rPr>
          <w:rFonts w:ascii="Times New Roman" w:hAnsi="Times New Roman" w:cs="Times New Roman"/>
          <w:sz w:val="22"/>
          <w:szCs w:val="22"/>
          <w:lang w:val="en-US"/>
        </w:rPr>
        <w:fldChar w:fldCharType="begin" w:fldLock="1"/>
      </w:r>
      <w:r w:rsidR="00DD29E3">
        <w:rPr>
          <w:rFonts w:ascii="Times New Roman" w:hAnsi="Times New Roman" w:cs="Times New Roman"/>
          <w:sz w:val="22"/>
          <w:szCs w:val="22"/>
          <w:lang w:val="en-US"/>
        </w:rPr>
        <w:instrText>ADDIN CSL_CITATION {"citationItems":[{"id":"ITEM-1","itemData":{"DOI":"10.1016/j.epsl.2018.04.051","ISSN":"0012821X","abstract":"The geodynamic regime of the early Earth remains elusive, with so far proposed hypotheses ranging from stagnant lid convection to rapid plate tectonics. Available geological data are severely limited for the first two billion years of the Earth's history, and this scarcity of relevant data is often compounded by the nonuniqueness of interpretation. Here we propose that the samarium–neodymium isotope evolution, which has been suggested to be consistent with stagnant lid convection in the early Earth, may be better understood as the result of rapid crustal growth and extensive crustal recycling. We delineate the permissible scenario of crustal evolution through geochemical box modeling with a Monte Carlo sampling of the model parameter space, and our results suggest that the net growth of continental crust was complete by the end of the Hadean and that the rate of crustal recycling could have been as high as 2−4×1022 kg Gyr−1 at that time and has gradually decreased since then. Such crustal evolution yields a specific prediction for the present-day distribution of crustal formation ages, which is shown to be in remarkable agreement with a recent estimate based on the global compilation of zircon age data. The mode of subsolidus mantle convection after the putative magma ocean is probably plate tectonics, but its style could have been very different from that of contemporary plate tectonics, characterized by more voluminous magmatism and more destructive subduction.","author":[{"dropping-particle":"","family":"Rosas","given":"Juan Carlos","non-dropping-particle":"","parse-names":false,"suffix":""},{"dropping-particle":"","family":"Korenaga","given":"Jun","non-dropping-particle":"","parse-names":false,"suffix":""}],"container-title":"Earth and Planetary Science Letters","id":"ITEM-1","issued":{"date-parts":[["2018"]]},"page":"42-49","publisher":"Elsevier B.V.","title":"Rapid crustal growth and efficient crustal recycling in the early Earth: Implications for Hadean and Archean geodynamics","type":"article-journal","volume":"494"},"uris":["http://www.mendeley.com/documents/?uuid=c0fbb307-462a-4407-a7a4-66881fc2c42a"]}],"mendeley":{"formattedCitation":"&lt;sup&gt;37&lt;/sup&gt;","plainTextFormattedCitation":"37","previouslyFormattedCitation":"&lt;sup&gt;37&lt;/sup&gt;"},"properties":{"noteIndex":0},"schema":"https://github.com/citation-style-language/schema/raw/master/csl-citation.json"}</w:instrText>
      </w:r>
      <w:r w:rsidRPr="0084570B">
        <w:rPr>
          <w:rFonts w:ascii="Times New Roman" w:hAnsi="Times New Roman" w:cs="Times New Roman"/>
          <w:sz w:val="22"/>
          <w:szCs w:val="22"/>
          <w:lang w:val="en-US"/>
        </w:rPr>
        <w:fldChar w:fldCharType="separate"/>
      </w:r>
      <w:r w:rsidR="00937986" w:rsidRPr="0084570B">
        <w:rPr>
          <w:rFonts w:ascii="Times New Roman" w:hAnsi="Times New Roman" w:cs="Times New Roman"/>
          <w:noProof/>
          <w:sz w:val="22"/>
          <w:szCs w:val="22"/>
          <w:vertAlign w:val="superscript"/>
          <w:lang w:val="en-US"/>
        </w:rPr>
        <w:t>37</w:t>
      </w:r>
      <w:r w:rsidRPr="0084570B">
        <w:rPr>
          <w:rFonts w:ascii="Times New Roman" w:hAnsi="Times New Roman" w:cs="Times New Roman"/>
          <w:sz w:val="22"/>
          <w:szCs w:val="22"/>
          <w:lang w:val="en-US"/>
        </w:rPr>
        <w:fldChar w:fldCharType="end"/>
      </w:r>
      <w:r w:rsidRPr="0084570B">
        <w:rPr>
          <w:rFonts w:ascii="Times New Roman" w:hAnsi="Times New Roman" w:cs="Times New Roman"/>
          <w:sz w:val="22"/>
          <w:szCs w:val="22"/>
          <w:lang w:val="en-US"/>
        </w:rPr>
        <w:t xml:space="preserve"> constraints even suggest that </w:t>
      </w:r>
      <w:r w:rsidRPr="0084570B">
        <w:rPr>
          <w:rFonts w:ascii="Times New Roman" w:eastAsia="Times New Roman" w:hAnsi="Times New Roman" w:cs="Times New Roman"/>
          <w:sz w:val="22"/>
          <w:szCs w:val="22"/>
          <w:lang w:val="en-US"/>
        </w:rPr>
        <w:t>the net growth of continental crust was nearly complete by the end of the Hadean, which is broadly in line with early work from Armstrong (1981)</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{"citationItems":[{"id":"ITEM-1","itemData":{"DOI":"10.1098/rsta.1981.0122","ISSN":"0080-4614","abstract":"Pb, Sr and Nd isotopes define rock ages and residence times in mantle and continental crust, but are not diagnostic of either crustal growth or recycling in a near-steadystate Earth. Constancy of continental freeboard and uniformity of thickness of stable continental crust with age are the only two quantitative measures of crustal volume through time and these imply negligible crustal growth since 2.9 Ga B.P. Planetary analogies, Pb isotopes, atmospheric evolution, and palaeomagnetism also argue for early terrestrial differentiation. Rates of crustal growth and recycling are sufficient to reach a near-steady state over the first 1 Ga of Earth history, before widespread cratonization. Isotope compositions and ages of rocks are quantitatively compatible with near-steady-state recycling involving multiple complete reworkings of the crust by injection into the mantle along subduction zones. The recycling process can be observed to occur on the Earth today. Continental crust is uplifted, reduced in area, and thickened in orogenic belts. It is then subject to erosion, an effective isotopic homogenization process. A fraction of the sediment flux reaches the ocean floor or accumulates along continental margins, while soluble elements and water become fixed in ocean crust and trapped in sediments. Subduction of altered ocean crust, sediment, microcontinents and fragments of basement ripped off the edges of continents completes the process whereby continental crust, enriched in radiogenic Pb and Sr and with relatively unradiogenic Nd, is returned to the mantle. Pb, Sr and Nd isotopic compositions of igneous rocks from the mantle are explainable in terms of a near-steady-state model. The mantle buffer dominates observed isotope Sr and Nd evolutions. Mixing of crust and mantle causes all the isotope evolutions to approximate single-stage growth curves. Isotopic heterogeneity of the Earth increases as the rate of mixing declines. The observed escape of primordial 3 He from the mantle is not evidence for continuing continental differentiation or against early differentiation of the Earth. Even if nearly complete equilibrium chemical differentiation occurred at 4.6 Ga B.P., some 3 He would remain dissolved in the interior and would escape as recycling continued. A true steady state cannot be achieved because the driving energy declines with time and Earth surface processes have evolved with development of life and an oxygenated atmosphere. These unidirectional changes…","author":[{"dropping-particle":"","family":"Armstrong","given":"R.L.","non-dropping-particle":"","parse-names":false,"suffix":""}],"container-title":"Philosophical Transactions of the Royal Society of London. Series A, Mathematical and Physical Sciences","id":"ITEM-1","issue":"1461","issued":{"date-parts":[["1981"]]},"page":"443-472","title":"Radiogenic isotopes: the case for crustal recycling on a near-steady-state no-continental-growth Earth","type":"article-journal","volume":"301"},"uris":["http://www.mendeley.com/documents/?uuid=68e1f8fc-4671-4c37-93f9-5d743d28b56d"]}],"mendeley":{"formattedCitation":"&lt;sup&gt;120&lt;/sup&gt;","plainTextFormattedCitation":"120","previouslyFormattedCitation":"&lt;sup&gt;120&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120</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As detailed in the main text, the potential for most of the Pu and U to have been extracted from the mantle before Pu became extinct could have important implications for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TF</w:t>
      </w:r>
      <w:r w:rsidRPr="0084570B">
        <w:rPr>
          <w:rFonts w:ascii="Times New Roman" w:eastAsia="Times New Roman" w:hAnsi="Times New Roman" w:cs="Times New Roman"/>
          <w:sz w:val="22"/>
          <w:szCs w:val="22"/>
          <w:lang w:val="en-US"/>
        </w:rPr>
        <w:t xml:space="preserve"> systematics of mantle reservoirs. </w:t>
      </w:r>
      <w:r w:rsidRPr="0084570B">
        <w:rPr>
          <w:rFonts w:ascii="Times New Roman" w:hAnsi="Times New Roman" w:cs="Times New Roman"/>
          <w:sz w:val="22"/>
          <w:szCs w:val="22"/>
          <w:lang w:val="en-US"/>
        </w:rPr>
        <w:t>Overall, the rate of incompatible element depletion within the depleted mantle would mostly depend on the cumulated quantity of crustal extraction over the Hadean.</w:t>
      </w:r>
    </w:p>
    <w:p w14:paraId="7ABD34B1"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479B6BDA"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30856649" w14:textId="77777777" w:rsidR="008120DE" w:rsidRPr="0084570B" w:rsidRDefault="008120DE" w:rsidP="008120DE">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drawing>
          <wp:inline distT="0" distB="0" distL="0" distR="0" wp14:anchorId="75FD0F6F" wp14:editId="08461083">
            <wp:extent cx="4554908" cy="3108627"/>
            <wp:effectExtent l="0" t="0" r="0" b="0"/>
            <wp:docPr id="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59128" cy="3111507"/>
                    </a:xfrm>
                    <a:prstGeom prst="rect">
                      <a:avLst/>
                    </a:prstGeom>
                    <a:noFill/>
                    <a:ln>
                      <a:noFill/>
                    </a:ln>
                  </pic:spPr>
                </pic:pic>
              </a:graphicData>
            </a:graphic>
          </wp:inline>
        </w:drawing>
      </w:r>
    </w:p>
    <w:p w14:paraId="20F5D918" w14:textId="1D9C6F60" w:rsidR="00FA2ECF" w:rsidRPr="0084570B" w:rsidRDefault="005C6798" w:rsidP="00FA2ECF">
      <w:pPr>
        <w:pStyle w:val="Normal1"/>
        <w:spacing w:line="276" w:lineRule="auto"/>
        <w:jc w:val="both"/>
        <w:rPr>
          <w:rFonts w:ascii="Times New Roman" w:eastAsia="Times New Roman" w:hAnsi="Times New Roman" w:cs="Times New Roman"/>
          <w:color w:val="222222"/>
          <w:sz w:val="22"/>
          <w:szCs w:val="22"/>
          <w:lang w:val="en-US"/>
        </w:rPr>
      </w:pPr>
      <w:r w:rsidRPr="0084570B">
        <w:rPr>
          <w:rFonts w:ascii="Times New Roman" w:eastAsia="Times New Roman" w:hAnsi="Times New Roman" w:cs="Times New Roman"/>
          <w:b/>
          <w:color w:val="222222"/>
          <w:sz w:val="22"/>
          <w:szCs w:val="22"/>
          <w:lang w:val="en-US"/>
        </w:rPr>
        <w:t>Figure S11</w:t>
      </w:r>
      <w:r w:rsidR="008120DE" w:rsidRPr="0084570B">
        <w:rPr>
          <w:rFonts w:ascii="Times New Roman" w:eastAsia="Times New Roman" w:hAnsi="Times New Roman" w:cs="Times New Roman"/>
          <w:b/>
          <w:color w:val="222222"/>
          <w:sz w:val="22"/>
          <w:szCs w:val="22"/>
          <w:lang w:val="en-US"/>
        </w:rPr>
        <w:t>.</w:t>
      </w:r>
      <w:r w:rsidR="008120DE" w:rsidRPr="0084570B">
        <w:rPr>
          <w:rFonts w:ascii="Times New Roman" w:eastAsia="Times New Roman" w:hAnsi="Times New Roman" w:cs="Times New Roman"/>
          <w:color w:val="222222"/>
          <w:sz w:val="22"/>
          <w:szCs w:val="22"/>
          <w:lang w:val="en-US"/>
        </w:rPr>
        <w:t xml:space="preserve"> Selected crustal growth models, adapted from </w:t>
      </w:r>
      <w:r w:rsidR="008120DE" w:rsidRPr="0084570B">
        <w:rPr>
          <w:rFonts w:ascii="Times New Roman" w:hAnsi="Times New Roman" w:cs="Times New Roman"/>
          <w:noProof/>
          <w:sz w:val="22"/>
          <w:lang w:val="en-US"/>
        </w:rPr>
        <w:t>Hawkesworth</w:t>
      </w:r>
      <w:r w:rsidR="008120DE" w:rsidRPr="0084570B">
        <w:rPr>
          <w:rFonts w:ascii="Times New Roman" w:eastAsia="Times New Roman" w:hAnsi="Times New Roman" w:cs="Times New Roman"/>
          <w:color w:val="222222"/>
          <w:sz w:val="22"/>
          <w:szCs w:val="22"/>
          <w:lang w:val="en-US"/>
        </w:rPr>
        <w:t xml:space="preserve"> et al. (2019)</w:t>
      </w:r>
      <w:r w:rsidR="008120DE" w:rsidRPr="0084570B">
        <w:rPr>
          <w:rFonts w:ascii="Times New Roman" w:eastAsia="Times New Roman" w:hAnsi="Times New Roman" w:cs="Times New Roman"/>
          <w:color w:val="222222"/>
          <w:sz w:val="22"/>
          <w:szCs w:val="22"/>
          <w:lang w:val="en-US"/>
        </w:rPr>
        <w:fldChar w:fldCharType="begin" w:fldLock="1"/>
      </w:r>
      <w:r w:rsidR="003376B3">
        <w:rPr>
          <w:rFonts w:ascii="Times New Roman" w:eastAsia="Times New Roman" w:hAnsi="Times New Roman" w:cs="Times New Roman"/>
          <w:color w:val="222222"/>
          <w:sz w:val="22"/>
          <w:szCs w:val="22"/>
          <w:lang w:val="en-US"/>
        </w:rPr>
        <w:instrText xml:space="preserve">ADDIN CSL_CITATION {"citationItems":[{"id":"ITEM-1","itemData":{"DOI":"10.1016/j.gsf.2018.02.004","ISSN":"16749871","abstract":"Models for when and how the continental crust was formed are constrained by estimates in the rates of crustal growth. The record of events preserved in the continental crust is heterogeneous in time with distinctive peaks and troughs of ages for igneous crystallisation, metamorphism, continental margins and mineralisation. For the most part these are global signatures, and the peaks of ages tend to be associated with periods of increased reworking of pre-existing crust, reflected in the Hf isotope ratios of zircons and their elevated oxygen isotope ratios. Increased crustal reworking is attributed to periods of crustal thickening associated with compressional tectonics and the development of supercontinents. Magma types similar to those from recent within-plate and subduction related settings appear to have been generated in different areas at broadly similar times before </w:instrText>
      </w:r>
      <w:r w:rsidR="003376B3">
        <w:rPr>
          <w:rFonts w:ascii="Cambria Math" w:eastAsia="Times New Roman" w:hAnsi="Cambria Math" w:cs="Cambria Math"/>
          <w:color w:val="222222"/>
          <w:sz w:val="22"/>
          <w:szCs w:val="22"/>
          <w:lang w:val="en-US"/>
        </w:rPr>
        <w:instrText>∼</w:instrText>
      </w:r>
      <w:r w:rsidR="003376B3">
        <w:rPr>
          <w:rFonts w:ascii="Times New Roman" w:eastAsia="Times New Roman" w:hAnsi="Times New Roman" w:cs="Times New Roman"/>
          <w:color w:val="222222"/>
          <w:sz w:val="22"/>
          <w:szCs w:val="22"/>
          <w:lang w:val="en-US"/>
        </w:rPr>
        <w:instrText xml:space="preserve">3.0 Ga. It can be difficult to put the results of such detailed case studies into a more global context, but one approach is to consider when plate tectonics became the dominant mechanism involved in the generation of juvenile continental crust. The development of crustal growth models for the continental crust are discussed, and a number of models based on different data sets indicate that 65%–70% of the present volume of the continental crust was generated by 3 Ga. Such estimates may represent minimum values, but since </w:instrText>
      </w:r>
      <w:r w:rsidR="003376B3">
        <w:rPr>
          <w:rFonts w:ascii="Cambria Math" w:eastAsia="Times New Roman" w:hAnsi="Cambria Math" w:cs="Cambria Math"/>
          <w:color w:val="222222"/>
          <w:sz w:val="22"/>
          <w:szCs w:val="22"/>
          <w:lang w:val="en-US"/>
        </w:rPr>
        <w:instrText>∼</w:instrText>
      </w:r>
      <w:r w:rsidR="003376B3">
        <w:rPr>
          <w:rFonts w:ascii="Times New Roman" w:eastAsia="Times New Roman" w:hAnsi="Times New Roman" w:cs="Times New Roman"/>
          <w:color w:val="222222"/>
          <w:sz w:val="22"/>
          <w:szCs w:val="22"/>
          <w:lang w:val="en-US"/>
        </w:rPr>
        <w:instrText xml:space="preserve">3 Ga there has been a reduction in the rates of growth of the continental crust. This reduction is linked to an increase in the rates at which continental crust is recycled back into the mantle, and not to a reduction in the rates at which continental crust was generated. Plate tectonics results in both the generation of new crust and its destruction along destructive plate margins. Thus, the reduction in the rate of continental crustal growth at </w:instrText>
      </w:r>
      <w:r w:rsidR="003376B3">
        <w:rPr>
          <w:rFonts w:ascii="Cambria Math" w:eastAsia="Times New Roman" w:hAnsi="Cambria Math" w:cs="Cambria Math"/>
          <w:color w:val="222222"/>
          <w:sz w:val="22"/>
          <w:szCs w:val="22"/>
          <w:lang w:val="en-US"/>
        </w:rPr>
        <w:instrText>∼</w:instrText>
      </w:r>
      <w:r w:rsidR="003376B3">
        <w:rPr>
          <w:rFonts w:ascii="Times New Roman" w:eastAsia="Times New Roman" w:hAnsi="Times New Roman" w:cs="Times New Roman"/>
          <w:color w:val="222222"/>
          <w:sz w:val="22"/>
          <w:szCs w:val="22"/>
          <w:lang w:val="en-US"/>
        </w:rPr>
        <w:instrText>3 Ga is taken to reflect the period in which plate tectonics became the dominant mechanism by which new continental crust was generated.","author":[{"dropping-particle":"","family":"Hawkesworth","given":"Chris","non-dropping-particle":"","parse-names":false,"suffix":""},{"dropping-particle":"","family":"Cawood","given":"Peter A.","non-dropping-particle":"","parse-names":false,"suffix":""},{"dropping-particle":"","family":"Dhuime","given":"Bruno","non-dropping-particle":"","parse-names":false,"suffix":""}],"container-title":"Geoscience Frontiers","id":"ITEM-1","issue":"1","issued":{"date-parts":[["2019"]]},"page":"165-173","publisher":"Elsevier Ltd","title":"Rates of generation and growth of the continental crust","type":"article-journal","volume":"10"},"uris":["http://www.mendeley.com/documents/?uuid=53ba8f51-7528-4710-93d1-06902c97fced"]}],"mendeley":{"formattedCitation":"&lt;sup&gt;121&lt;/sup&gt;","plainTextFormattedCitation":"121","previouslyFormattedCitation":"&lt;sup&gt;121&lt;/sup&gt;"},"properties":{"noteIndex":0},"schema":"https://github.com/citation-style-language/schema/raw/master/csl-citation.json"}</w:instrText>
      </w:r>
      <w:r w:rsidR="008120DE" w:rsidRPr="0084570B">
        <w:rPr>
          <w:rFonts w:ascii="Times New Roman" w:eastAsia="Times New Roman" w:hAnsi="Times New Roman" w:cs="Times New Roman"/>
          <w:color w:val="222222"/>
          <w:sz w:val="22"/>
          <w:szCs w:val="22"/>
          <w:lang w:val="en-US"/>
        </w:rPr>
        <w:fldChar w:fldCharType="separate"/>
      </w:r>
      <w:r w:rsidR="00253A47" w:rsidRPr="00253A47">
        <w:rPr>
          <w:rFonts w:ascii="Times New Roman" w:eastAsia="Times New Roman" w:hAnsi="Times New Roman" w:cs="Times New Roman"/>
          <w:noProof/>
          <w:color w:val="222222"/>
          <w:sz w:val="22"/>
          <w:szCs w:val="22"/>
          <w:vertAlign w:val="superscript"/>
          <w:lang w:val="en-US"/>
        </w:rPr>
        <w:t>121</w:t>
      </w:r>
      <w:r w:rsidR="008120DE" w:rsidRPr="0084570B">
        <w:rPr>
          <w:rFonts w:ascii="Times New Roman" w:eastAsia="Times New Roman" w:hAnsi="Times New Roman" w:cs="Times New Roman"/>
          <w:color w:val="222222"/>
          <w:sz w:val="22"/>
          <w:szCs w:val="22"/>
          <w:lang w:val="en-US"/>
        </w:rPr>
        <w:fldChar w:fldCharType="end"/>
      </w:r>
      <w:r w:rsidR="008120DE" w:rsidRPr="0084570B">
        <w:rPr>
          <w:rFonts w:ascii="Times New Roman" w:eastAsia="Times New Roman" w:hAnsi="Times New Roman" w:cs="Times New Roman"/>
          <w:color w:val="222222"/>
          <w:sz w:val="22"/>
          <w:szCs w:val="22"/>
          <w:lang w:val="en-US"/>
        </w:rPr>
        <w:t>, Korenaga (2021)</w:t>
      </w:r>
      <w:r w:rsidR="008120DE" w:rsidRPr="0084570B">
        <w:rPr>
          <w:rFonts w:ascii="Times New Roman" w:eastAsia="Times New Roman" w:hAnsi="Times New Roman" w:cs="Times New Roman"/>
          <w:color w:val="222222"/>
          <w:sz w:val="22"/>
          <w:szCs w:val="22"/>
          <w:lang w:val="en-US"/>
        </w:rPr>
        <w:fldChar w:fldCharType="begin" w:fldLock="1"/>
      </w:r>
      <w:r w:rsidR="003376B3">
        <w:rPr>
          <w:rFonts w:ascii="Times New Roman" w:eastAsia="Times New Roman" w:hAnsi="Times New Roman" w:cs="Times New Roman"/>
          <w:color w:val="222222"/>
          <w:sz w:val="22"/>
          <w:szCs w:val="22"/>
          <w:lang w:val="en-US"/>
        </w:rPr>
        <w:instrText>ADDIN CSL_CITATION {"citationItems":[{"id":"ITEM-1","itemData":{"DOI":"10.1016/j.precamres.2021.106178","ISSN":"03019268","abstract":"Reconstructing Earth history during the Hadean defies the traditional rock-based approach in geology. Given the extremely limited locality of Hadean zircons, some indirect approach needs to be employed to gain a global perspective on the Hadean Earth. In this review, two promising approaches are considered jointly. One is to better constrain the evolution of continental crust, which helps to define the global tectonic environment because generating a massive amount of felsic continental crust is difficult without plate tectonics. The other is to better understand the solidification of a putative magma ocean and its consequences, as the end of magma ocean solidification marks the beginning of subsolidus mantle convection. On the basis of recent developments in these two subjects, along with geodynamical consideration, a new perspective for early Earth evolution is presented, which starts with rapid plate tectonics made possible by a chemically heterogeneous mantle and gradually shifts to a more modern-style plate tectonics with a homogeneous mantle. The theoretical and observational stance of this new hypothesis is discussed in conjunction with a critical review of existing proposals for early Earth dynamics, such as stagnant lid convection, sagduction, episodic and intermittent subduction, and heat pipe. One unique feature of the new hypothesis is its potential to explain the evolution of nearly all components in the Earth system, including the atmosphere, the oceans, the crust, the mantle, and the core, in a geodynamically sensible manner.","author":[{"dropping-particle":"","family":"Korenaga","given":"Jun","non-dropping-particle":"","parse-names":false,"suffix":""}],"container-title":"Precambrian Research","id":"ITEM-1","issue":"March","issued":{"date-parts":[["2021"]]},"page":"106178","publisher":"Elsevier B.V.","title":"Hadean geodynamics and the nature of early continental crust","type":"article-journal","volume":"359"},"uris":["http://www.mendeley.com/documents/?uuid=7d22bb2a-6ff1-4d65-83be-22a2c48805e7"]}],"mendeley":{"formattedCitation":"&lt;sup&gt;122&lt;/sup&gt;","plainTextFormattedCitation":"122","previouslyFormattedCitation":"&lt;sup&gt;122&lt;/sup&gt;"},"properties":{"noteIndex":0},"schema":"https://github.com/citation-style-language/schema/raw/master/csl-citation.json"}</w:instrText>
      </w:r>
      <w:r w:rsidR="008120DE" w:rsidRPr="0084570B">
        <w:rPr>
          <w:rFonts w:ascii="Times New Roman" w:eastAsia="Times New Roman" w:hAnsi="Times New Roman" w:cs="Times New Roman"/>
          <w:color w:val="222222"/>
          <w:sz w:val="22"/>
          <w:szCs w:val="22"/>
          <w:lang w:val="en-US"/>
        </w:rPr>
        <w:fldChar w:fldCharType="separate"/>
      </w:r>
      <w:r w:rsidR="00253A47" w:rsidRPr="00253A47">
        <w:rPr>
          <w:rFonts w:ascii="Times New Roman" w:eastAsia="Times New Roman" w:hAnsi="Times New Roman" w:cs="Times New Roman"/>
          <w:noProof/>
          <w:color w:val="222222"/>
          <w:sz w:val="22"/>
          <w:szCs w:val="22"/>
          <w:vertAlign w:val="superscript"/>
          <w:lang w:val="en-US"/>
        </w:rPr>
        <w:t>122</w:t>
      </w:r>
      <w:r w:rsidR="008120DE" w:rsidRPr="0084570B">
        <w:rPr>
          <w:rFonts w:ascii="Times New Roman" w:eastAsia="Times New Roman" w:hAnsi="Times New Roman" w:cs="Times New Roman"/>
          <w:color w:val="222222"/>
          <w:sz w:val="22"/>
          <w:szCs w:val="22"/>
          <w:lang w:val="en-US"/>
        </w:rPr>
        <w:fldChar w:fldCharType="end"/>
      </w:r>
      <w:r w:rsidR="008120DE" w:rsidRPr="0084570B">
        <w:rPr>
          <w:rFonts w:ascii="Times New Roman" w:eastAsia="Times New Roman" w:hAnsi="Times New Roman" w:cs="Times New Roman"/>
          <w:color w:val="222222"/>
          <w:sz w:val="22"/>
          <w:szCs w:val="22"/>
          <w:lang w:val="en-US"/>
        </w:rPr>
        <w:t xml:space="preserve"> and </w:t>
      </w:r>
      <w:r w:rsidR="008120DE" w:rsidRPr="0084570B">
        <w:rPr>
          <w:rFonts w:ascii="Times New Roman" w:eastAsia="Times New Roman" w:hAnsi="Times New Roman" w:cs="Times New Roman"/>
          <w:i/>
          <w:color w:val="222222"/>
          <w:sz w:val="22"/>
          <w:szCs w:val="22"/>
          <w:lang w:val="en-US"/>
        </w:rPr>
        <w:t>references therein</w:t>
      </w:r>
      <w:r w:rsidR="008120DE" w:rsidRPr="0084570B">
        <w:rPr>
          <w:rFonts w:ascii="Times New Roman" w:eastAsia="Times New Roman" w:hAnsi="Times New Roman" w:cs="Times New Roman"/>
          <w:color w:val="222222"/>
          <w:sz w:val="22"/>
          <w:szCs w:val="22"/>
          <w:lang w:val="en-US"/>
        </w:rPr>
        <w:t>. The curves seek to constrain the volumes of crust that were present at different times in Earth</w:t>
      </w:r>
      <w:r w:rsidR="006C5866" w:rsidRPr="0084570B">
        <w:rPr>
          <w:rFonts w:ascii="Times New Roman" w:eastAsia="Times New Roman" w:hAnsi="Times New Roman" w:cs="Times New Roman"/>
          <w:color w:val="222222"/>
          <w:sz w:val="22"/>
          <w:szCs w:val="22"/>
          <w:lang w:val="en-US"/>
        </w:rPr>
        <w:t>'s</w:t>
      </w:r>
      <w:r w:rsidR="008120DE" w:rsidRPr="0084570B">
        <w:rPr>
          <w:rFonts w:ascii="Times New Roman" w:eastAsia="Times New Roman" w:hAnsi="Times New Roman" w:cs="Times New Roman"/>
          <w:color w:val="222222"/>
          <w:sz w:val="22"/>
          <w:szCs w:val="22"/>
          <w:lang w:val="en-US"/>
        </w:rPr>
        <w:t xml:space="preserve"> history (from the Hadean to the Phanerozoic), even if they are no longer preserved </w:t>
      </w:r>
      <w:r w:rsidR="006C5866" w:rsidRPr="0084570B">
        <w:rPr>
          <w:rFonts w:ascii="Times New Roman" w:eastAsia="Times New Roman" w:hAnsi="Times New Roman" w:cs="Times New Roman"/>
          <w:color w:val="222222"/>
          <w:sz w:val="22"/>
          <w:szCs w:val="22"/>
          <w:lang w:val="en-US"/>
        </w:rPr>
        <w:t>in</w:t>
      </w:r>
      <w:r w:rsidR="008120DE" w:rsidRPr="0084570B">
        <w:rPr>
          <w:rFonts w:ascii="Times New Roman" w:eastAsia="Times New Roman" w:hAnsi="Times New Roman" w:cs="Times New Roman"/>
          <w:color w:val="222222"/>
          <w:sz w:val="22"/>
          <w:szCs w:val="22"/>
          <w:lang w:val="en-US"/>
        </w:rPr>
        <w:t xml:space="preserve"> the present day. </w:t>
      </w:r>
    </w:p>
    <w:p w14:paraId="28D6FB0C" w14:textId="77777777" w:rsidR="00FA2ECF" w:rsidRPr="0084570B" w:rsidRDefault="00FA2ECF" w:rsidP="00FA2ECF">
      <w:pPr>
        <w:pStyle w:val="Normal1"/>
        <w:spacing w:line="276" w:lineRule="auto"/>
        <w:jc w:val="both"/>
        <w:rPr>
          <w:rFonts w:ascii="Times New Roman" w:eastAsia="Times New Roman" w:hAnsi="Times New Roman" w:cs="Times New Roman"/>
          <w:color w:val="222222"/>
          <w:sz w:val="22"/>
          <w:szCs w:val="22"/>
          <w:lang w:val="en-US"/>
        </w:rPr>
      </w:pPr>
    </w:p>
    <w:p w14:paraId="27058FA5" w14:textId="77777777" w:rsidR="00FA2ECF" w:rsidRPr="0084570B" w:rsidRDefault="00FA2ECF">
      <w:pPr>
        <w:rPr>
          <w:rFonts w:ascii="Times New Roman" w:eastAsia="Times New Roman" w:hAnsi="Times New Roman" w:cs="Times New Roman"/>
          <w:color w:val="222222"/>
          <w:sz w:val="22"/>
          <w:szCs w:val="22"/>
          <w:lang w:val="en-US"/>
        </w:rPr>
      </w:pPr>
      <w:r w:rsidRPr="0084570B">
        <w:rPr>
          <w:rFonts w:ascii="Times New Roman" w:eastAsia="Times New Roman" w:hAnsi="Times New Roman" w:cs="Times New Roman"/>
          <w:color w:val="222222"/>
          <w:sz w:val="22"/>
          <w:szCs w:val="22"/>
          <w:lang w:val="en-US"/>
        </w:rPr>
        <w:br w:type="page"/>
      </w:r>
    </w:p>
    <w:p w14:paraId="414B9DDC" w14:textId="5A69C709" w:rsidR="008120DE" w:rsidRPr="0084570B" w:rsidRDefault="008120DE" w:rsidP="00FA2ECF">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lastRenderedPageBreak/>
        <w:t>Here, we consider a modified sigmoid function to model the growth of the continental crust:</w:t>
      </w:r>
    </w:p>
    <w:p w14:paraId="0CF3D61E" w14:textId="74EA33C7"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m:oMath>
        <m:r>
          <w:rPr>
            <w:rFonts w:ascii="Cambria Math" w:eastAsia="Cambria Math" w:hAnsi="Cambria Math" w:cs="Times New Roman"/>
            <w:sz w:val="22"/>
            <w:szCs w:val="22"/>
            <w:lang w:val="en-US"/>
          </w:rPr>
          <m:t>C</m:t>
        </m:r>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m:t>
            </m:r>
          </m:e>
        </m:d>
        <m:r>
          <w:rPr>
            <w:rFonts w:ascii="Cambria Math" w:eastAsia="Cambria Math" w:hAnsi="Cambria Math" w:cs="Times New Roman"/>
            <w:sz w:val="22"/>
            <w:szCs w:val="22"/>
            <w:lang w:val="en-US"/>
          </w:rPr>
          <m:t>=</m:t>
        </m:r>
        <m:sSup>
          <m:sSupPr>
            <m:ctrlPr>
              <w:rPr>
                <w:rFonts w:ascii="Cambria Math" w:eastAsia="Cambria Math" w:hAnsi="Cambria Math" w:cs="Times New Roman"/>
                <w:sz w:val="22"/>
                <w:szCs w:val="22"/>
                <w:lang w:val="en-US"/>
              </w:rPr>
            </m:ctrlPr>
          </m:sSupPr>
          <m:e>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1+</m:t>
                </m:r>
                <m:sSup>
                  <m:sSupPr>
                    <m:ctrlPr>
                      <w:rPr>
                        <w:rFonts w:ascii="Cambria Math" w:eastAsia="Cambria Math" w:hAnsi="Cambria Math" w:cs="Times New Roman"/>
                        <w:sz w:val="22"/>
                        <w:szCs w:val="22"/>
                        <w:lang w:val="en-US"/>
                      </w:rPr>
                    </m:ctrlPr>
                  </m:sSupPr>
                  <m:e>
                    <m:r>
                      <w:rPr>
                        <w:rFonts w:ascii="Cambria Math" w:eastAsia="Cambria Math" w:hAnsi="Cambria Math" w:cs="Cambria Math"/>
                        <w:sz w:val="22"/>
                        <w:szCs w:val="22"/>
                        <w:lang w:val="en-US"/>
                      </w:rPr>
                      <m:t>e</m:t>
                    </m:r>
                  </m:e>
                  <m:sup>
                    <m:f>
                      <m:fPr>
                        <m:ctrlPr>
                          <w:rPr>
                            <w:rFonts w:ascii="Cambria Math" w:eastAsia="Cambria Math" w:hAnsi="Cambria Math" w:cs="Times New Roman"/>
                            <w:sz w:val="22"/>
                            <w:szCs w:val="22"/>
                            <w:lang w:val="en-US"/>
                          </w:rPr>
                        </m:ctrlPr>
                      </m:fPr>
                      <m:num>
                        <m:r>
                          <w:rPr>
                            <w:rFonts w:ascii="Cambria Math" w:eastAsia="Cambria Math" w:hAnsi="Cambria Math" w:cs="Times New Roman"/>
                            <w:sz w:val="22"/>
                            <w:szCs w:val="22"/>
                            <w:lang w:val="en-US"/>
                          </w:rPr>
                          <m:t>-s</m:t>
                        </m:r>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t-r</m:t>
                            </m:r>
                          </m:e>
                        </m:d>
                      </m:num>
                      <m:den>
                        <m:sSup>
                          <m:sSupPr>
                            <m:ctrlPr>
                              <w:rPr>
                                <w:rFonts w:ascii="Cambria Math" w:eastAsia="Cambria Math" w:hAnsi="Cambria Math" w:cs="Times New Roman"/>
                                <w:sz w:val="22"/>
                                <w:szCs w:val="22"/>
                                <w:lang w:val="en-US"/>
                              </w:rPr>
                            </m:ctrlPr>
                          </m:sSupPr>
                          <m:e>
                            <m:r>
                              <w:rPr>
                                <w:rFonts w:ascii="Cambria Math" w:eastAsia="Cambria Math" w:hAnsi="Cambria Math" w:cs="Times New Roman"/>
                                <w:sz w:val="22"/>
                                <w:szCs w:val="22"/>
                                <w:lang w:val="en-US"/>
                              </w:rPr>
                              <m:t>t</m:t>
                            </m:r>
                          </m:e>
                          <m:sup>
                            <m:r>
                              <w:rPr>
                                <w:rFonts w:ascii="Cambria Math" w:eastAsia="Cambria Math" w:hAnsi="Cambria Math" w:cs="Times New Roman"/>
                                <w:sz w:val="22"/>
                                <w:szCs w:val="22"/>
                                <w:lang w:val="en-US"/>
                              </w:rPr>
                              <m:t>k</m:t>
                            </m:r>
                          </m:sup>
                        </m:sSup>
                      </m:den>
                    </m:f>
                  </m:sup>
                </m:sSup>
              </m:e>
            </m:d>
          </m:e>
          <m:sup>
            <m:r>
              <w:rPr>
                <w:rFonts w:ascii="Cambria Math" w:eastAsia="Cambria Math" w:hAnsi="Cambria Math" w:cs="Times New Roman"/>
                <w:sz w:val="22"/>
                <w:szCs w:val="22"/>
                <w:lang w:val="en-US"/>
              </w:rPr>
              <m:t>-1</m:t>
            </m:r>
          </m:sup>
        </m:sSup>
      </m:oMath>
      <w:r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964453" w:rsidRPr="0084570B">
        <w:rPr>
          <w:rFonts w:ascii="Times New Roman" w:eastAsia="Times New Roman" w:hAnsi="Times New Roman" w:cs="Times New Roman"/>
          <w:sz w:val="22"/>
          <w:szCs w:val="22"/>
          <w:lang w:val="en-US"/>
        </w:rPr>
        <w:tab/>
        <w:t xml:space="preserve">         (EQ. </w:t>
      </w:r>
      <w:r w:rsidR="00D47278">
        <w:rPr>
          <w:rFonts w:ascii="Times New Roman" w:eastAsia="Times New Roman" w:hAnsi="Times New Roman" w:cs="Times New Roman"/>
          <w:sz w:val="22"/>
          <w:szCs w:val="22"/>
          <w:lang w:val="en-US"/>
        </w:rPr>
        <w:t>S7</w:t>
      </w:r>
      <w:r w:rsidRPr="0084570B">
        <w:rPr>
          <w:rFonts w:ascii="Times New Roman" w:eastAsia="Times New Roman" w:hAnsi="Times New Roman" w:cs="Times New Roman"/>
          <w:sz w:val="22"/>
          <w:szCs w:val="22"/>
          <w:lang w:val="en-US"/>
        </w:rPr>
        <w:t>)</w:t>
      </w:r>
    </w:p>
    <w:p w14:paraId="016A0489" w14:textId="63AEB0A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the parameters </w:t>
      </w:r>
      <w:r w:rsidRPr="0084570B">
        <w:rPr>
          <w:rFonts w:ascii="Times New Roman" w:eastAsia="Times New Roman" w:hAnsi="Times New Roman" w:cs="Times New Roman"/>
          <w:i/>
          <w:sz w:val="22"/>
          <w:szCs w:val="22"/>
          <w:lang w:val="en-US"/>
        </w:rPr>
        <w:t>m</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i/>
          <w:sz w:val="22"/>
          <w:szCs w:val="22"/>
          <w:lang w:val="en-US"/>
        </w:rPr>
        <w:t>s</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i/>
          <w:sz w:val="22"/>
          <w:szCs w:val="22"/>
          <w:lang w:val="en-US"/>
        </w:rPr>
        <w:t>r</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k</w:t>
      </w:r>
      <w:r w:rsidRPr="0084570B">
        <w:rPr>
          <w:rFonts w:ascii="Times New Roman" w:eastAsia="Times New Roman" w:hAnsi="Times New Roman" w:cs="Times New Roman"/>
          <w:sz w:val="22"/>
          <w:szCs w:val="22"/>
          <w:lang w:val="en-US"/>
        </w:rPr>
        <w:t xml:space="preserve"> are parameters </w:t>
      </w:r>
      <w:r w:rsidR="006C5866" w:rsidRPr="0084570B">
        <w:rPr>
          <w:rFonts w:ascii="Times New Roman" w:eastAsia="Times New Roman" w:hAnsi="Times New Roman" w:cs="Times New Roman"/>
          <w:sz w:val="22"/>
          <w:szCs w:val="22"/>
          <w:lang w:val="en-US"/>
        </w:rPr>
        <w:t>that</w:t>
      </w:r>
      <w:r w:rsidRPr="0084570B">
        <w:rPr>
          <w:rFonts w:ascii="Times New Roman" w:eastAsia="Times New Roman" w:hAnsi="Times New Roman" w:cs="Times New Roman"/>
          <w:sz w:val="22"/>
          <w:szCs w:val="22"/>
          <w:lang w:val="en-US"/>
        </w:rPr>
        <w:t xml:space="preserve"> roughly control the sharpness, inflection point, and skew of the sigmoid function respectively. We generate a crustal growth curve from the same time array as for the degassing curve and normalize it so that our resultant </w:t>
      </w:r>
      <w:r w:rsidRPr="0084570B">
        <w:rPr>
          <w:rFonts w:ascii="Times New Roman" w:eastAsia="Times New Roman" w:hAnsi="Times New Roman" w:cs="Times New Roman"/>
          <w:i/>
          <w:sz w:val="22"/>
          <w:szCs w:val="22"/>
          <w:lang w:val="en-US"/>
        </w:rPr>
        <w:t>C(t)</w:t>
      </w:r>
      <w:r w:rsidRPr="0084570B">
        <w:rPr>
          <w:rFonts w:ascii="Times New Roman" w:eastAsia="Times New Roman" w:hAnsi="Times New Roman" w:cs="Times New Roman"/>
          <w:sz w:val="22"/>
          <w:szCs w:val="22"/>
          <w:lang w:val="en-US"/>
        </w:rPr>
        <w:t xml:space="preserve">, representing the fraction of continental crust generated through time, reaches 1 (or 100%) at </w:t>
      </w:r>
      <w:r w:rsidR="006C5866" w:rsidRPr="0084570B">
        <w:rPr>
          <w:rFonts w:ascii="Times New Roman" w:eastAsia="Times New Roman" w:hAnsi="Times New Roman" w:cs="Times New Roman"/>
          <w:sz w:val="22"/>
          <w:szCs w:val="22"/>
          <w:lang w:val="en-US"/>
        </w:rPr>
        <w:t>the</w:t>
      </w:r>
      <w:r w:rsidRPr="0084570B">
        <w:rPr>
          <w:rFonts w:ascii="Times New Roman" w:eastAsia="Times New Roman" w:hAnsi="Times New Roman" w:cs="Times New Roman"/>
          <w:sz w:val="22"/>
          <w:szCs w:val="22"/>
          <w:lang w:val="en-US"/>
        </w:rPr>
        <w:t xml:space="preserve"> present day. Our default crustal growth profile (blue curve (A) on </w:t>
      </w: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2</w:t>
      </w:r>
      <w:r w:rsidRPr="0084570B">
        <w:rPr>
          <w:rFonts w:ascii="Times New Roman" w:eastAsia="Times New Roman" w:hAnsi="Times New Roman" w:cs="Times New Roman"/>
          <w:sz w:val="22"/>
          <w:szCs w:val="22"/>
          <w:lang w:val="en-US"/>
        </w:rPr>
        <w:t>) corresponds to that from Pujol et al. (2013)</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{"citationItems":[{"id":"ITEM-1","itemData":{"DOI":"10.1038/nature12152","ISSN":"00280836","abstract":"Understanding the growth rate of the continental crust through time is a fundamental issue in Earth sciences. The isotopic signatures of noble gases in the silicate Earth (mantle, crust) and in the atmosphere afford exceptional insight into the evolution through time of these geochemical reservoirs. However, no data for the compositions of these reservoirs exists for the distant past, and temporal exchange rates between Earth's interior and its surface are severely under-constrained owing to a lack of samples preserving the original signature of the atmosphere at the time of their formation. Here, we report the analysis of argon in Archaean (3.5-billion-year-old) hydrothermal quartz. Noble gases are hosted in primary fluid inclusions containing a mixture of Archaean freshwater and hydrothermal fluid. Our analysis reveals Archaean atmospheric argon with a 40 Ar/36 Ar value of 143 ± 24, lower than the present-day value of 298.6 (for which 40 Ar has been produced by the radioactive decay of the potassium isotope 40 K, with a half-life of 1.25 billion years; 36 Ar is primordial in origin). This ratio is consistent with an early development of the felsic crust, which might have had an important role in climate variability during the first half of Earth's history. © 2013 Macmillan Publishers Limited. All rights reserved.","author":[{"dropping-particle":"","family":"Pujol","given":"Magali","non-dropping-particle":"","parse-names":false,"suffix":""},{"dropping-particle":"","family":"Marty","given":"Bernard","non-dropping-particle":"","parse-names":false,"suffix":""},{"dropping-particle":"","family":"Burgess","given":"Ray","non-dropping-particle":"","parse-names":false,"suffix":""},{"dropping-particle":"","family":"Turner","given":"Grenville","non-dropping-particle":"","parse-names":false,"suffix":""},{"dropping-particle":"","family":"Philippot","given":"Pascal","non-dropping-particle":"","parse-names":false,"suffix":""}],"container-title":"Nature","id":"ITEM-1","issue":"7452","issued":{"date-parts":[["2013"]]},"page":"87-90","publisher":"Nature Publishing Group","title":"Argon isotopic composition of Archaean atmosphere probes early Earth geodynamics","type":"article-journal","volume":"498"},"uris":["http://www.mendeley.com/documents/?uuid=47bb0c5d-7e95-4c47-936f-b029eb1eed77"]}],"mendeley":{"formattedCitation":"&lt;sup&gt;123&lt;/sup&gt;","plainTextFormattedCitation":"123","previouslyFormattedCitation":"&lt;sup&gt;123&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123</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which was used in previous Xe modeling work</w:t>
      </w:r>
      <w:r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Curve B represents a scenario of early crustal growth, as proposed by </w:t>
      </w:r>
      <w:r w:rsidRPr="0084570B">
        <w:rPr>
          <w:rFonts w:ascii="Times New Roman" w:eastAsia="Times New Roman" w:hAnsi="Times New Roman" w:cs="Times New Roman"/>
          <w:color w:val="222222"/>
          <w:sz w:val="22"/>
          <w:szCs w:val="22"/>
          <w:lang w:val="en-US"/>
        </w:rPr>
        <w:t>Korenaga (2021)</w:t>
      </w:r>
      <w:r w:rsidRPr="0084570B">
        <w:rPr>
          <w:rFonts w:ascii="Times New Roman" w:eastAsia="Times New Roman" w:hAnsi="Times New Roman" w:cs="Times New Roman"/>
          <w:color w:val="222222"/>
          <w:sz w:val="22"/>
          <w:szCs w:val="22"/>
          <w:lang w:val="en-US"/>
        </w:rPr>
        <w:fldChar w:fldCharType="begin" w:fldLock="1"/>
      </w:r>
      <w:r w:rsidR="003376B3">
        <w:rPr>
          <w:rFonts w:ascii="Times New Roman" w:eastAsia="Times New Roman" w:hAnsi="Times New Roman" w:cs="Times New Roman"/>
          <w:color w:val="222222"/>
          <w:sz w:val="22"/>
          <w:szCs w:val="22"/>
          <w:lang w:val="en-US"/>
        </w:rPr>
        <w:instrText>ADDIN CSL_CITATION {"citationItems":[{"id":"ITEM-1","itemData":{"DOI":"10.1016/j.precamres.2021.106178","ISSN":"03019268","abstract":"Reconstructing Earth history during the Hadean defies the traditional rock-based approach in geology. Given the extremely limited locality of Hadean zircons, some indirect approach needs to be employed to gain a global perspective on the Hadean Earth. In this review, two promising approaches are considered jointly. One is to better constrain the evolution of continental crust, which helps to define the global tectonic environment because generating a massive amount of felsic continental crust is difficult without plate tectonics. The other is to better understand the solidification of a putative magma ocean and its consequences, as the end of magma ocean solidification marks the beginning of subsolidus mantle convection. On the basis of recent developments in these two subjects, along with geodynamical consideration, a new perspective for early Earth evolution is presented, which starts with rapid plate tectonics made possible by a chemically heterogeneous mantle and gradually shifts to a more modern-style plate tectonics with a homogeneous mantle. The theoretical and observational stance of this new hypothesis is discussed in conjunction with a critical review of existing proposals for early Earth dynamics, such as stagnant lid convection, sagduction, episodic and intermittent subduction, and heat pipe. One unique feature of the new hypothesis is its potential to explain the evolution of nearly all components in the Earth system, including the atmosphere, the oceans, the crust, the mantle, and the core, in a geodynamically sensible manner.","author":[{"dropping-particle":"","family":"Korenaga","given":"Jun","non-dropping-particle":"","parse-names":false,"suffix":""}],"container-title":"Precambrian Research","id":"ITEM-1","issue":"March","issued":{"date-parts":[["2021"]]},"page":"106178","publisher":"Elsevier B.V.","title":"Hadean geodynamics and the nature of early continental crust","type":"article-journal","volume":"359"},"uris":["http://www.mendeley.com/documents/?uuid=7d22bb2a-6ff1-4d65-83be-22a2c48805e7"]}],"mendeley":{"formattedCitation":"&lt;sup&gt;122&lt;/sup&gt;","plainTextFormattedCitation":"122","previouslyFormattedCitation":"&lt;sup&gt;122&lt;/sup&gt;"},"properties":{"noteIndex":0},"schema":"https://github.com/citation-style-language/schema/raw/master/csl-citation.json"}</w:instrText>
      </w:r>
      <w:r w:rsidRPr="0084570B">
        <w:rPr>
          <w:rFonts w:ascii="Times New Roman" w:eastAsia="Times New Roman" w:hAnsi="Times New Roman" w:cs="Times New Roman"/>
          <w:color w:val="222222"/>
          <w:sz w:val="22"/>
          <w:szCs w:val="22"/>
          <w:lang w:val="en-US"/>
        </w:rPr>
        <w:fldChar w:fldCharType="separate"/>
      </w:r>
      <w:r w:rsidR="00253A47" w:rsidRPr="00253A47">
        <w:rPr>
          <w:rFonts w:ascii="Times New Roman" w:eastAsia="Times New Roman" w:hAnsi="Times New Roman" w:cs="Times New Roman"/>
          <w:noProof/>
          <w:color w:val="222222"/>
          <w:sz w:val="22"/>
          <w:szCs w:val="22"/>
          <w:vertAlign w:val="superscript"/>
          <w:lang w:val="en-US"/>
        </w:rPr>
        <w:t>122</w:t>
      </w:r>
      <w:r w:rsidRPr="0084570B">
        <w:rPr>
          <w:rFonts w:ascii="Times New Roman" w:eastAsia="Times New Roman" w:hAnsi="Times New Roman" w:cs="Times New Roman"/>
          <w:color w:val="222222"/>
          <w:sz w:val="22"/>
          <w:szCs w:val="22"/>
          <w:lang w:val="en-US"/>
        </w:rPr>
        <w:fldChar w:fldCharType="end"/>
      </w:r>
      <w:r w:rsidRPr="0084570B">
        <w:rPr>
          <w:rFonts w:ascii="Times New Roman" w:eastAsia="Times New Roman" w:hAnsi="Times New Roman" w:cs="Times New Roman"/>
          <w:color w:val="222222"/>
          <w:sz w:val="22"/>
          <w:szCs w:val="22"/>
          <w:lang w:val="en-US"/>
        </w:rPr>
        <w:t>.</w:t>
      </w:r>
    </w:p>
    <w:p w14:paraId="5B3CA1C2"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40166CD7" w14:textId="77777777" w:rsidR="008120DE" w:rsidRPr="0084570B" w:rsidRDefault="008120DE" w:rsidP="008120DE">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drawing>
          <wp:inline distT="0" distB="0" distL="0" distR="0" wp14:anchorId="02F41662" wp14:editId="690B6831">
            <wp:extent cx="3691784" cy="2404691"/>
            <wp:effectExtent l="0" t="0" r="0" b="8890"/>
            <wp:docPr id="39"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93025" cy="2405499"/>
                    </a:xfrm>
                    <a:prstGeom prst="rect">
                      <a:avLst/>
                    </a:prstGeom>
                    <a:noFill/>
                    <a:ln>
                      <a:noFill/>
                    </a:ln>
                  </pic:spPr>
                </pic:pic>
              </a:graphicData>
            </a:graphic>
          </wp:inline>
        </w:drawing>
      </w:r>
    </w:p>
    <w:p w14:paraId="375A3F7C" w14:textId="07C2A7FD" w:rsidR="008120DE" w:rsidRPr="0084570B" w:rsidRDefault="005C6798" w:rsidP="008120D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S12</w:t>
      </w:r>
      <w:r w:rsidR="008120DE" w:rsidRPr="0084570B">
        <w:rPr>
          <w:rFonts w:ascii="Times New Roman" w:eastAsia="Times New Roman" w:hAnsi="Times New Roman" w:cs="Times New Roman"/>
          <w:b/>
          <w:sz w:val="22"/>
          <w:szCs w:val="22"/>
          <w:lang w:val="en-US"/>
        </w:rPr>
        <w:t>.</w:t>
      </w:r>
      <w:r w:rsidR="008120DE" w:rsidRPr="0084570B">
        <w:rPr>
          <w:rFonts w:ascii="Times New Roman" w:eastAsia="Times New Roman" w:hAnsi="Times New Roman" w:cs="Times New Roman"/>
          <w:sz w:val="22"/>
          <w:szCs w:val="22"/>
          <w:lang w:val="en-US"/>
        </w:rPr>
        <w:t xml:space="preserve"> Selected crustal growth profiles generated using various values for </w:t>
      </w:r>
      <w:r w:rsidR="008120DE" w:rsidRPr="0084570B">
        <w:rPr>
          <w:rFonts w:ascii="Times New Roman" w:eastAsia="Times New Roman" w:hAnsi="Times New Roman" w:cs="Times New Roman"/>
          <w:i/>
          <w:sz w:val="22"/>
          <w:szCs w:val="22"/>
          <w:lang w:val="en-US"/>
        </w:rPr>
        <w:t>s</w:t>
      </w:r>
      <w:r w:rsidR="008120DE" w:rsidRPr="0084570B">
        <w:rPr>
          <w:rFonts w:ascii="Times New Roman" w:eastAsia="Times New Roman" w:hAnsi="Times New Roman" w:cs="Times New Roman"/>
          <w:sz w:val="22"/>
          <w:szCs w:val="22"/>
          <w:lang w:val="en-US"/>
        </w:rPr>
        <w:t xml:space="preserve">, </w:t>
      </w:r>
      <w:r w:rsidR="008120DE" w:rsidRPr="0084570B">
        <w:rPr>
          <w:rFonts w:ascii="Times New Roman" w:eastAsia="Times New Roman" w:hAnsi="Times New Roman" w:cs="Times New Roman"/>
          <w:i/>
          <w:sz w:val="22"/>
          <w:szCs w:val="22"/>
          <w:lang w:val="en-US"/>
        </w:rPr>
        <w:t>r</w:t>
      </w:r>
      <w:r w:rsidR="008120DE" w:rsidRPr="0084570B">
        <w:rPr>
          <w:rFonts w:ascii="Times New Roman" w:eastAsia="Times New Roman" w:hAnsi="Times New Roman" w:cs="Times New Roman"/>
          <w:sz w:val="22"/>
          <w:szCs w:val="22"/>
          <w:lang w:val="en-US"/>
        </w:rPr>
        <w:t xml:space="preserve"> and </w:t>
      </w:r>
      <w:r w:rsidR="008120DE" w:rsidRPr="0084570B">
        <w:rPr>
          <w:rFonts w:ascii="Times New Roman" w:eastAsia="Times New Roman" w:hAnsi="Times New Roman" w:cs="Times New Roman"/>
          <w:i/>
          <w:sz w:val="22"/>
          <w:szCs w:val="22"/>
          <w:lang w:val="en-US"/>
        </w:rPr>
        <w:t>k</w:t>
      </w:r>
      <w:r w:rsidR="008120DE" w:rsidRPr="0084570B">
        <w:rPr>
          <w:rFonts w:ascii="Times New Roman" w:eastAsia="Times New Roman" w:hAnsi="Times New Roman" w:cs="Times New Roman"/>
          <w:sz w:val="22"/>
          <w:szCs w:val="22"/>
          <w:lang w:val="en-US"/>
        </w:rPr>
        <w:t xml:space="preserve"> parameters</w:t>
      </w:r>
      <w:r w:rsidR="00964453" w:rsidRPr="0084570B">
        <w:rPr>
          <w:rFonts w:ascii="Times New Roman" w:eastAsia="Times New Roman" w:hAnsi="Times New Roman" w:cs="Times New Roman"/>
          <w:sz w:val="22"/>
          <w:szCs w:val="22"/>
          <w:lang w:val="en-US"/>
        </w:rPr>
        <w:t xml:space="preserve"> in </w:t>
      </w:r>
      <w:r w:rsidR="00964453" w:rsidRPr="0084570B">
        <w:rPr>
          <w:rFonts w:ascii="Times New Roman" w:eastAsia="Times New Roman" w:hAnsi="Times New Roman" w:cs="Times New Roman"/>
          <w:b/>
          <w:sz w:val="22"/>
          <w:szCs w:val="22"/>
          <w:lang w:val="en-US"/>
        </w:rPr>
        <w:t>EQ. 9</w:t>
      </w:r>
      <w:r w:rsidR="008120DE" w:rsidRPr="0084570B">
        <w:rPr>
          <w:rFonts w:ascii="Times New Roman" w:eastAsia="Times New Roman" w:hAnsi="Times New Roman" w:cs="Times New Roman"/>
          <w:sz w:val="22"/>
          <w:szCs w:val="22"/>
          <w:lang w:val="en-US"/>
        </w:rPr>
        <w:t xml:space="preserve">. </w:t>
      </w:r>
      <w:r w:rsidR="008120DE" w:rsidRPr="0084570B">
        <w:rPr>
          <w:rFonts w:ascii="Times New Roman" w:eastAsia="Times New Roman" w:hAnsi="Times New Roman" w:cs="Times New Roman"/>
          <w:b/>
          <w:sz w:val="22"/>
          <w:szCs w:val="22"/>
          <w:lang w:val="en-US"/>
        </w:rPr>
        <w:t>A</w:t>
      </w:r>
      <w:r w:rsidR="008120DE" w:rsidRPr="0084570B">
        <w:rPr>
          <w:rFonts w:ascii="Times New Roman" w:eastAsia="Times New Roman" w:hAnsi="Times New Roman" w:cs="Times New Roman"/>
          <w:sz w:val="22"/>
          <w:szCs w:val="22"/>
          <w:lang w:val="en-US"/>
        </w:rPr>
        <w:t>: "late" crustal growth during the Archean eon</w:t>
      </w:r>
      <w:r w:rsidR="008120DE"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{"citationItems":[{"id":"ITEM-1","itemData":{"DOI":"10.1038/nature12152","ISSN":"00280836","abstract":"Understanding the growth rate of the continental crust through time is a fundamental issue in Earth sciences. The isotopic signatures of noble gases in the silicate Earth (mantle, crust) and in the atmosphere afford exceptional insight into the evolution through time of these geochemical reservoirs. However, no data for the compositions of these reservoirs exists for the distant past, and temporal exchange rates between Earth's interior and its surface are severely under-constrained owing to a lack of samples preserving the original signature of the atmosphere at the time of their formation. Here, we report the analysis of argon in Archaean (3.5-billion-year-old) hydrothermal quartz. Noble gases are hosted in primary fluid inclusions containing a mixture of Archaean freshwater and hydrothermal fluid. Our analysis reveals Archaean atmospheric argon with a 40 Ar/36 Ar value of 143 ± 24, lower than the present-day value of 298.6 (for which 40 Ar has been produced by the radioactive decay of the potassium isotope 40 K, with a half-life of 1.25 billion years; 36 Ar is primordial in origin). This ratio is consistent with an early development of the felsic crust, which might have had an important role in climate variability during the first half of Earth's history. © 2013 Macmillan Publishers Limited. All rights reserved.","author":[{"dropping-particle":"","family":"Pujol","given":"Magali","non-dropping-particle":"","parse-names":false,"suffix":""},{"dropping-particle":"","family":"Marty","given":"Bernard","non-dropping-particle":"","parse-names":false,"suffix":""},{"dropping-particle":"","family":"Burgess","given":"Ray","non-dropping-particle":"","parse-names":false,"suffix":""},{"dropping-particle":"","family":"Turner","given":"Grenville","non-dropping-particle":"","parse-names":false,"suffix":""},{"dropping-particle":"","family":"Philippot","given":"Pascal","non-dropping-particle":"","parse-names":false,"suffix":""}],"container-title":"Nature","id":"ITEM-1","issue":"7452","issued":{"date-parts":[["2013"]]},"page":"87-90","publisher":"Nature Publishing Group","title":"Argon isotopic composition of Archaean atmosphere probes early Earth geodynamics","type":"article-journal","volume":"498"},"uris":["http://www.mendeley.com/documents/?uuid=47bb0c5d-7e95-4c47-936f-b029eb1eed77"]}],"mendeley":{"formattedCitation":"&lt;sup&gt;123&lt;/sup&gt;","plainTextFormattedCitation":"123","previouslyFormattedCitation":"&lt;sup&gt;123&lt;/sup&gt;"},"properties":{"noteIndex":0},"schema":"https://github.com/citation-style-language/schema/raw/master/csl-citation.json"}</w:instrText>
      </w:r>
      <w:r w:rsidR="008120DE"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123</w:t>
      </w:r>
      <w:r w:rsidR="008120DE" w:rsidRPr="0084570B">
        <w:rPr>
          <w:rFonts w:ascii="Times New Roman" w:eastAsia="Times New Roman" w:hAnsi="Times New Roman" w:cs="Times New Roman"/>
          <w:sz w:val="22"/>
          <w:szCs w:val="22"/>
          <w:lang w:val="en-US"/>
        </w:rPr>
        <w:fldChar w:fldCharType="end"/>
      </w:r>
      <w:r w:rsidR="008120DE" w:rsidRPr="0084570B">
        <w:rPr>
          <w:rFonts w:ascii="Times New Roman" w:eastAsia="Times New Roman" w:hAnsi="Times New Roman" w:cs="Times New Roman"/>
          <w:sz w:val="22"/>
          <w:szCs w:val="22"/>
          <w:lang w:val="en-US"/>
        </w:rPr>
        <w:t>,</w:t>
      </w:r>
      <w:r w:rsidR="008120DE"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008120DE"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11</w:t>
      </w:r>
      <w:r w:rsidR="008120DE" w:rsidRPr="0084570B">
        <w:rPr>
          <w:rFonts w:ascii="Times New Roman" w:eastAsia="Times New Roman" w:hAnsi="Times New Roman" w:cs="Times New Roman"/>
          <w:sz w:val="22"/>
          <w:szCs w:val="22"/>
          <w:lang w:val="en-US"/>
        </w:rPr>
        <w:fldChar w:fldCharType="end"/>
      </w:r>
      <w:r w:rsidR="008120DE" w:rsidRPr="0084570B">
        <w:rPr>
          <w:rFonts w:ascii="Times New Roman" w:eastAsia="Times New Roman" w:hAnsi="Times New Roman" w:cs="Times New Roman"/>
          <w:sz w:val="22"/>
          <w:szCs w:val="22"/>
          <w:lang w:val="en-US"/>
        </w:rPr>
        <w:t xml:space="preserve">. </w:t>
      </w:r>
      <w:r w:rsidR="008120DE" w:rsidRPr="0084570B">
        <w:rPr>
          <w:rFonts w:ascii="Times New Roman" w:eastAsia="Times New Roman" w:hAnsi="Times New Roman" w:cs="Times New Roman"/>
          <w:b/>
          <w:sz w:val="22"/>
          <w:szCs w:val="22"/>
          <w:lang w:val="en-US"/>
        </w:rPr>
        <w:t>B</w:t>
      </w:r>
      <w:r w:rsidR="008120DE" w:rsidRPr="0084570B">
        <w:rPr>
          <w:rFonts w:ascii="Times New Roman" w:eastAsia="Times New Roman" w:hAnsi="Times New Roman" w:cs="Times New Roman"/>
          <w:sz w:val="22"/>
          <w:szCs w:val="22"/>
          <w:lang w:val="en-US"/>
        </w:rPr>
        <w:t>: "early" crustal growth during the Hadean eon</w:t>
      </w:r>
      <w:r w:rsidR="008120DE"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{"citationItems":[{"id":"ITEM-1","itemData":{"DOI":"10.1016/j.precamres.2021.106178","ISSN":"03019268","abstract":"Reconstructing Earth history during the Hadean defies the traditional rock-based approach in geology. Given the extremely limited locality of Hadean zircons, some indirect approach needs to be employed to gain a global perspective on the Hadean Earth. In this review, two promising approaches are considered jointly. One is to better constrain the evolution of continental crust, which helps to define the global tectonic environment because generating a massive amount of felsic continental crust is difficult without plate tectonics. The other is to better understand the solidification of a putative magma ocean and its consequences, as the end of magma ocean solidification marks the beginning of subsolidus mantle convection. On the basis of recent developments in these two subjects, along with geodynamical consideration, a new perspective for early Earth evolution is presented, which starts with rapid plate tectonics made possible by a chemically heterogeneous mantle and gradually shifts to a more modern-style plate tectonics with a homogeneous mantle. The theoretical and observational stance of this new hypothesis is discussed in conjunction with a critical review of existing proposals for early Earth dynamics, such as stagnant lid convection, sagduction, episodic and intermittent subduction, and heat pipe. One unique feature of the new hypothesis is its potential to explain the evolution of nearly all components in the Earth system, including the atmosphere, the oceans, the crust, the mantle, and the core, in a geodynamically sensible manner.","author":[{"dropping-particle":"","family":"Korenaga","given":"Jun","non-dropping-particle":"","parse-names":false,"suffix":""}],"container-title":"Precambrian Research","id":"ITEM-1","issue":"March","issued":{"date-parts":[["2021"]]},"page":"106178","publisher":"Elsevier B.V.","title":"Hadean geodynamics and the nature of early continental crust","type":"article-journal","volume":"359"},"uris":["http://www.mendeley.com/documents/?uuid=7d22bb2a-6ff1-4d65-83be-22a2c48805e7"]}],"mendeley":{"formattedCitation":"&lt;sup&gt;122&lt;/sup&gt;","plainTextFormattedCitation":"122","previouslyFormattedCitation":"&lt;sup&gt;122&lt;/sup&gt;"},"properties":{"noteIndex":0},"schema":"https://github.com/citation-style-language/schema/raw/master/csl-citation.json"}</w:instrText>
      </w:r>
      <w:r w:rsidR="008120DE"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122</w:t>
      </w:r>
      <w:r w:rsidR="008120DE" w:rsidRPr="0084570B">
        <w:rPr>
          <w:rFonts w:ascii="Times New Roman" w:eastAsia="Times New Roman" w:hAnsi="Times New Roman" w:cs="Times New Roman"/>
          <w:sz w:val="22"/>
          <w:szCs w:val="22"/>
          <w:lang w:val="en-US"/>
        </w:rPr>
        <w:fldChar w:fldCharType="end"/>
      </w:r>
      <w:r w:rsidR="008120DE" w:rsidRPr="0084570B">
        <w:rPr>
          <w:rFonts w:ascii="Times New Roman" w:eastAsia="Times New Roman" w:hAnsi="Times New Roman" w:cs="Times New Roman"/>
          <w:sz w:val="22"/>
          <w:szCs w:val="22"/>
          <w:lang w:val="en-US"/>
        </w:rPr>
        <w:t xml:space="preserve">. </w:t>
      </w:r>
    </w:p>
    <w:p w14:paraId="1C42478C" w14:textId="77777777" w:rsidR="008120DE" w:rsidRPr="0084570B" w:rsidRDefault="008120DE" w:rsidP="008120DE">
      <w:pPr>
        <w:pStyle w:val="Normal1"/>
        <w:spacing w:line="276" w:lineRule="auto"/>
        <w:jc w:val="both"/>
        <w:rPr>
          <w:rFonts w:ascii="Times New Roman" w:eastAsia="Times New Roman" w:hAnsi="Times New Roman" w:cs="Times New Roman"/>
          <w:color w:val="222222"/>
          <w:sz w:val="22"/>
          <w:szCs w:val="22"/>
          <w:lang w:val="en-US"/>
        </w:rPr>
      </w:pPr>
    </w:p>
    <w:p w14:paraId="35BF94FC" w14:textId="77777777" w:rsidR="008120DE" w:rsidRPr="0084570B" w:rsidRDefault="008120DE" w:rsidP="008120DE">
      <w:pPr>
        <w:pStyle w:val="Normal1"/>
        <w:numPr>
          <w:ilvl w:val="0"/>
          <w:numId w:val="2"/>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Uranium and plutonium evolution</w:t>
      </w:r>
    </w:p>
    <w:p w14:paraId="11C35A32" w14:textId="77777777" w:rsidR="008120DE" w:rsidRPr="0084570B" w:rsidRDefault="008120DE" w:rsidP="008120DE">
      <w:pPr>
        <w:pStyle w:val="Normal1"/>
        <w:spacing w:line="360" w:lineRule="auto"/>
        <w:ind w:firstLine="720"/>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The initial number of moles of </w:t>
      </w:r>
      <w:r w:rsidRPr="0084570B">
        <w:rPr>
          <w:rFonts w:ascii="Times New Roman" w:eastAsia="Times New Roman" w:hAnsi="Times New Roman" w:cs="Times New Roman"/>
          <w:sz w:val="22"/>
          <w:szCs w:val="22"/>
          <w:vertAlign w:val="superscript"/>
          <w:lang w:val="en-US"/>
        </w:rPr>
        <w:t>238</w:t>
      </w:r>
      <w:r w:rsidRPr="0084570B">
        <w:rPr>
          <w:rFonts w:ascii="Times New Roman" w:eastAsia="Times New Roman" w:hAnsi="Times New Roman" w:cs="Times New Roman"/>
          <w:sz w:val="22"/>
          <w:szCs w:val="22"/>
          <w:lang w:val="en-US"/>
        </w:rPr>
        <w:t xml:space="preserve">U in the BSE is straightforward to calculate from the modern </w:t>
      </w:r>
      <w:r w:rsidRPr="0084570B">
        <w:rPr>
          <w:rFonts w:ascii="Times New Roman" w:eastAsia="Times New Roman" w:hAnsi="Times New Roman" w:cs="Times New Roman"/>
          <w:sz w:val="22"/>
          <w:szCs w:val="22"/>
          <w:vertAlign w:val="superscript"/>
          <w:lang w:val="en-US"/>
        </w:rPr>
        <w:t>238</w:t>
      </w:r>
      <w:r w:rsidRPr="0084570B">
        <w:rPr>
          <w:rFonts w:ascii="Times New Roman" w:eastAsia="Times New Roman" w:hAnsi="Times New Roman" w:cs="Times New Roman"/>
          <w:sz w:val="22"/>
          <w:szCs w:val="22"/>
          <w:lang w:val="en-US"/>
        </w:rPr>
        <w:t>U inventory as:</w:t>
      </w:r>
    </w:p>
    <w:p w14:paraId="0E67F10E" w14:textId="62EBC060" w:rsidR="008120DE" w:rsidRPr="0084570B" w:rsidRDefault="008549F7" w:rsidP="008120DE">
      <w:pPr>
        <w:pStyle w:val="Normal1"/>
        <w:spacing w:line="360" w:lineRule="auto"/>
        <w:jc w:val="right"/>
        <w:rPr>
          <w:rFonts w:ascii="Times New Roman" w:eastAsia="Times New Roman" w:hAnsi="Times New Roman" w:cs="Times New Roman"/>
          <w:sz w:val="22"/>
          <w:szCs w:val="22"/>
          <w:lang w:val="en-US"/>
        </w:rPr>
      </w:pPr>
      <m:oMath>
        <m:sSub>
          <m:sSubPr>
            <m:ctrlPr>
              <w:rPr>
                <w:rFonts w:ascii="Cambria Math" w:eastAsia="Times New Roman" w:hAnsi="Cambria Math" w:cs="Times New Roman"/>
                <w:sz w:val="22"/>
                <w:szCs w:val="22"/>
                <w:lang w:val="en-US"/>
              </w:rPr>
            </m:ctrlPr>
          </m:sSubPr>
          <m:e>
            <m:r>
              <w:rPr>
                <w:rFonts w:ascii="Cambria Math" w:eastAsia="Times New Roman" w:hAnsi="Cambria Math" w:cs="Times New Roman"/>
                <w:sz w:val="22"/>
                <w:szCs w:val="22"/>
                <w:lang w:val="en-US"/>
              </w:rPr>
              <m:t>n</m:t>
            </m:r>
          </m:e>
          <m:sub>
            <m:sPre>
              <m:sPrePr>
                <m:ctrlPr>
                  <w:rPr>
                    <w:rFonts w:ascii="Cambria Math" w:eastAsia="Times New Roman" w:hAnsi="Cambria Math" w:cs="Times New Roman"/>
                    <w:i/>
                    <w:sz w:val="22"/>
                    <w:szCs w:val="22"/>
                    <w:lang w:val="en-US"/>
                  </w:rPr>
                </m:ctrlPr>
              </m:sPrePr>
              <m:sub>
                <m:r>
                  <w:rPr>
                    <w:rFonts w:ascii="Cambria Math" w:eastAsia="Times New Roman" w:hAnsi="Cambria Math" w:cs="Times New Roman"/>
                    <w:sz w:val="22"/>
                    <w:szCs w:val="22"/>
                    <w:lang w:val="en-US"/>
                  </w:rPr>
                  <m:t xml:space="preserve"> </m:t>
                </m:r>
              </m:sub>
              <m:sup>
                <m:r>
                  <w:rPr>
                    <w:rFonts w:ascii="Cambria Math" w:eastAsia="Times New Roman" w:hAnsi="Cambria Math" w:cs="Times New Roman"/>
                    <w:sz w:val="22"/>
                    <w:szCs w:val="22"/>
                    <w:lang w:val="en-US"/>
                  </w:rPr>
                  <m:t>238</m:t>
                </m:r>
              </m:sup>
              <m:e>
                <m:r>
                  <w:rPr>
                    <w:rFonts w:ascii="Cambria Math" w:eastAsia="Times New Roman" w:hAnsi="Cambria Math" w:cs="Times New Roman"/>
                    <w:sz w:val="22"/>
                    <w:szCs w:val="22"/>
                    <w:lang w:val="en-US"/>
                  </w:rPr>
                  <m:t>U</m:t>
                </m:r>
              </m:e>
            </m:sPre>
          </m:sub>
        </m:sSub>
        <m:r>
          <w:rPr>
            <w:rFonts w:ascii="Cambria Math" w:eastAsia="Times New Roman" w:hAnsi="Cambria Math" w:cs="Times New Roman"/>
            <w:sz w:val="22"/>
            <w:szCs w:val="22"/>
            <w:lang w:val="en-US"/>
          </w:rPr>
          <m:t>=</m:t>
        </m:r>
        <m:sSub>
          <m:sSubPr>
            <m:ctrlPr>
              <w:rPr>
                <w:rFonts w:ascii="Cambria Math" w:eastAsia="Times New Roman" w:hAnsi="Cambria Math" w:cs="Times New Roman"/>
                <w:sz w:val="22"/>
                <w:szCs w:val="22"/>
                <w:lang w:val="en-US"/>
              </w:rPr>
            </m:ctrlPr>
          </m:sSubPr>
          <m:e>
            <m:r>
              <m:rPr>
                <m:sty m:val="p"/>
              </m:rPr>
              <w:rPr>
                <w:rFonts w:ascii="Cambria Math" w:eastAsia="Times New Roman" w:hAnsi="Cambria Math" w:cs="Times New Roman"/>
                <w:sz w:val="22"/>
                <w:szCs w:val="22"/>
                <w:lang w:val="en-US"/>
              </w:rPr>
              <m:t>M</m:t>
            </m:r>
          </m:e>
          <m:sub>
            <m:r>
              <w:rPr>
                <w:rFonts w:ascii="Cambria Math" w:eastAsia="Times New Roman" w:hAnsi="Cambria Math" w:cs="Times New Roman"/>
                <w:sz w:val="22"/>
                <w:szCs w:val="22"/>
                <w:lang w:val="en-US"/>
              </w:rPr>
              <m:t>BSE</m:t>
            </m:r>
          </m:sub>
        </m:sSub>
        <m:r>
          <w:rPr>
            <w:rFonts w:ascii="Cambria Math" w:eastAsia="Times New Roman" w:hAnsi="Cambria Math" w:cs="Times New Roman"/>
            <w:sz w:val="22"/>
            <w:szCs w:val="22"/>
            <w:lang w:val="en-US"/>
          </w:rPr>
          <m:t xml:space="preserve"> [ </m:t>
        </m:r>
        <m:sPre>
          <m:sPrePr>
            <m:ctrlPr>
              <w:rPr>
                <w:rFonts w:ascii="Cambria Math" w:eastAsia="Times New Roman" w:hAnsi="Cambria Math" w:cs="Times New Roman"/>
                <w:i/>
                <w:sz w:val="22"/>
                <w:szCs w:val="22"/>
                <w:lang w:val="en-US"/>
              </w:rPr>
            </m:ctrlPr>
          </m:sPrePr>
          <m:sub>
            <m:r>
              <w:rPr>
                <w:rFonts w:ascii="Cambria Math" w:eastAsia="Times New Roman" w:hAnsi="Cambria Math" w:cs="Times New Roman"/>
                <w:sz w:val="22"/>
                <w:szCs w:val="22"/>
                <w:lang w:val="en-US"/>
              </w:rPr>
              <m:t xml:space="preserve"> </m:t>
            </m:r>
          </m:sub>
          <m:sup>
            <m:r>
              <w:rPr>
                <w:rFonts w:ascii="Cambria Math" w:eastAsia="Times New Roman" w:hAnsi="Cambria Math" w:cs="Times New Roman"/>
                <w:sz w:val="22"/>
                <w:szCs w:val="22"/>
                <w:lang w:val="en-US"/>
              </w:rPr>
              <m:t>238</m:t>
            </m:r>
          </m:sup>
          <m:e>
            <m:r>
              <w:rPr>
                <w:rFonts w:ascii="Cambria Math" w:eastAsia="Times New Roman" w:hAnsi="Cambria Math" w:cs="Times New Roman"/>
                <w:sz w:val="22"/>
                <w:szCs w:val="22"/>
                <w:lang w:val="en-US"/>
              </w:rPr>
              <m:t>U</m:t>
            </m:r>
          </m:e>
        </m:sPre>
        <m:sSub>
          <m:sSubPr>
            <m:ctrlPr>
              <w:rPr>
                <w:rFonts w:ascii="Cambria Math" w:eastAsia="Times New Roman" w:hAnsi="Cambria Math" w:cs="Times New Roman"/>
                <w:sz w:val="22"/>
                <w:szCs w:val="22"/>
                <w:lang w:val="en-US"/>
              </w:rPr>
            </m:ctrlPr>
          </m:sSubPr>
          <m:e>
            <m:r>
              <w:rPr>
                <w:rFonts w:ascii="Cambria Math" w:eastAsia="Times New Roman" w:hAnsi="Cambria Math" w:cs="Times New Roman"/>
                <w:sz w:val="22"/>
                <w:szCs w:val="22"/>
                <w:lang w:val="en-US"/>
              </w:rPr>
              <m:t>]</m:t>
            </m:r>
          </m:e>
          <m:sub>
            <m:r>
              <w:rPr>
                <w:rFonts w:ascii="Cambria Math" w:eastAsia="Times New Roman" w:hAnsi="Cambria Math" w:cs="Times New Roman"/>
                <w:sz w:val="22"/>
                <w:szCs w:val="22"/>
                <w:lang w:val="en-US"/>
              </w:rPr>
              <m:t>pres</m:t>
            </m:r>
            <m:r>
              <w:rPr>
                <w:rFonts w:ascii="Cambria Math" w:eastAsia="Times New Roman" w:hAnsi="Cambria Math" w:cs="Times New Roman"/>
                <w:sz w:val="22"/>
                <w:szCs w:val="22"/>
                <w:lang w:val="en-US"/>
              </w:rPr>
              <m:t xml:space="preserve">. </m:t>
            </m:r>
          </m:sub>
        </m:sSub>
        <m:r>
          <w:rPr>
            <w:rFonts w:ascii="Cambria Math" w:eastAsia="Times New Roman" w:hAnsi="Cambria Math" w:cs="Times New Roman"/>
            <w:sz w:val="22"/>
            <w:szCs w:val="22"/>
            <w:lang w:val="en-US"/>
          </w:rPr>
          <m:t xml:space="preserve"> × </m:t>
        </m:r>
        <m:sSup>
          <m:sSupPr>
            <m:ctrlPr>
              <w:rPr>
                <w:rFonts w:ascii="Cambria Math" w:eastAsia="Times New Roman" w:hAnsi="Cambria Math" w:cs="Times New Roman"/>
                <w:sz w:val="22"/>
                <w:szCs w:val="22"/>
                <w:lang w:val="en-US"/>
              </w:rPr>
            </m:ctrlPr>
          </m:sSupPr>
          <m:e>
            <m:r>
              <w:rPr>
                <w:rFonts w:ascii="Cambria Math" w:eastAsia="Times New Roman" w:hAnsi="Cambria Math" w:cs="Times New Roman"/>
                <w:sz w:val="22"/>
                <w:szCs w:val="22"/>
                <w:lang w:val="en-US"/>
              </w:rPr>
              <m:t>e</m:t>
            </m:r>
          </m:e>
          <m:sup>
            <m:sSub>
              <m:sSubPr>
                <m:ctrlPr>
                  <w:rPr>
                    <w:rFonts w:ascii="Cambria Math" w:eastAsia="Times New Roman" w:hAnsi="Cambria Math" w:cs="Times New Roman"/>
                    <w:sz w:val="22"/>
                    <w:szCs w:val="22"/>
                    <w:lang w:val="en-US"/>
                  </w:rPr>
                </m:ctrlPr>
              </m:sSubPr>
              <m:e>
                <m:r>
                  <m:rPr>
                    <m:sty m:val="p"/>
                  </m:rPr>
                  <w:rPr>
                    <w:rFonts w:ascii="Cambria Math" w:eastAsia="Times New Roman" w:hAnsi="Cambria Math" w:cs="Times New Roman"/>
                    <w:sz w:val="22"/>
                    <w:szCs w:val="22"/>
                    <w:lang w:val="en-US"/>
                  </w:rPr>
                  <m:t>λ</m:t>
                </m:r>
              </m:e>
              <m:sub>
                <m:r>
                  <w:rPr>
                    <w:rFonts w:ascii="Cambria Math" w:eastAsia="Times New Roman" w:hAnsi="Cambria Math" w:cs="Times New Roman"/>
                    <w:sz w:val="22"/>
                    <w:szCs w:val="22"/>
                    <w:lang w:val="en-US"/>
                  </w:rPr>
                  <m:t>238</m:t>
                </m:r>
              </m:sub>
            </m:sSub>
            <m:sSub>
              <m:sSubPr>
                <m:ctrlPr>
                  <w:rPr>
                    <w:rFonts w:ascii="Cambria Math" w:eastAsia="Times New Roman" w:hAnsi="Cambria Math" w:cs="Times New Roman"/>
                    <w:i/>
                    <w:sz w:val="22"/>
                    <w:szCs w:val="22"/>
                    <w:lang w:val="en-US"/>
                  </w:rPr>
                </m:ctrlPr>
              </m:sSubPr>
              <m:e>
                <m:r>
                  <w:rPr>
                    <w:rFonts w:ascii="Cambria Math" w:eastAsia="Times New Roman" w:hAnsi="Cambria Math" w:cs="Times New Roman"/>
                    <w:sz w:val="22"/>
                    <w:szCs w:val="22"/>
                    <w:lang w:val="en-US"/>
                  </w:rPr>
                  <m:t>T</m:t>
                </m:r>
              </m:e>
              <m:sub>
                <m:r>
                  <w:rPr>
                    <w:rFonts w:ascii="Cambria Math" w:eastAsia="Times New Roman" w:hAnsi="Cambria Math" w:cs="Times New Roman"/>
                    <w:sz w:val="22"/>
                    <w:szCs w:val="22"/>
                    <w:lang w:val="en-US"/>
                  </w:rPr>
                  <m:t>E</m:t>
                </m:r>
              </m:sub>
            </m:sSub>
          </m:sup>
        </m:sSup>
      </m:oMath>
      <w:r w:rsidR="008120DE"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964453" w:rsidRPr="0084570B">
        <w:rPr>
          <w:rFonts w:ascii="Times New Roman" w:eastAsia="Times New Roman" w:hAnsi="Times New Roman" w:cs="Times New Roman"/>
          <w:sz w:val="22"/>
          <w:szCs w:val="22"/>
          <w:lang w:val="en-US"/>
        </w:rPr>
        <w:tab/>
        <w:t xml:space="preserve">         (EQ. </w:t>
      </w:r>
      <w:r w:rsidR="00D47278">
        <w:rPr>
          <w:rFonts w:ascii="Times New Roman" w:eastAsia="Times New Roman" w:hAnsi="Times New Roman" w:cs="Times New Roman"/>
          <w:sz w:val="22"/>
          <w:szCs w:val="22"/>
          <w:lang w:val="en-US"/>
        </w:rPr>
        <w:t>S8</w:t>
      </w:r>
      <w:r w:rsidR="008120DE" w:rsidRPr="0084570B">
        <w:rPr>
          <w:rFonts w:ascii="Times New Roman" w:eastAsia="Times New Roman" w:hAnsi="Times New Roman" w:cs="Times New Roman"/>
          <w:sz w:val="22"/>
          <w:szCs w:val="22"/>
          <w:lang w:val="en-US"/>
        </w:rPr>
        <w:t>)</w:t>
      </w:r>
    </w:p>
    <w:p w14:paraId="4497651A" w14:textId="77777777" w:rsidR="008120DE" w:rsidRPr="0084570B" w:rsidRDefault="008120DE" w:rsidP="008120DE">
      <w:pPr>
        <w:pStyle w:val="Normal1"/>
        <w:spacing w:line="360" w:lineRule="auto"/>
        <w:jc w:val="center"/>
        <w:rPr>
          <w:rFonts w:ascii="Times New Roman" w:eastAsia="Times New Roman" w:hAnsi="Times New Roman" w:cs="Times New Roman"/>
          <w:sz w:val="22"/>
          <w:szCs w:val="22"/>
          <w:lang w:val="en-US"/>
        </w:rPr>
      </w:pPr>
    </w:p>
    <w:p w14:paraId="7F0E6711" w14:textId="56BA5ABF"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w:t>
      </w:r>
      <w:r w:rsidRPr="0084570B">
        <w:rPr>
          <w:rFonts w:ascii="Times New Roman" w:eastAsia="Times New Roman" w:hAnsi="Times New Roman" w:cs="Times New Roman"/>
          <w:i/>
          <w:sz w:val="22"/>
          <w:szCs w:val="22"/>
          <w:vertAlign w:val="superscript"/>
          <w:lang w:val="en-US"/>
        </w:rPr>
        <w:t>238</w:t>
      </w:r>
      <w:r w:rsidRPr="0084570B">
        <w:rPr>
          <w:rFonts w:ascii="Times New Roman" w:eastAsia="Times New Roman" w:hAnsi="Times New Roman" w:cs="Times New Roman"/>
          <w:i/>
          <w:sz w:val="22"/>
          <w:szCs w:val="22"/>
          <w:lang w:val="en-US"/>
        </w:rPr>
        <w:t>U]</w:t>
      </w:r>
      <w:r w:rsidRPr="0084570B">
        <w:rPr>
          <w:rFonts w:ascii="Times New Roman" w:eastAsia="Times New Roman" w:hAnsi="Times New Roman" w:cs="Times New Roman"/>
          <w:i/>
          <w:sz w:val="22"/>
          <w:szCs w:val="22"/>
          <w:vertAlign w:val="subscript"/>
          <w:lang w:val="en-US"/>
        </w:rPr>
        <w:t>pres.</w:t>
      </w:r>
      <w:r w:rsidRPr="0084570B">
        <w:rPr>
          <w:rFonts w:ascii="Times New Roman" w:eastAsia="Times New Roman" w:hAnsi="Times New Roman" w:cs="Times New Roman"/>
          <w:i/>
          <w:sz w:val="22"/>
          <w:szCs w:val="22"/>
          <w:lang w:val="en-US"/>
        </w:rPr>
        <w:t xml:space="preserve"> </w:t>
      </w:r>
      <w:r w:rsidR="006C5866" w:rsidRPr="0084570B">
        <w:rPr>
          <w:rFonts w:ascii="Times New Roman" w:eastAsia="Times New Roman" w:hAnsi="Times New Roman" w:cs="Times New Roman"/>
          <w:sz w:val="22"/>
          <w:szCs w:val="22"/>
          <w:lang w:val="en-US"/>
        </w:rPr>
        <w:t>is the present-</w:t>
      </w:r>
      <w:r w:rsidRPr="0084570B">
        <w:rPr>
          <w:rFonts w:ascii="Times New Roman" w:eastAsia="Times New Roman" w:hAnsi="Times New Roman" w:cs="Times New Roman"/>
          <w:sz w:val="22"/>
          <w:szCs w:val="22"/>
          <w:lang w:val="en-US"/>
        </w:rPr>
        <w:t xml:space="preserve">day BSE concentration of </w:t>
      </w:r>
      <w:r w:rsidRPr="0084570B">
        <w:rPr>
          <w:rFonts w:ascii="Times New Roman" w:eastAsia="Times New Roman" w:hAnsi="Times New Roman" w:cs="Times New Roman"/>
          <w:sz w:val="22"/>
          <w:szCs w:val="22"/>
          <w:vertAlign w:val="superscript"/>
          <w:lang w:val="en-US"/>
        </w:rPr>
        <w:t>238</w:t>
      </w:r>
      <w:r w:rsidRPr="0084570B">
        <w:rPr>
          <w:rFonts w:ascii="Times New Roman" w:eastAsia="Times New Roman" w:hAnsi="Times New Roman" w:cs="Times New Roman"/>
          <w:sz w:val="22"/>
          <w:szCs w:val="22"/>
          <w:lang w:val="en-US"/>
        </w:rPr>
        <w:t>U (21 ppb</w:t>
      </w:r>
      <w:r w:rsidRPr="0084570B">
        <w:rPr>
          <w:rFonts w:ascii="Times New Roman" w:eastAsia="Times New Roman" w:hAnsi="Times New Roman" w:cs="Times New Roman"/>
          <w:sz w:val="22"/>
          <w:szCs w:val="22"/>
          <w:lang w:val="en-US"/>
        </w:rPr>
        <w:fldChar w:fldCharType="begin" w:fldLock="1"/>
      </w:r>
      <w:r w:rsidR="00937986" w:rsidRPr="0084570B">
        <w:rPr>
          <w:rFonts w:ascii="Times New Roman" w:eastAsia="Times New Roman" w:hAnsi="Times New Roman" w:cs="Times New Roman"/>
          <w:sz w:val="22"/>
          <w:szCs w:val="22"/>
          <w:lang w:val="en-US"/>
        </w:rPr>
        <w:instrText>ADDIN CSL_CITATION {"citationItems":[{"id":"ITEM-1","itemData":{"DOI":"10.1016/B978-0-08-095975-7.00201-1","ISBN":"9780080983004","abstract":"The composition of the primitive mantle derived here shows that Earth was assembled from material that shows many of the same chemical fractionation processes as chondritic meteorites. These processes occurred at the initial stage of the solar system formation, under conditions thought to be present in the solar nebula. But the stable isotope record excludes chondritic meteorites as the 'building blocks' of Earth. Meteorites formed in local environments separated from that part of the inner solar system where much of the material forming the terrestrial planets was sourced. © 2014 Elsevier Ltd. All rights reserved.","author":[{"dropping-particle":"","family":"Palme","given":"H.","non-dropping-particle":"","parse-names":false,"suffix":""},{"dropping-particle":"","family":"O'Neill","given":"H.","non-dropping-particle":"","parse-names":false,"suffix":""}],"container-title":"Treatise on Geochemistry: Second Edition","id":"ITEM-1","issued":{"date-parts":[["2013"]]},"number-of-pages":"1-39","publisher":"Elsevier Ltd.","title":"Cosmochemical Estimates of Mantle Composition","type":"book","volume":"3"},"uris":["http://www.mendeley.com/documents/?uuid=b8a99ab9-6f94-4e59-b566-5331f9114dd3"]}],"mendeley":{"formattedCitation":"&lt;sup&gt;103&lt;/sup&gt;","plainTextFormattedCitation":"103","previouslyFormattedCitation":"&lt;sup&gt;103&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A40A71" w:rsidRPr="0084570B">
        <w:rPr>
          <w:rFonts w:ascii="Times New Roman" w:eastAsia="Times New Roman" w:hAnsi="Times New Roman" w:cs="Times New Roman"/>
          <w:noProof/>
          <w:sz w:val="22"/>
          <w:szCs w:val="22"/>
          <w:vertAlign w:val="superscript"/>
          <w:lang w:val="en-US"/>
        </w:rPr>
        <w:t>103</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M</w:t>
      </w:r>
      <w:r w:rsidRPr="0084570B">
        <w:rPr>
          <w:rFonts w:ascii="Times New Roman" w:eastAsia="Times New Roman" w:hAnsi="Times New Roman" w:cs="Times New Roman"/>
          <w:i/>
          <w:sz w:val="22"/>
          <w:szCs w:val="22"/>
          <w:vertAlign w:val="subscript"/>
          <w:lang w:val="en-US"/>
        </w:rPr>
        <w:t>BSE</w:t>
      </w:r>
      <w:r w:rsidRPr="0084570B">
        <w:rPr>
          <w:rFonts w:ascii="Times New Roman" w:eastAsia="Times New Roman" w:hAnsi="Times New Roman" w:cs="Times New Roman"/>
          <w:sz w:val="22"/>
          <w:szCs w:val="22"/>
          <w:lang w:val="en-US"/>
        </w:rPr>
        <w:t xml:space="preserve"> is the mass of the bulk silicate Earth. Initial Pu is calculated using the chondritic (Pu/U)</w:t>
      </w:r>
      <w:r w:rsidRPr="0084570B">
        <w:rPr>
          <w:rFonts w:ascii="Times New Roman" w:eastAsia="Times New Roman" w:hAnsi="Times New Roman" w:cs="Times New Roman"/>
          <w:sz w:val="22"/>
          <w:szCs w:val="22"/>
          <w:vertAlign w:val="subscript"/>
          <w:lang w:val="en-US"/>
        </w:rPr>
        <w:t>0</w:t>
      </w:r>
      <w:r w:rsidRPr="0084570B">
        <w:rPr>
          <w:rFonts w:ascii="Times New Roman" w:eastAsia="Times New Roman" w:hAnsi="Times New Roman" w:cs="Times New Roman"/>
          <w:sz w:val="22"/>
          <w:szCs w:val="22"/>
          <w:lang w:val="en-US"/>
        </w:rPr>
        <w:t xml:space="preserve"> of 0.0068</w:t>
      </w:r>
      <w:r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{"citationItems":[{"id":"ITEM-1","itemData":{"author":[{"dropping-particle":"","family":"Hudson","given":"G. B.","non-dropping-particle":"","parse-names":false,"suffix":""},{"dropping-particle":"","family":"Kennedy","given":"B. M.","non-dropping-particle":"","parse-names":false,"suffix":""},{"dropping-particle":"","family":"Podosek","given":"F A","non-dropping-particle":"","parse-names":false,"suffix":""},{"dropping-particle":"","family":"Hohenberg","given":"C. M.","non-dropping-particle":"","parse-names":false,"suffix":""}],"container-title":"Proc. 19th Lunar and Planetary Science Conference 547–557 (Lunar and Planetary Institute)","id":"ITEM-1","issued":{"date-parts":[["1989"]]},"title":"The early solar system abundance of 244Pu as interred from the St. Severin chondrite","type":"paper-conference"},"uris":["http://www.mendeley.com/documents/?uuid=6caa7dfb-126c-4ab7-8c4b-74a80158f8ed"]}],"mendeley":{"formattedCitation":"&lt;sup&gt;34&lt;/sup&gt;","plainTextFormattedCitation":"34","previouslyFormattedCitation":"&lt;sup&gt;34&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34</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Given the importance of the assumed (Pu/U)</w:t>
      </w:r>
      <w:r w:rsidRPr="0084570B">
        <w:rPr>
          <w:rFonts w:ascii="Times New Roman" w:eastAsia="Times New Roman" w:hAnsi="Times New Roman" w:cs="Times New Roman"/>
          <w:sz w:val="22"/>
          <w:szCs w:val="22"/>
          <w:vertAlign w:val="subscript"/>
          <w:lang w:val="en-US"/>
        </w:rPr>
        <w:t>0</w:t>
      </w:r>
      <w:r w:rsidRPr="0084570B">
        <w:rPr>
          <w:rFonts w:ascii="Times New Roman" w:eastAsia="Times New Roman" w:hAnsi="Times New Roman" w:cs="Times New Roman"/>
          <w:sz w:val="22"/>
          <w:szCs w:val="22"/>
          <w:lang w:val="en-US"/>
        </w:rPr>
        <w:t xml:space="preserve"> for mantle Xe isotope systematics and the </w:t>
      </w:r>
      <w:r w:rsidRPr="0084570B">
        <w:rPr>
          <w:rFonts w:ascii="Times New Roman" w:hAnsi="Times New Roman" w:cs="Times New Roman"/>
          <w:sz w:val="22"/>
          <w:szCs w:val="22"/>
          <w:lang w:val="en-US"/>
        </w:rPr>
        <w:t xml:space="preserve">strong case for revisiting the chondritic </w:t>
      </w:r>
      <w:r w:rsidRPr="0084570B">
        <w:rPr>
          <w:rFonts w:ascii="Times New Roman" w:eastAsia="Times New Roman" w:hAnsi="Times New Roman" w:cs="Times New Roman"/>
          <w:sz w:val="22"/>
          <w:szCs w:val="22"/>
          <w:lang w:val="en-US"/>
        </w:rPr>
        <w:t>(Pu/U)</w:t>
      </w:r>
      <w:r w:rsidRPr="0084570B">
        <w:rPr>
          <w:rFonts w:ascii="Times New Roman" w:eastAsia="Times New Roman" w:hAnsi="Times New Roman" w:cs="Times New Roman"/>
          <w:sz w:val="22"/>
          <w:szCs w:val="22"/>
          <w:vertAlign w:val="subscript"/>
          <w:lang w:val="en-US"/>
        </w:rPr>
        <w:t>0</w:t>
      </w:r>
      <w:r w:rsidRPr="0084570B">
        <w:rPr>
          <w:rFonts w:ascii="Times New Roman" w:eastAsia="Times New Roman" w:hAnsi="Times New Roman" w:cs="Times New Roman"/>
          <w:sz w:val="22"/>
          <w:szCs w:val="22"/>
          <w:lang w:val="en-US"/>
        </w:rPr>
        <w:t xml:space="preserve"> </w:t>
      </w:r>
      <w:r w:rsidRPr="0084570B">
        <w:rPr>
          <w:rFonts w:ascii="Times New Roman" w:hAnsi="Times New Roman" w:cs="Times New Roman"/>
          <w:sz w:val="22"/>
          <w:szCs w:val="22"/>
          <w:lang w:val="en-US"/>
        </w:rPr>
        <w:t xml:space="preserve">system (and improve our understanding of the internal and external variability of </w:t>
      </w:r>
      <w:r w:rsidRPr="0084570B">
        <w:rPr>
          <w:rFonts w:ascii="Times New Roman" w:eastAsia="Times New Roman" w:hAnsi="Times New Roman" w:cs="Times New Roman"/>
          <w:sz w:val="22"/>
          <w:szCs w:val="22"/>
          <w:lang w:val="en-US"/>
        </w:rPr>
        <w:t>(Pu/U)</w:t>
      </w:r>
      <w:r w:rsidRPr="0084570B">
        <w:rPr>
          <w:rFonts w:ascii="Times New Roman" w:eastAsia="Times New Roman" w:hAnsi="Times New Roman" w:cs="Times New Roman"/>
          <w:sz w:val="22"/>
          <w:szCs w:val="22"/>
          <w:vertAlign w:val="subscript"/>
          <w:lang w:val="en-US"/>
        </w:rPr>
        <w:t>0</w:t>
      </w:r>
      <w:r w:rsidRPr="0084570B">
        <w:rPr>
          <w:rFonts w:ascii="Times New Roman" w:eastAsia="Times New Roman" w:hAnsi="Times New Roman" w:cs="Times New Roman"/>
          <w:sz w:val="22"/>
          <w:szCs w:val="22"/>
          <w:vertAlign w:val="subscript"/>
          <w:lang w:val="en-US"/>
        </w:rPr>
        <w:fldChar w:fldCharType="begin" w:fldLock="1"/>
      </w:r>
      <w:r w:rsidR="009D2C8F" w:rsidRPr="0084570B">
        <w:rPr>
          <w:rFonts w:ascii="Times New Roman" w:eastAsia="Times New Roman" w:hAnsi="Times New Roman" w:cs="Times New Roman"/>
          <w:sz w:val="22"/>
          <w:szCs w:val="22"/>
          <w:vertAlign w:val="subscript"/>
          <w:lang w:val="en-US"/>
        </w:rPr>
        <w:instrText xml:space="preserve">ADDIN CSL_CITATION {"citationItems":[{"id":"ITEM-1","itemData":{"DOI":"10.1016/j.epsl.2007.07.014","ISSN":"0012821X","abstract":"The presence of xenon isotopes from in-situ spontaneous fission of short-lived 244Pu has been confirmed in a suite of 16 Hadean detrital zircons from Western Australia. In order to investigate the effects of xenon loss on estimates of the inferred Pu/U ratio we have irradiated the zircons with thermal neutrons to generate Xe from 235U neutron fission. 131Xe/134Xe and 132Xe/134Xe ratios have been used to calculate the relative contributions from spontaneous fission of 244Pu and 238U and neutron fission of 235U and hence compare nominal Pu/U ratios and xenon retention ages. U-Xe ages are typically lower than the Pb-Pb ages, indicating that xenon loss is common. We show how the ternary mixing diagram can be used to place constraints on the timing and extent of this loss and to generate a corresponding Pu-U-Xe isochron. Although the zircons investigated in this study were extracted from the same metasedimentary unit, the timing of xenon loss is variable. This suggests that the loss may be the result of variable degrees of metamictization from grain to grain. Inferred (Pu/U)o ratios show a general decrease with the discordancy between Pb-Pb and U-Xe ages. For the least discordant samples we infer (Pu/U)o </w:instrText>
      </w:r>
      <w:r w:rsidR="009D2C8F" w:rsidRPr="0084570B">
        <w:rPr>
          <w:rFonts w:ascii="Cambria Math" w:eastAsia="Times New Roman" w:hAnsi="Cambria Math" w:cs="Cambria Math"/>
          <w:sz w:val="22"/>
          <w:szCs w:val="22"/>
          <w:vertAlign w:val="subscript"/>
          <w:lang w:val="en-US"/>
        </w:rPr>
        <w:instrText>∼</w:instrText>
      </w:r>
      <w:r w:rsidR="009D2C8F" w:rsidRPr="0084570B">
        <w:rPr>
          <w:rFonts w:ascii="Times New Roman" w:eastAsia="Times New Roman" w:hAnsi="Times New Roman" w:cs="Times New Roman"/>
          <w:sz w:val="22"/>
          <w:szCs w:val="22"/>
          <w:vertAlign w:val="subscript"/>
          <w:lang w:val="en-US"/>
        </w:rPr>
        <w:instrText xml:space="preserve"> 0.008 which is close to the widely adopted chondritic value. While we cannot completely exclude the effects of Pu/U fractionation in magmatic and other processes between formation of the Earth and crystallisation of the zircons we conclude that they have been relatively small (&lt; factor 2?) and reflect the compatible behaviour of Pu and U in the 4+ valence state. © 2007 Elsevier B.V. All rights reserved.","author":[{"dropping-particle":"","family":"Turner","given":"Grenville","non-dropping-particle":"","parse-names":false,"suffix":""},{"dropping-particle":"","family":"Busfield","given":"Alli","non-dropping-particle":"","parse-names":false,"suffix":""},{"dropping-particle":"","family":"Crowther","given":"Sarah A.","non-dropping-particle":"","parse-names":false,"suffix":""},{"dropping-particle":"","family":"Harrison","given":"Mark","non-dropping-particle":"","parse-names":false,"suffix":""},{"dropping-particle":"","family":"Mojzsis","given":"Stephen J.","non-dropping-particle":"","parse-names":false,"suffix":""},{"dropping-particle":"","family":"Gilmour","given":"Jamie","non-dropping-particle":"","parse-names":false,"suffix":""}],"container-title":"Earth and Planetary Science Letters","id":"ITEM-1","issue":"3-4","issued":{"date-parts":[["2007"]]},"page":"491-499","title":"Pu-Xe, U-Xe, U-Pb chronology and isotope systematics of ancient zircons from Western Australia","type":"article-journal","volume":"261"},"uris":["http://www.mendeley.com/documents/?uuid=1aaebed5-4ac5-40ae-a237-529a3578c786"]}],"mendeley":{"formattedCitation":"&lt;sup&gt;10&lt;/sup&gt;","plainTextFormattedCitation":"10","previouslyFormattedCitation":"&lt;sup&gt;10&lt;/sup&gt;"},"properties":{"noteIndex":0},"schema":"https://github.com/citation-style-language/schema/raw/master/csl-citation.json"}</w:instrText>
      </w:r>
      <w:r w:rsidRPr="0084570B">
        <w:rPr>
          <w:rFonts w:ascii="Times New Roman" w:eastAsia="Times New Roman" w:hAnsi="Times New Roman" w:cs="Times New Roman"/>
          <w:sz w:val="22"/>
          <w:szCs w:val="22"/>
          <w:vertAlign w:val="subscript"/>
          <w:lang w:val="en-US"/>
        </w:rPr>
        <w:fldChar w:fldCharType="separate"/>
      </w:r>
      <w:r w:rsidR="009D2C8F" w:rsidRPr="0084570B">
        <w:rPr>
          <w:rFonts w:ascii="Times New Roman" w:eastAsia="Times New Roman" w:hAnsi="Times New Roman" w:cs="Times New Roman"/>
          <w:noProof/>
          <w:sz w:val="22"/>
          <w:szCs w:val="22"/>
          <w:vertAlign w:val="superscript"/>
          <w:lang w:val="en-US"/>
        </w:rPr>
        <w:t>10</w:t>
      </w:r>
      <w:r w:rsidRPr="0084570B">
        <w:rPr>
          <w:rFonts w:ascii="Times New Roman" w:eastAsia="Times New Roman" w:hAnsi="Times New Roman" w:cs="Times New Roman"/>
          <w:sz w:val="22"/>
          <w:szCs w:val="22"/>
          <w:vertAlign w:val="subscript"/>
          <w:lang w:val="en-US"/>
        </w:rPr>
        <w:fldChar w:fldCharType="end"/>
      </w:r>
      <w:r w:rsidRPr="0084570B">
        <w:rPr>
          <w:rFonts w:ascii="Times New Roman" w:hAnsi="Times New Roman" w:cs="Times New Roman"/>
          <w:sz w:val="22"/>
          <w:szCs w:val="22"/>
          <w:lang w:val="en-US"/>
        </w:rPr>
        <w:t xml:space="preserve">), we allow the </w:t>
      </w:r>
      <w:r w:rsidRPr="0084570B">
        <w:rPr>
          <w:rFonts w:ascii="Times New Roman" w:eastAsia="Times New Roman" w:hAnsi="Times New Roman" w:cs="Times New Roman"/>
          <w:sz w:val="22"/>
          <w:szCs w:val="22"/>
          <w:lang w:val="en-US"/>
        </w:rPr>
        <w:t>(Pu/U)</w:t>
      </w:r>
      <w:r w:rsidRPr="0084570B">
        <w:rPr>
          <w:rFonts w:ascii="Times New Roman" w:eastAsia="Times New Roman" w:hAnsi="Times New Roman" w:cs="Times New Roman"/>
          <w:sz w:val="22"/>
          <w:szCs w:val="22"/>
          <w:vertAlign w:val="subscript"/>
          <w:lang w:val="en-US"/>
        </w:rPr>
        <w:t>0</w:t>
      </w:r>
      <w:r w:rsidRPr="0084570B">
        <w:rPr>
          <w:rFonts w:ascii="Times New Roman" w:eastAsia="Times New Roman" w:hAnsi="Times New Roman" w:cs="Times New Roman"/>
          <w:sz w:val="22"/>
          <w:szCs w:val="22"/>
          <w:lang w:val="en-US"/>
        </w:rPr>
        <w:t xml:space="preserve"> to vary between ±50% of its assumed value (i.e., between 0.0034 and 0.0102). </w:t>
      </w:r>
    </w:p>
    <w:p w14:paraId="6694E219"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33B94CCF" w14:textId="77777777" w:rsidR="00964453" w:rsidRPr="0084570B" w:rsidRDefault="00964453">
      <w:pP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br w:type="page"/>
      </w:r>
    </w:p>
    <w:p w14:paraId="78B2BAB6" w14:textId="4BD489DA"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lastRenderedPageBreak/>
        <w:t>The U content of the mantle is then computed as:</w:t>
      </w:r>
    </w:p>
    <w:p w14:paraId="7BB1CBF4" w14:textId="77777777" w:rsidR="008120DE" w:rsidRPr="0084570B" w:rsidRDefault="008120DE" w:rsidP="008120DE">
      <w:pPr>
        <w:pStyle w:val="Normal1"/>
        <w:spacing w:line="360" w:lineRule="auto"/>
        <w:jc w:val="both"/>
        <w:rPr>
          <w:rFonts w:ascii="Times New Roman" w:eastAsia="Times New Roman" w:hAnsi="Times New Roman" w:cs="Times New Roman"/>
          <w:sz w:val="10"/>
          <w:szCs w:val="22"/>
          <w:lang w:val="en-US"/>
        </w:rPr>
      </w:pPr>
    </w:p>
    <w:p w14:paraId="6EEA48F2" w14:textId="77419A37" w:rsidR="008120DE" w:rsidRPr="0084570B" w:rsidRDefault="008549F7" w:rsidP="008120DE">
      <w:pPr>
        <w:pStyle w:val="Normal1"/>
        <w:spacing w:line="360" w:lineRule="auto"/>
        <w:jc w:val="right"/>
        <w:rPr>
          <w:rFonts w:ascii="Times New Roman" w:eastAsia="Times New Roman" w:hAnsi="Times New Roman" w:cs="Times New Roman"/>
          <w:sz w:val="22"/>
          <w:szCs w:val="22"/>
          <w:lang w:val="en-US"/>
        </w:rPr>
      </w:pPr>
      <m:oMath>
        <m:sSub>
          <m:sSubPr>
            <m:ctrlPr>
              <w:rPr>
                <w:rFonts w:ascii="Cambria Math" w:eastAsia="Cambria Math" w:hAnsi="Cambria Math" w:cs="Times New Roman"/>
                <w:sz w:val="22"/>
                <w:szCs w:val="22"/>
                <w:lang w:val="en-US"/>
              </w:rPr>
            </m:ctrlPr>
          </m:sSubPr>
          <m:e>
            <m:d>
              <m:dPr>
                <m:begChr m:val="["/>
                <m:endChr m:val="]"/>
                <m:ctrlPr>
                  <w:rPr>
                    <w:rFonts w:ascii="Cambria Math" w:eastAsia="Cambria Math" w:hAnsi="Cambria Math" w:cs="Times New Roman"/>
                    <w:sz w:val="22"/>
                    <w:szCs w:val="22"/>
                    <w:lang w:val="en-US"/>
                  </w:rPr>
                </m:ctrlPr>
              </m:dPr>
              <m:e>
                <m:sPre>
                  <m:sPrePr>
                    <m:ctrlPr>
                      <w:rPr>
                        <w:rFonts w:ascii="Cambria Math" w:eastAsia="Cambria Math" w:hAnsi="Cambria Math" w:cs="Times New Roman"/>
                        <w:i/>
                        <w:sz w:val="22"/>
                        <w:szCs w:val="22"/>
                        <w:lang w:val="en-US"/>
                      </w:rPr>
                    </m:ctrlPr>
                  </m:sPrePr>
                  <m:sub>
                    <m:r>
                      <w:rPr>
                        <w:rFonts w:ascii="Cambria Math" w:eastAsia="Cambria Math" w:hAnsi="Cambria Math" w:cs="Times New Roman"/>
                        <w:sz w:val="22"/>
                        <w:szCs w:val="22"/>
                        <w:lang w:val="en-US"/>
                      </w:rPr>
                      <m:t xml:space="preserve"> </m:t>
                    </m:r>
                  </m:sub>
                  <m:sup>
                    <m:r>
                      <w:rPr>
                        <w:rFonts w:ascii="Cambria Math" w:eastAsia="Cambria Math" w:hAnsi="Cambria Math" w:cs="Times New Roman"/>
                        <w:sz w:val="22"/>
                        <w:szCs w:val="22"/>
                        <w:lang w:val="en-US"/>
                      </w:rPr>
                      <m:t>238</m:t>
                    </m:r>
                  </m:sup>
                  <m:e>
                    <m:r>
                      <w:rPr>
                        <w:rFonts w:ascii="Cambria Math" w:eastAsia="Cambria Math" w:hAnsi="Cambria Math" w:cs="Times New Roman"/>
                        <w:sz w:val="22"/>
                        <w:szCs w:val="22"/>
                        <w:lang w:val="en-US"/>
                      </w:rPr>
                      <m:t>U</m:t>
                    </m:r>
                  </m:e>
                </m:sPre>
              </m:e>
            </m:d>
          </m:e>
          <m:sub>
            <m:r>
              <w:rPr>
                <w:rFonts w:ascii="Cambria Math" w:eastAsia="Cambria Math" w:hAnsi="Cambria Math" w:cs="Times New Roman"/>
                <w:sz w:val="22"/>
                <w:szCs w:val="22"/>
                <w:lang w:val="en-US"/>
              </w:rPr>
              <m:t>UM</m:t>
            </m:r>
          </m:sub>
        </m:sSub>
        <m:r>
          <w:rPr>
            <w:rFonts w:ascii="Cambria Math" w:eastAsia="Cambria Math" w:hAnsi="Cambria Math" w:cs="Times New Roman"/>
            <w:sz w:val="22"/>
            <w:szCs w:val="22"/>
            <w:lang w:val="en-US"/>
          </w:rPr>
          <m:t>(</m:t>
        </m:r>
        <m:r>
          <w:rPr>
            <w:rFonts w:ascii="Cambria Math" w:eastAsia="Cambria Math" w:hAnsi="Cambria Math" w:cs="Times New Roman"/>
            <w:sz w:val="22"/>
            <w:szCs w:val="22"/>
            <w:lang w:val="en-US"/>
          </w:rPr>
          <m:t>t</m:t>
        </m:r>
        <m:r>
          <w:rPr>
            <w:rFonts w:ascii="Cambria Math" w:eastAsia="Cambria Math" w:hAnsi="Cambria Math" w:cs="Times New Roman"/>
            <w:sz w:val="22"/>
            <w:szCs w:val="22"/>
            <w:lang w:val="en-US"/>
          </w:rPr>
          <m:t>) =</m:t>
        </m:r>
        <m:f>
          <m:fPr>
            <m:ctrlPr>
              <w:rPr>
                <w:rFonts w:ascii="Cambria Math" w:eastAsia="Cambria Math" w:hAnsi="Cambria Math" w:cs="Times New Roman"/>
                <w:sz w:val="22"/>
                <w:szCs w:val="22"/>
                <w:lang w:val="en-US"/>
              </w:rPr>
            </m:ctrlPr>
          </m:fPr>
          <m:num>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n</m:t>
                </m:r>
              </m:e>
              <m:sub>
                <m:sPre>
                  <m:sPrePr>
                    <m:ctrlPr>
                      <w:rPr>
                        <w:rFonts w:ascii="Cambria Math" w:eastAsia="Cambria Math" w:hAnsi="Cambria Math" w:cs="Times New Roman"/>
                        <w:i/>
                        <w:sz w:val="22"/>
                        <w:szCs w:val="22"/>
                        <w:lang w:val="en-US"/>
                      </w:rPr>
                    </m:ctrlPr>
                  </m:sPrePr>
                  <m:sub>
                    <m:r>
                      <w:rPr>
                        <w:rFonts w:ascii="Cambria Math" w:eastAsia="Cambria Math" w:hAnsi="Cambria Math" w:cs="Times New Roman"/>
                        <w:sz w:val="22"/>
                        <w:szCs w:val="22"/>
                        <w:lang w:val="en-US"/>
                      </w:rPr>
                      <m:t xml:space="preserve"> </m:t>
                    </m:r>
                  </m:sub>
                  <m:sup>
                    <m:r>
                      <w:rPr>
                        <w:rFonts w:ascii="Cambria Math" w:eastAsia="Cambria Math" w:hAnsi="Cambria Math" w:cs="Times New Roman"/>
                        <w:sz w:val="22"/>
                        <w:szCs w:val="22"/>
                        <w:lang w:val="en-US"/>
                      </w:rPr>
                      <m:t>238</m:t>
                    </m:r>
                  </m:sup>
                  <m:e>
                    <m:r>
                      <w:rPr>
                        <w:rFonts w:ascii="Cambria Math" w:eastAsia="Cambria Math" w:hAnsi="Cambria Math" w:cs="Times New Roman"/>
                        <w:sz w:val="22"/>
                        <w:szCs w:val="22"/>
                        <w:lang w:val="en-US"/>
                      </w:rPr>
                      <m:t>U</m:t>
                    </m:r>
                  </m:e>
                </m:sPre>
              </m:sub>
            </m:sSub>
            <m:sSup>
              <m:sSupPr>
                <m:ctrlPr>
                  <w:rPr>
                    <w:rFonts w:ascii="Cambria Math" w:eastAsia="Cambria Math" w:hAnsi="Cambria Math" w:cs="Times New Roman"/>
                    <w:sz w:val="22"/>
                    <w:szCs w:val="22"/>
                    <w:lang w:val="en-US"/>
                  </w:rPr>
                </m:ctrlPr>
              </m:sSupPr>
              <m:e>
                <m:r>
                  <w:rPr>
                    <w:rFonts w:ascii="Cambria Math" w:eastAsia="Cambria Math" w:hAnsi="Cambria Math" w:cs="Times New Roman"/>
                    <w:sz w:val="22"/>
                    <w:szCs w:val="22"/>
                    <w:lang w:val="en-US"/>
                  </w:rPr>
                  <m:t xml:space="preserve"> × </m:t>
                </m:r>
                <m:r>
                  <w:rPr>
                    <w:rFonts w:ascii="Cambria Math" w:eastAsia="Cambria Math" w:hAnsi="Cambria Math" w:cs="Times New Roman"/>
                    <w:sz w:val="22"/>
                    <w:szCs w:val="22"/>
                    <w:lang w:val="en-US"/>
                  </w:rPr>
                  <m:t>e</m:t>
                </m:r>
              </m:e>
              <m:sup>
                <m:r>
                  <w:rPr>
                    <w:rFonts w:ascii="Cambria Math" w:eastAsia="Cambria Math" w:hAnsi="Cambria Math" w:cs="Times New Roman"/>
                    <w:sz w:val="22"/>
                    <w:szCs w:val="22"/>
                    <w:lang w:val="en-US"/>
                  </w:rPr>
                  <m:t>-</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λ</m:t>
                    </m:r>
                  </m:e>
                  <m:sub>
                    <m:r>
                      <w:rPr>
                        <w:rFonts w:ascii="Cambria Math" w:eastAsia="Cambria Math" w:hAnsi="Cambria Math" w:cs="Times New Roman"/>
                        <w:sz w:val="22"/>
                        <w:szCs w:val="22"/>
                        <w:lang w:val="en-US"/>
                      </w:rPr>
                      <m:t>238</m:t>
                    </m:r>
                  </m:sub>
                </m:sSub>
                <m:r>
                  <w:rPr>
                    <w:rFonts w:ascii="Cambria Math" w:eastAsia="Cambria Math" w:hAnsi="Cambria Math" w:cs="Times New Roman"/>
                    <w:sz w:val="22"/>
                    <w:szCs w:val="22"/>
                    <w:lang w:val="en-US"/>
                  </w:rPr>
                  <m:t>t</m:t>
                </m:r>
              </m:sup>
            </m:sSup>
            <m:d>
              <m:dPr>
                <m:ctrlPr>
                  <w:rPr>
                    <w:rFonts w:ascii="Cambria Math" w:eastAsia="Cambria Math" w:hAnsi="Cambria Math" w:cs="Times New Roman"/>
                    <w:sz w:val="22"/>
                    <w:szCs w:val="22"/>
                    <w:lang w:val="en-US"/>
                  </w:rPr>
                </m:ctrlPr>
              </m:dPr>
              <m:e>
                <m:r>
                  <w:rPr>
                    <w:rFonts w:ascii="Cambria Math" w:eastAsia="Cambria Math" w:hAnsi="Cambria Math" w:cs="Times New Roman"/>
                    <w:sz w:val="22"/>
                    <w:szCs w:val="22"/>
                    <w:lang w:val="en-US"/>
                  </w:rPr>
                  <m:t>1-</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f</m:t>
                    </m:r>
                  </m:e>
                  <m:sub>
                    <m:sSub>
                      <m:sSubPr>
                        <m:ctrlPr>
                          <w:rPr>
                            <w:rFonts w:ascii="Cambria Math" w:eastAsia="Cambria Math" w:hAnsi="Cambria Math" w:cs="Times New Roman"/>
                            <w:i/>
                            <w:sz w:val="22"/>
                            <w:szCs w:val="22"/>
                            <w:lang w:val="en-US"/>
                          </w:rPr>
                        </m:ctrlPr>
                      </m:sSubPr>
                      <m:e>
                        <m:r>
                          <w:rPr>
                            <w:rFonts w:ascii="Cambria Math" w:eastAsia="Cambria Math" w:hAnsi="Cambria Math" w:cs="Times New Roman"/>
                            <w:sz w:val="22"/>
                            <w:szCs w:val="22"/>
                            <w:lang w:val="en-US"/>
                          </w:rPr>
                          <m:t>U</m:t>
                        </m:r>
                      </m:e>
                      <m:sub>
                        <m:r>
                          <w:rPr>
                            <w:rFonts w:ascii="Cambria Math" w:eastAsia="Cambria Math" w:hAnsi="Cambria Math" w:cs="Times New Roman"/>
                            <w:sz w:val="22"/>
                            <w:szCs w:val="22"/>
                            <w:lang w:val="en-US"/>
                          </w:rPr>
                          <m:t>cont</m:t>
                        </m:r>
                        <m:r>
                          <w:rPr>
                            <w:rFonts w:ascii="Cambria Math" w:eastAsia="Cambria Math" w:hAnsi="Cambria Math" w:cs="Times New Roman"/>
                            <w:sz w:val="22"/>
                            <w:szCs w:val="22"/>
                            <w:lang w:val="en-US"/>
                          </w:rPr>
                          <m:t xml:space="preserve">. </m:t>
                        </m:r>
                        <m:r>
                          <w:rPr>
                            <w:rFonts w:ascii="Cambria Math" w:eastAsia="Cambria Math" w:hAnsi="Cambria Math" w:cs="Times New Roman"/>
                            <w:sz w:val="22"/>
                            <w:szCs w:val="22"/>
                            <w:lang w:val="en-US"/>
                          </w:rPr>
                          <m:t>cr</m:t>
                        </m:r>
                        <m:r>
                          <w:rPr>
                            <w:rFonts w:ascii="Cambria Math" w:eastAsia="Cambria Math" w:hAnsi="Cambria Math" w:cs="Times New Roman"/>
                            <w:sz w:val="22"/>
                            <w:szCs w:val="22"/>
                            <w:lang w:val="en-US"/>
                          </w:rPr>
                          <m:t>.</m:t>
                        </m:r>
                      </m:sub>
                    </m:sSub>
                  </m:sub>
                </m:sSub>
                <m:r>
                  <w:rPr>
                    <w:rFonts w:ascii="Cambria Math" w:eastAsia="Cambria Math" w:hAnsi="Cambria Math" w:cs="Times New Roman"/>
                    <w:sz w:val="22"/>
                    <w:szCs w:val="22"/>
                    <w:lang w:val="en-US"/>
                  </w:rPr>
                  <m:t xml:space="preserve"> × </m:t>
                </m:r>
                <m:r>
                  <w:rPr>
                    <w:rFonts w:ascii="Cambria Math" w:eastAsia="Cambria Math" w:hAnsi="Cambria Math" w:cs="Times New Roman"/>
                    <w:sz w:val="22"/>
                    <w:szCs w:val="22"/>
                    <w:lang w:val="en-US"/>
                  </w:rPr>
                  <m:t>C</m:t>
                </m:r>
                <m:r>
                  <w:rPr>
                    <w:rFonts w:ascii="Cambria Math" w:eastAsia="Cambria Math" w:hAnsi="Cambria Math" w:cs="Times New Roman"/>
                    <w:sz w:val="22"/>
                    <w:szCs w:val="22"/>
                    <w:lang w:val="en-US"/>
                  </w:rPr>
                  <m:t>(</m:t>
                </m:r>
                <m:r>
                  <w:rPr>
                    <w:rFonts w:ascii="Cambria Math" w:eastAsia="Cambria Math" w:hAnsi="Cambria Math" w:cs="Times New Roman"/>
                    <w:sz w:val="22"/>
                    <w:szCs w:val="22"/>
                    <w:lang w:val="en-US"/>
                  </w:rPr>
                  <m:t>t</m:t>
                </m:r>
                <m:r>
                  <w:rPr>
                    <w:rFonts w:ascii="Cambria Math" w:eastAsia="Cambria Math" w:hAnsi="Cambria Math" w:cs="Times New Roman"/>
                    <w:sz w:val="22"/>
                    <w:szCs w:val="22"/>
                    <w:lang w:val="en-US"/>
                  </w:rPr>
                  <m:t>)</m:t>
                </m:r>
              </m:e>
            </m:d>
          </m:num>
          <m:den>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M</m:t>
                </m:r>
              </m:e>
              <m:sub>
                <m:r>
                  <w:rPr>
                    <w:rFonts w:ascii="Cambria Math" w:eastAsia="Cambria Math" w:hAnsi="Cambria Math" w:cs="Times New Roman"/>
                    <w:sz w:val="22"/>
                    <w:szCs w:val="22"/>
                    <w:lang w:val="en-US"/>
                  </w:rPr>
                  <m:t>UM</m:t>
                </m:r>
              </m:sub>
            </m:sSub>
          </m:den>
        </m:f>
      </m:oMath>
      <w:r w:rsidR="008120DE" w:rsidRPr="0084570B">
        <w:rPr>
          <w:rFonts w:ascii="Times New Roman" w:eastAsia="Cambria Math" w:hAnsi="Times New Roman" w:cs="Times New Roman"/>
          <w:sz w:val="22"/>
          <w:szCs w:val="22"/>
          <w:lang w:val="en-US"/>
        </w:rPr>
        <w:t xml:space="preserve">              </w:t>
      </w:r>
      <w:r w:rsidR="008120DE" w:rsidRPr="0084570B">
        <w:rPr>
          <w:rFonts w:ascii="Times New Roman" w:eastAsia="Times New Roman" w:hAnsi="Times New Roman" w:cs="Times New Roman"/>
          <w:sz w:val="22"/>
          <w:szCs w:val="22"/>
          <w:lang w:val="en-US"/>
        </w:rPr>
        <w:tab/>
        <w:t xml:space="preserve">    </w:t>
      </w:r>
      <w:r w:rsidR="00964453" w:rsidRPr="0084570B">
        <w:rPr>
          <w:rFonts w:ascii="Times New Roman" w:eastAsia="Times New Roman" w:hAnsi="Times New Roman" w:cs="Times New Roman"/>
          <w:sz w:val="22"/>
          <w:szCs w:val="22"/>
          <w:lang w:val="en-US"/>
        </w:rPr>
        <w:t xml:space="preserve">     (EQ. </w:t>
      </w:r>
      <w:r w:rsidR="00D47278">
        <w:rPr>
          <w:rFonts w:ascii="Times New Roman" w:eastAsia="Times New Roman" w:hAnsi="Times New Roman" w:cs="Times New Roman"/>
          <w:sz w:val="22"/>
          <w:szCs w:val="22"/>
          <w:lang w:val="en-US"/>
        </w:rPr>
        <w:t>S9</w:t>
      </w:r>
      <w:r w:rsidR="008120DE" w:rsidRPr="0084570B">
        <w:rPr>
          <w:rFonts w:ascii="Times New Roman" w:eastAsia="Times New Roman" w:hAnsi="Times New Roman" w:cs="Times New Roman"/>
          <w:sz w:val="22"/>
          <w:szCs w:val="22"/>
          <w:lang w:val="en-US"/>
        </w:rPr>
        <w:t>)</w:t>
      </w:r>
    </w:p>
    <w:p w14:paraId="2CFD6F1D" w14:textId="77777777"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w:p>
    <w:p w14:paraId="119C877A" w14:textId="0448F4C3"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Ucr</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is the observed fraction of U extracted into the crust in the modern Earth, and </w:t>
      </w:r>
      <w:r w:rsidRPr="0084570B">
        <w:rPr>
          <w:rFonts w:ascii="Times New Roman" w:eastAsia="Times New Roman" w:hAnsi="Times New Roman" w:cs="Times New Roman"/>
          <w:i/>
          <w:sz w:val="22"/>
          <w:szCs w:val="22"/>
          <w:lang w:val="en-US"/>
        </w:rPr>
        <w:t>M</w:t>
      </w:r>
      <w:r w:rsidRPr="0084570B">
        <w:rPr>
          <w:rFonts w:ascii="Times New Roman" w:eastAsia="Times New Roman" w:hAnsi="Times New Roman" w:cs="Times New Roman"/>
          <w:i/>
          <w:sz w:val="22"/>
          <w:szCs w:val="22"/>
          <w:vertAlign w:val="subscript"/>
          <w:lang w:val="en-US"/>
        </w:rPr>
        <w:t>UM</w:t>
      </w:r>
      <w:r w:rsidRPr="0084570B">
        <w:rPr>
          <w:rFonts w:ascii="Times New Roman" w:eastAsia="Times New Roman" w:hAnsi="Times New Roman" w:cs="Times New Roman"/>
          <w:sz w:val="22"/>
          <w:szCs w:val="22"/>
          <w:lang w:val="en-US"/>
        </w:rPr>
        <w:t xml:space="preserve"> is the mass of the convecting mantle. </w:t>
      </w:r>
      <w:r w:rsidRPr="0084570B">
        <w:rPr>
          <w:rFonts w:ascii="Times New Roman" w:eastAsia="Times New Roman" w:hAnsi="Times New Roman" w:cs="Times New Roman"/>
          <w:i/>
          <w:sz w:val="22"/>
          <w:szCs w:val="22"/>
          <w:lang w:val="en-US"/>
        </w:rPr>
        <w:t>[</w:t>
      </w:r>
      <w:r w:rsidRPr="0084570B">
        <w:rPr>
          <w:rFonts w:ascii="Times New Roman" w:eastAsia="Times New Roman" w:hAnsi="Times New Roman" w:cs="Times New Roman"/>
          <w:i/>
          <w:sz w:val="22"/>
          <w:szCs w:val="22"/>
          <w:vertAlign w:val="superscript"/>
          <w:lang w:val="en-US"/>
        </w:rPr>
        <w:t>244</w:t>
      </w:r>
      <w:r w:rsidRPr="0084570B">
        <w:rPr>
          <w:rFonts w:ascii="Times New Roman" w:eastAsia="Times New Roman" w:hAnsi="Times New Roman" w:cs="Times New Roman"/>
          <w:i/>
          <w:sz w:val="22"/>
          <w:szCs w:val="22"/>
          <w:lang w:val="en-US"/>
        </w:rPr>
        <w:t>Pu]</w:t>
      </w:r>
      <w:r w:rsidRPr="0084570B">
        <w:rPr>
          <w:rFonts w:ascii="Times New Roman" w:eastAsia="Times New Roman" w:hAnsi="Times New Roman" w:cs="Times New Roman"/>
          <w:i/>
          <w:sz w:val="22"/>
          <w:szCs w:val="22"/>
          <w:vertAlign w:val="subscript"/>
          <w:lang w:val="en-US"/>
        </w:rPr>
        <w:t>UM</w:t>
      </w:r>
      <w:r w:rsidRPr="0084570B">
        <w:rPr>
          <w:rFonts w:ascii="Times New Roman" w:eastAsia="Times New Roman" w:hAnsi="Times New Roman" w:cs="Times New Roman"/>
          <w:i/>
          <w:sz w:val="22"/>
          <w:szCs w:val="22"/>
          <w:lang w:val="en-US"/>
        </w:rPr>
        <w:t xml:space="preserve"> (t) </w:t>
      </w:r>
      <w:r w:rsidRPr="0084570B">
        <w:rPr>
          <w:rFonts w:ascii="Times New Roman" w:eastAsia="Times New Roman" w:hAnsi="Times New Roman" w:cs="Times New Roman"/>
          <w:sz w:val="22"/>
          <w:szCs w:val="22"/>
          <w:lang w:val="en-US"/>
        </w:rPr>
        <w:t>is calculated in the same fashion, assuming that U and Pu are extracted to the crust at similar rates</w:t>
      </w:r>
      <w:r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{"citationItems":[{"id":"ITEM-1","itemData":{"DOI":"10.1038/s41586-018-0388-4","ISSN":"14764687","PMID":"30089920","abstract":"The long-term exchange of volatile species (such as water, carbon, nitrogen and the noble gases) between deep Earth and surface reservoirs controls the habitability of the Earth’s surface. The present-day volatile budget of the mantle reflects the integrated history of outgassing and retention of primordial volatiles delivered to the planet during accretion, volatile species generated by radiogenic ingrowth and volatiles transported into the mantle from surface reservoirs over time. Variations in the distribution of volatiles between deep Earth and surface reservoirs affect the viscosity, cooling rate and convective stress state of the solid Earth. Accordingly, constraints on the flux of surface volatiles transported into the deep Earth improve our understanding of mantle convection and plate tectonics. However, the history of surface volatile regassing into the mantle is not known. Here we use mantle xenon isotope systematics to constrain the age of initiation of volatile regassing into the deep Earth. Given evidence of prolonged evolution of the xenon isotopic composition of the atmosphere1,2, we find that substantial recycling of atmospheric xenon into the deep Earth could not have occurred before 2.5 billion years ago. Xenon concentrations in downwellings remained low relative to ambient convecting mantle concentrations throughout the Archaean era, and the mantle shifted from a net degassing to a net regassing regime after 2.5 billion years ago. Because xenon is carried into the Earth’s interior in hydrous mineral phases3–5, our results indicate that downwellings were drier in the Archaean era relative to the present. Progressive drying of the Archean mantle would allow slower convection and decreased heat transport out of the mantle, suggesting non-monotonic thermal evolution of the Earth’s interior.","author":[{"dropping-particle":"","family":"Parai","given":"Rita","non-dropping-particle":"","parse-names":false,"suffix":""},{"dropping-particle":"","family":"Mukhopadhyay","given":"Sujoy","non-dropping-particle":"","parse-names":false,"suffix":""}],"container-title":"Nature","id":"ITEM-1","issue":"7717","issued":{"date-parts":[["2018"]]},"page":"223-227","publisher":"Springer US","title":"Xenon isotopic constraints on the history of volatile recycling into the mantle","type":"article-journal","volume":"560"},"uris":["http://www.mendeley.com/documents/?uuid=a65b0d61-7ce4-4660-af95-8e81ff7416b2"]}],"mendeley":{"formattedCitation":"&lt;sup&gt;11&lt;/sup&gt;","plainTextFormattedCitation":"11","previouslyFormattedCitation":"&lt;sup&gt;11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(i.e., no fractionation of U/Pu during magmatic processes).</w:t>
      </w:r>
    </w:p>
    <w:p w14:paraId="3D0601ED"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2A84BA30" w14:textId="77777777" w:rsidR="008120DE" w:rsidRPr="0084570B" w:rsidRDefault="008120DE" w:rsidP="008120DE">
      <w:pPr>
        <w:pStyle w:val="Normal1"/>
        <w:numPr>
          <w:ilvl w:val="0"/>
          <w:numId w:val="2"/>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Iodine evolution</w:t>
      </w:r>
    </w:p>
    <w:p w14:paraId="40E79C27" w14:textId="6577796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 xml:space="preserve">Terrestrial iodine abundances are poorly constrained compared to U, with estimates of modern abundance of stable </w:t>
      </w:r>
      <w:r w:rsidRPr="0084570B">
        <w:rPr>
          <w:rFonts w:ascii="Times New Roman" w:eastAsia="Times New Roman" w:hAnsi="Times New Roman" w:cs="Times New Roman"/>
          <w:sz w:val="22"/>
          <w:szCs w:val="22"/>
          <w:vertAlign w:val="superscript"/>
          <w:lang w:val="en-US"/>
        </w:rPr>
        <w:t>127</w:t>
      </w:r>
      <w:r w:rsidRPr="0084570B">
        <w:rPr>
          <w:rFonts w:ascii="Times New Roman" w:eastAsia="Times New Roman" w:hAnsi="Times New Roman" w:cs="Times New Roman"/>
          <w:sz w:val="22"/>
          <w:szCs w:val="22"/>
          <w:lang w:val="en-US"/>
        </w:rPr>
        <w:t>I ranging from 3.5 ppb up to 13 ppb</w:t>
      </w:r>
      <w:r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Déruelle","given":"Bernard","non-dropping-particle":"","parse-names":false,"suffix":""},{"dropping-particle":"","family":"Dreibus","given":"Gerlind","non-dropping-particle":"","parse-names":false,"suffix":""},{"dropping-particle":"","family":"Jambon","given":"Albert","non-dropping-particle":"","parse-names":false,"suffix":""}],"container-title":"Earth and Planetary Science Letters","id":"ITEM-1","issued":{"date-parts":[["1992"]]},"page":"217-227","title":"Iodine abundances in oceanic basalts : implications for Earth dynamics","type":"article-journal","volume":"108"},"uris":["http://www.mendeley.com/documents/?uuid=2a188f11-9401-4140-a8b4-d88d53123e47"]}],"mendeley":{"formattedCitation":"&lt;sup&gt;31&lt;/sup&gt;","plainTextFormattedCitation":"31","previouslyFormattedCitation":"&lt;sup&gt;31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{"citationItems":[{"id":"ITEM-1","itemData":{"DOI":"10.1016/j.epsl.2013.04.031","ISSN":"0012-821X","author":[{"dropping-particle":"","family":"Armytage","given":"Rosalind M G","non-dropping-particle":"","parse-names":false,"suffix":""},{"dropping-particle":"","family":"Jephcoat","given":"Andrew P","non-dropping-particle":"","parse-names":false,"suffix":""},{"dropping-particle":"","family":"Bouhifd","given":"M A","non-dropping-particle":"","parse-names":false,"suffix":""},{"dropping-particle":"","family":"Porcelli","given":"Donald","non-dropping-particle":"","parse-names":false,"suffix":""}],"container-title":"Earth and Planetary Science Letters","id":"ITEM-1","issued":{"date-parts":[["2013"]]},"page":"140-149","publisher":"Elsevier","title":"Metal – silicate partitioning of iodine at high pressures and temperatures : Implications for the Earth ' s core and 129 n Xe budgets","type":"article-journal","volume":"373"},"uris":["http://www.mendeley.com/documents/?uuid=c9bf0e30-cde3-434e-a2db-2f3edeedb0ca"]}],"mendeley":{"formattedCitation":"&lt;sup&gt;48&lt;/sup&gt;","plainTextFormattedCitation":"48","previouslyFormattedCitation":"&lt;sup&gt;48&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48</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author":[{"dropping-particle":"","family":"Wanke","given":"H","non-dropping-particle":"","parse-names":false,"suffix":""},{"dropping-particle":"","family":"Dreibus","given":"G","non-dropping-particle":"","parse-names":false,"suffix":""},{"dropping-particle":"","family":"Jagoutz","given":"E","non-dropping-particle":"","parse-names":false,"suffix":""}],"container-title":"Archaean geochemistry","id":"ITEM-1","issued":{"date-parts":[["1984"]]},"page":"1-24","title":"Mantle Chemistry and Accretion History of the Earth","type":"article-journal"},"uris":["http://www.mendeley.com/documents/?uuid=e8f23ff3-6844-48f7-9349-2bed8cf70cc7"]}],"mendeley":{"formattedCitation":"&lt;sup&gt;124&lt;/sup&gt;","plainTextFormattedCitation":"124","previouslyFormattedCitation":"&lt;sup&gt;124&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124</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author":[{"dropping-particle":"","family":"Burgess","given":"R","non-dropping-particle":"","parse-names":false,"suffix":""},{"dropping-particle":"","family":"Layzelle","given":"E","non-dropping-particle":"","parse-names":false,"suffix":""},{"dropping-particle":"","family":"Turner","given":"G","non-dropping-particle":"","parse-names":false,"suffix":""},{"dropping-particle":"","family":"Harris","given":"J W","non-dropping-particle":"","parse-names":false,"suffix":""}],"id":"ITEM-1","issued":{"date-parts":[["2002"]]},"page":"193-203","title":"Constraints on the age and halogen composition of mantle £ uids in Siberian coated diamonds","type":"article-journal","volume":"197"},"uris":["http://www.mendeley.com/documents/?uuid=a095a61e-1b17-4dff-b2fb-0f652dc22368"]}],"mendeley":{"formattedCitation":"&lt;sup&gt;125&lt;/sup&gt;","plainTextFormattedCitation":"125","previouslyFormattedCitation":"&lt;sup&gt;125&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125</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{"citationItems":[{"id":"ITEM-1","itemData":{"DOI":"10.1038/NGEO2902","author":[{"dropping-particle":"","family":"Kendrick","given":"Mark A.","non-dropping-particle":"","parse-names":false,"suffix":""},{"dropping-particle":"","family":"Hémond","given":"Christophe","non-dropping-particle":"","parse-names":false,"suffix":""},{"dropping-particle":"","family":"Kamenetsky","given":"Vadim S.","non-dropping-particle":"","parse-names":false,"suffix":""},{"dropping-particle":"V","family":"Danyushevsky","given":"Leonid","non-dropping-particle":"","parse-names":false,"suffix":""},{"dropping-particle":"","family":"Devey","given":"C. W.","non-dropping-particle":"","parse-names":false,"suffix":""},{"dropping-particle":"","family":"Rodemann","given":"T.","non-dropping-particle":"","parse-names":false,"suffix":""},{"dropping-particle":"","family":"Jackson","given":"M G","non-dropping-particle":"","parse-names":false,"suffix":""},{"dropping-particle":"","family":"Perfit","given":"M R","non-dropping-particle":"","parse-names":false,"suffix":""}],"container-title":"Nature Geoscience","id":"ITEM-1","issue":"3","issued":{"date-parts":[["2017"]]},"page":"222-228","title":"Seawater cycled throughout Earth’s mantle in partially serpentinized lithosphere","type":"article-journal","volume":"10"},"uris":["http://www.mendeley.com/documents/?uuid=82e8ae58-770a-4de6-b5a2-db6d9ce03924"]}],"mendeley":{"formattedCitation":"&lt;sup&gt;126&lt;/sup&gt;","plainTextFormattedCitation":"126","previouslyFormattedCitation":"&lt;sup&gt;126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The “time zero” of our model (4567 Myr ago) corresponds to the time when the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I/</w:t>
      </w:r>
      <w:r w:rsidRPr="0084570B">
        <w:rPr>
          <w:rFonts w:ascii="Times New Roman" w:eastAsia="Times New Roman" w:hAnsi="Times New Roman" w:cs="Times New Roman"/>
          <w:sz w:val="22"/>
          <w:szCs w:val="22"/>
          <w:vertAlign w:val="superscript"/>
          <w:lang w:val="en-US"/>
        </w:rPr>
        <w:t>127</w:t>
      </w:r>
      <w:r w:rsidRPr="0084570B">
        <w:rPr>
          <w:rFonts w:ascii="Times New Roman" w:eastAsia="Times New Roman" w:hAnsi="Times New Roman" w:cs="Times New Roman"/>
          <w:sz w:val="22"/>
          <w:szCs w:val="22"/>
          <w:lang w:val="en-US"/>
        </w:rPr>
        <w:t>I</w:t>
      </w:r>
      <w:r w:rsidRPr="0084570B">
        <w:rPr>
          <w:rFonts w:ascii="Times New Roman" w:eastAsia="Times New Roman" w:hAnsi="Times New Roman" w:cs="Times New Roman"/>
          <w:sz w:val="22"/>
          <w:szCs w:val="22"/>
          <w:vertAlign w:val="subscript"/>
          <w:lang w:val="en-US"/>
        </w:rPr>
        <w:t>init</w:t>
      </w:r>
      <w:r w:rsidRPr="0084570B">
        <w:rPr>
          <w:rFonts w:ascii="Times New Roman" w:eastAsia="Times New Roman" w:hAnsi="Times New Roman" w:cs="Times New Roman"/>
          <w:sz w:val="22"/>
          <w:szCs w:val="22"/>
          <w:lang w:val="en-US"/>
        </w:rPr>
        <w:t xml:space="preserve"> ratio in meteorites was equal to the accepted value of (1.19±0.20)×10</w:t>
      </w:r>
      <w:r w:rsidRPr="0084570B">
        <w:rPr>
          <w:rFonts w:ascii="Times New Roman" w:eastAsia="Gungsuh" w:hAnsi="Times New Roman" w:cs="Times New Roman"/>
          <w:sz w:val="22"/>
          <w:szCs w:val="22"/>
          <w:vertAlign w:val="superscript"/>
          <w:lang w:val="en-US"/>
        </w:rPr>
        <w:t>−4</w:t>
      </w:r>
      <w:r w:rsidRPr="0084570B">
        <w:rPr>
          <w:rFonts w:ascii="Times New Roman" w:eastAsia="Times New Roman" w:hAnsi="Times New Roman" w:cs="Times New Roman"/>
          <w:sz w:val="22"/>
          <w:szCs w:val="22"/>
          <w:lang w:val="en-US"/>
        </w:rPr>
        <w:t xml:space="preserve"> (ref </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{"citationItems":[{"id":"ITEM-1","itemData":{"DOI":"10.1146/annurev-earth-040610-133428","ISSN":"00846597","abstract":"Meteorites, which are remnants of solar system formation, provide a direct glimpse into the dynamics and evolution of a young stellar object (YSO), namely our Sun. Much of our knowledge about the astrophysical context of the birth of the Sun, the chronology of planetary growth from micrometer-sized dust to terrestrial planets, and the activity of the young Sun comes from the study of extinct radionuclides such as 26Al (t1/2=0.717 Myr). Here we review how the signatures of extinct radionuclides (short-lived isotopes that were present when the solar system formed and that have now decayed below detection level) in planetary materials influence the current paradigm of solar system formation. Particular attention is given to tying meteorite measurements to remote astronomical observations of YSOs and modeling efforts. Some extinct radionuclides were inherited from the long-term chemical evolution of the Galaxy, others were injected into the solar system by a nearby supernova, and some were produced by particle irradiation from the T-Tauri Sun. The chronology inferred from extinct radionuclides reveals that dust agglomeration to form centimeter-sized particles in the inner part of the disk was very rapid (&lt;50 kyr), planetesimal formation started early and spanned several million years, planetary embryos (possibly like Mars) were formed in a few million years, and terrestrial planets (like Earth) completed their growths several tens of million years after the birth of the Sun. Copyright © 2011 by Annual Reviews. All rights reserved.","author":[{"dropping-particle":"","family":"Dauphas","given":"Nicolas","non-dropping-particle":"","parse-names":false,"suffix":""},{"dropping-particle":"","family":"Chaussidon","given":"Marc","non-dropping-particle":"","parse-names":false,"suffix":""}],"container-title":"Annual Review of Earth and Planetary Sciences","id":"ITEM-1","issued":{"date-parts":[["2011"]]},"page":"351-386","title":"A perspective from extinct radionuclides on a young stellar object: The sun and its accretion disk","type":"article-journal","volume":"39"},"uris":["http://www.mendeley.com/documents/?uuid=828bdd96-1600-4224-9002-42176277a2ed"]}],"mendeley":{"formattedCitation":"&lt;sup&gt;127&lt;/sup&gt;","plainTextFormattedCitation":"127","previouslyFormattedCitation":"&lt;sup&gt;127&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127</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As this initial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 xml:space="preserve">I abundance is a sensitive parameter in our models we will consider a range of possible values encompassing the literature estimates. </w:t>
      </w:r>
      <w:r w:rsidRPr="0084570B">
        <w:rPr>
          <w:rFonts w:ascii="Times New Roman" w:eastAsia="Times New Roman" w:hAnsi="Times New Roman" w:cs="Times New Roman"/>
          <w:i/>
          <w:sz w:val="22"/>
          <w:szCs w:val="22"/>
          <w:lang w:val="en-US"/>
        </w:rPr>
        <w:t>[</w:t>
      </w:r>
      <w:r w:rsidRPr="0084570B">
        <w:rPr>
          <w:rFonts w:ascii="Times New Roman" w:eastAsia="Times New Roman" w:hAnsi="Times New Roman" w:cs="Times New Roman"/>
          <w:i/>
          <w:sz w:val="22"/>
          <w:szCs w:val="22"/>
          <w:vertAlign w:val="superscript"/>
          <w:lang w:val="en-US"/>
        </w:rPr>
        <w:t>129</w:t>
      </w:r>
      <w:r w:rsidRPr="0084570B">
        <w:rPr>
          <w:rFonts w:ascii="Times New Roman" w:eastAsia="Times New Roman" w:hAnsi="Times New Roman" w:cs="Times New Roman"/>
          <w:i/>
          <w:sz w:val="22"/>
          <w:szCs w:val="22"/>
          <w:lang w:val="en-US"/>
        </w:rPr>
        <w:t>I]</w:t>
      </w:r>
      <w:r w:rsidRPr="0084570B">
        <w:rPr>
          <w:rFonts w:ascii="Times New Roman" w:eastAsia="Times New Roman" w:hAnsi="Times New Roman" w:cs="Times New Roman"/>
          <w:i/>
          <w:sz w:val="22"/>
          <w:szCs w:val="22"/>
          <w:vertAlign w:val="subscript"/>
          <w:lang w:val="en-US"/>
        </w:rPr>
        <w:t>m</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is calculated similarly to </w:t>
      </w:r>
      <w:r w:rsidRPr="0084570B">
        <w:rPr>
          <w:rFonts w:ascii="Times New Roman" w:eastAsia="Times New Roman" w:hAnsi="Times New Roman" w:cs="Times New Roman"/>
          <w:i/>
          <w:sz w:val="22"/>
          <w:szCs w:val="22"/>
          <w:lang w:val="en-US"/>
        </w:rPr>
        <w:t>[</w:t>
      </w:r>
      <w:r w:rsidRPr="0084570B">
        <w:rPr>
          <w:rFonts w:ascii="Times New Roman" w:eastAsia="Times New Roman" w:hAnsi="Times New Roman" w:cs="Times New Roman"/>
          <w:i/>
          <w:sz w:val="22"/>
          <w:szCs w:val="22"/>
          <w:vertAlign w:val="superscript"/>
          <w:lang w:val="en-US"/>
        </w:rPr>
        <w:t>238</w:t>
      </w:r>
      <w:r w:rsidRPr="0084570B">
        <w:rPr>
          <w:rFonts w:ascii="Times New Roman" w:eastAsia="Times New Roman" w:hAnsi="Times New Roman" w:cs="Times New Roman"/>
          <w:i/>
          <w:sz w:val="22"/>
          <w:szCs w:val="22"/>
          <w:lang w:val="en-US"/>
        </w:rPr>
        <w:t>U]</w:t>
      </w:r>
      <w:r w:rsidRPr="0084570B">
        <w:rPr>
          <w:rFonts w:ascii="Times New Roman" w:eastAsia="Times New Roman" w:hAnsi="Times New Roman" w:cs="Times New Roman"/>
          <w:i/>
          <w:sz w:val="22"/>
          <w:szCs w:val="22"/>
          <w:vertAlign w:val="subscript"/>
          <w:lang w:val="en-US"/>
        </w:rPr>
        <w:t>m</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in the above section, although with a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Icr</w:t>
      </w:r>
      <w:r w:rsidRPr="0084570B">
        <w:rPr>
          <w:rFonts w:ascii="Times New Roman" w:eastAsia="Times New Roman" w:hAnsi="Times New Roman" w:cs="Times New Roman"/>
          <w:sz w:val="22"/>
          <w:szCs w:val="22"/>
          <w:lang w:val="en-US"/>
        </w:rPr>
        <w:t xml:space="preserve"> (the fraction of I extracted into the crust in the modern Earth) of 80%</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{"citationItems":[{"id":"ITEM-1","itemData":{"DOI":"10.1038/NGEO2902","author":[{"dropping-particle":"","family":"Kendrick","given":"Mark A.","non-dropping-particle":"","parse-names":false,"suffix":""},{"dropping-particle":"","family":"Hémond","given":"Christophe","non-dropping-particle":"","parse-names":false,"suffix":""},{"dropping-particle":"","family":"Kamenetsky","given":"Vadim S.","non-dropping-particle":"","parse-names":false,"suffix":""},{"dropping-particle":"V","family":"Danyushevsky","given":"Leonid","non-dropping-particle":"","parse-names":false,"suffix":""},{"dropping-particle":"","family":"Devey","given":"C. W.","non-dropping-particle":"","parse-names":false,"suffix":""},{"dropping-particle":"","family":"Rodemann","given":"T.","non-dropping-particle":"","parse-names":false,"suffix":""},{"dropping-particle":"","family":"Jackson","given":"M G","non-dropping-particle":"","parse-names":false,"suffix":""},{"dropping-particle":"","family":"Perfit","given":"M R","non-dropping-particle":"","parse-names":false,"suffix":""}],"container-title":"Nature Geoscience","id":"ITEM-1","issue":"3","issued":{"date-parts":[["2017"]]},"page":"222-228","title":"Seawater cycled throughout Earth’s mantle in partially serpentinized lithosphere","type":"article-journal","volume":"10"},"uris":["http://www.mendeley.com/documents/?uuid=82e8ae58-770a-4de6-b5a2-db6d9ce03924"]}],"mendeley":{"formattedCitation":"&lt;sup&gt;126&lt;/sup&gt;","plainTextFormattedCitation":"126","previouslyFormattedCitation":"&lt;sup&gt;126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xml:space="preserve"> reflecting the greater extent of I extraction from the mantle compared to U. Notably, crustal extraction is much less significant for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I evolution as its shorter half-life means that it has mostly decayed by the time that crustal growth has progressed significantly.</w:t>
      </w:r>
    </w:p>
    <w:p w14:paraId="105E6068" w14:textId="77777777" w:rsidR="008120DE" w:rsidRPr="0084570B" w:rsidRDefault="008120DE" w:rsidP="008120DE">
      <w:pPr>
        <w:pStyle w:val="Normal1"/>
        <w:spacing w:line="360" w:lineRule="auto"/>
        <w:jc w:val="both"/>
        <w:rPr>
          <w:rFonts w:ascii="Times New Roman" w:eastAsia="Times New Roman" w:hAnsi="Times New Roman" w:cs="Times New Roman"/>
          <w:b/>
          <w:sz w:val="22"/>
          <w:szCs w:val="22"/>
          <w:lang w:val="en-US"/>
        </w:rPr>
      </w:pPr>
    </w:p>
    <w:p w14:paraId="0FA54043" w14:textId="77777777" w:rsidR="008120DE" w:rsidRPr="0084570B" w:rsidRDefault="008120DE" w:rsidP="008120DE">
      <w:pPr>
        <w:pStyle w:val="Normal1"/>
        <w:numPr>
          <w:ilvl w:val="0"/>
          <w:numId w:val="2"/>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Giant impact scenarios</w:t>
      </w:r>
    </w:p>
    <w:p w14:paraId="5EA6A820" w14:textId="7CD016EF"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ab/>
      </w:r>
      <w:r w:rsidRPr="0084570B">
        <w:rPr>
          <w:rFonts w:ascii="Times New Roman" w:eastAsia="Times New Roman" w:hAnsi="Times New Roman" w:cs="Times New Roman"/>
          <w:sz w:val="22"/>
          <w:szCs w:val="22"/>
          <w:lang w:val="en-US"/>
        </w:rPr>
        <w:t xml:space="preserve"> The assumption that Earth's degassing history evolves in a secular fashion following a simple linear or exponential trajectory is likely an oversimplification. It is possible, and even likely, that larger, discrete degassing events punctuated a gradual decline in the background degassing rate of the mantle. These events may have been caused by giant impacts, magma ocean events, or changes in the rate of volcanism. We can simulate the effect of such an event within our model by artificially imposing a higher rate of degassing for a brief period. We consider a giant impact event the most likely candidate for such a discrete degassing event and as such we implement a range of possible scenarios in the model to approximat</w:t>
      </w:r>
      <w:r w:rsidR="006C5866" w:rsidRPr="0084570B">
        <w:rPr>
          <w:rFonts w:ascii="Times New Roman" w:eastAsia="Times New Roman" w:hAnsi="Times New Roman" w:cs="Times New Roman"/>
          <w:sz w:val="22"/>
          <w:szCs w:val="22"/>
          <w:lang w:val="en-US"/>
        </w:rPr>
        <w:t>e the effects of a giant impact-</w:t>
      </w:r>
      <w:r w:rsidRPr="0084570B">
        <w:rPr>
          <w:rFonts w:ascii="Times New Roman" w:eastAsia="Times New Roman" w:hAnsi="Times New Roman" w:cs="Times New Roman"/>
          <w:sz w:val="22"/>
          <w:szCs w:val="22"/>
          <w:lang w:val="en-US"/>
        </w:rPr>
        <w:t>induced degassing event. For the sake of simplicity, we consider that enhanced degassing takes place for 10 Myr, which corresponds to the maximum time for whole magma ocean solidification (i.e., the time necessary for the solidification f</w:t>
      </w:r>
      <w:r w:rsidR="006C5866" w:rsidRPr="0084570B">
        <w:rPr>
          <w:rFonts w:ascii="Times New Roman" w:eastAsia="Times New Roman" w:hAnsi="Times New Roman" w:cs="Times New Roman"/>
          <w:sz w:val="22"/>
          <w:szCs w:val="22"/>
          <w:lang w:val="en-US"/>
        </w:rPr>
        <w:t>ront to propagate from the core-</w:t>
      </w:r>
      <w:r w:rsidRPr="0084570B">
        <w:rPr>
          <w:rFonts w:ascii="Times New Roman" w:eastAsia="Times New Roman" w:hAnsi="Times New Roman" w:cs="Times New Roman"/>
          <w:sz w:val="22"/>
          <w:szCs w:val="22"/>
          <w:lang w:val="en-US"/>
        </w:rPr>
        <w:t>mantle boundary to the surface</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author":[{"dropping-particle":"","family":"Maurice","given":"Maxime","non-dropping-particle":"","parse-names":false,"suffix":""},{"dropping-particle":"","family":"Breuer","given":"Doris","non-dropping-particle":"","parse-names":false,"suffix":""},{"dropping-particle":"","family":"Tosi","given":"Nicola","non-dropping-particle":"","parse-names":false,"suffix":""},{"dropping-particle":"","family":"Samuel","given":"Henri","non-dropping-particle":"","parse-names":false,"suffix":""},{"dropping-particle":"","family":"Plesa","given":"Ana-catalina","non-dropping-particle":"","parse-names":false,"suffix":""},{"dropping-particle":"","family":"Hüttig","given":"Christian","non-dropping-particle":"","parse-names":false,"suffix":""}],"container-title":"Journal of Geophysical Research: Planets","id":"ITEM-1","issue":"3","issued":{"date-parts":[["2017"]]},"page":"577-598","title":"Onset of solid-state mantle convection and mixing during magma ocean solidification","type":"article-journal","volume":"122"},"uris":["http://www.mendeley.com/documents/?uuid=c5016845-0195-4584-91c4-b3e5e4e362eb"]}],"mendeley":{"formattedCitation":"&lt;sup&gt;128&lt;/sup&gt;","plainTextFormattedCitation":"128","previouslyFormattedCitation":"&lt;sup&gt;128&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128</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This value is representative of relatively long-lived magma oceans whose crystallization is slowed down by the blanketing effect of a growing H</w:t>
      </w:r>
      <w:r w:rsidRPr="0084570B">
        <w:rPr>
          <w:rFonts w:ascii="Times New Roman" w:eastAsia="Times New Roman" w:hAnsi="Times New Roman" w:cs="Times New Roman"/>
          <w:sz w:val="22"/>
          <w:szCs w:val="22"/>
          <w:vertAlign w:val="subscript"/>
          <w:lang w:val="en-US"/>
        </w:rPr>
        <w:t>2</w:t>
      </w:r>
      <w:r w:rsidRPr="0084570B">
        <w:rPr>
          <w:rFonts w:ascii="Times New Roman" w:eastAsia="Times New Roman" w:hAnsi="Times New Roman" w:cs="Times New Roman"/>
          <w:sz w:val="22"/>
          <w:szCs w:val="22"/>
          <w:lang w:val="en-US"/>
        </w:rPr>
        <w:t>O-CO</w:t>
      </w:r>
      <w:r w:rsidRPr="0084570B">
        <w:rPr>
          <w:rFonts w:ascii="Times New Roman" w:eastAsia="Times New Roman" w:hAnsi="Times New Roman" w:cs="Times New Roman"/>
          <w:sz w:val="22"/>
          <w:szCs w:val="22"/>
          <w:vertAlign w:val="subscript"/>
          <w:lang w:val="en-US"/>
        </w:rPr>
        <w:t>2</w:t>
      </w:r>
      <w:r w:rsidRPr="0084570B">
        <w:rPr>
          <w:rFonts w:ascii="Times New Roman" w:eastAsia="Times New Roman" w:hAnsi="Times New Roman" w:cs="Times New Roman"/>
          <w:sz w:val="22"/>
          <w:szCs w:val="22"/>
          <w:lang w:val="en-US"/>
        </w:rPr>
        <w:t xml:space="preserve"> atmosphere generated upon degassing of greenhouse volatiles</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author":[{"dropping-particle":"","family":"Abe","given":"Yutaka","non-dropping-particle":"","parse-names":false,"suffix":""}],"container-title":"Lithos","id":"ITEM-1","issued":{"date-parts":[["1993"]]},"page":"223-235","title":"Physical state of the very early Earth","type":"article-journal","volume":"30"},"uris":["http://www.mendeley.com/documents/?uuid=f7edaec1-4594-487c-b547-303f5b055830"]}],"mendeley":{"formattedCitation":"&lt;sup&gt;129&lt;/sup&gt;","plainTextFormattedCitation":"129","previouslyFormattedCitation":"&lt;sup&gt;129&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129</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10.1038/nature12163","ISSN":"0028-0836","author":[{"dropping-particle":"","family":"Hamano","given":"Keiko","non-dropping-particle":"","parse-names":false,"suffix":""},{"dropping-particle":"","family":"Abe","given":"Yutaka","non-dropping-particle":"","parse-names":false,"suffix":""},{"dropping-particle":"","family":"Genda","given":"Hidenori","non-dropping-particle":"","parse-names":false,"suffix":""}],"container-title":"Nature","id":"ITEM-1","issue":"7451","issued":{"date-parts":[["0"]]},"page":"607-610","publisher":"Nature Publishing Group","title":"Emergence of two types of terrestrial planet on solidification of magma ocean","type":"article-journal","volume":"497"},"uris":["http://www.mendeley.com/documents/?uuid=21a436de-0e02-4234-94ca-193b2433d0d0"]}],"mendeley":{"formattedCitation":"&lt;sup&gt;130&lt;/sup&gt;","plainTextFormattedCitation":"130","previouslyFormattedCitation":"&lt;sup&gt;130&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130</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vertAlign w:val="superscript"/>
          <w:lang w:val="en-US"/>
        </w:rPr>
        <w: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10.1002/jgre.20068","author":[{"dropping-particle":"","family":"Lebrun","given":"T","non-dropping-particle":"","parse-names":false,"suffix":""},{"dropping-particle":"","family":"Massol","given":"H","non-dropping-particle":"","parse-names":false,"suffix":""},{"dropping-particle":"","family":"Chassefière","given":"E","non-dropping-particle":"","parse-names":false,"suffix":""},{"dropping-particle":"","family":"Davaille","given":"A","non-dropping-particle":"","parse-names":false,"suffix":""},{"dropping-particle":"","family":"Marcq","given":"E","non-dropping-particle":"","parse-names":false,"suffix":""},{"dropping-particle":"","family":"Sarda","given":"P","non-dropping-particle":"","parse-names":false,"suffix":""},{"dropping-particle":"","family":"Leblanc","given":"F","non-dropping-particle":"","parse-names":false,"suffix":""}],"id":"ITEM-1","issued":{"date-parts":[["2013"]]},"page":"1155-1176","title":"Thermal evolution of an early magma ocean in interaction with the atmosphere","type":"article-journal","volume":"118"},"uris":["http://www.mendeley.com/documents/?uuid=271537f7-9111-4b63-b97a-712e67c41477"]}],"mendeley":{"formattedCitation":"&lt;sup&gt;131&lt;/sup&gt;","plainTextFormattedCitation":"131","previouslyFormattedCitation":"&lt;sup&gt;131&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131</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We then consider a range of start dates from 20 Myr up to 120 Myr (in 10 Myr increments), bracketing the reasonable time range for the moon-forming impact</w:t>
      </w:r>
      <w:r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{"citationItems":[{"id":"ITEM-1","itemData":{"DOI":"10.1007/s11214-020-00729-z","ISSN":"0038-6308","author":[{"dropping-particle":"","family":"Lock","given":"Simon J.","non-dropping-particle":"","parse-names":false,"suffix":""},{"dropping-particle":"","family":"Bermingham","given":"Katherine R.","non-dropping-particle":"","parse-names":false,"suffix":""},{"dropping-particle":"","family":"Parai","given":"Rita","non-dropping-particle":"","parse-names":false,"suffix":""},{"dropping-particle":"","family":"Boyet","given":"Maud","non-dropping-particle":"","parse-names":false,"suffix":""}],"container-title":"Space Science Reviews","id":"ITEM-1","issue":"6","issued":{"date-parts":[["2020","9","10"]]},"page":"109","title":"Geochemical Constraints on the Origin of the Moon and Preservation of Ancient Terrestrial Heterogeneities","type":"article-journal","volume":"216"},"uris":["http://www.mendeley.com/documents/?uuid=1f980058-7025-4c9d-99bc-6db0f6b4e32a"]}],"mendeley":{"formattedCitation":"&lt;sup&gt;132&lt;/sup&gt;","plainTextFormattedCitation":"132","previouslyFormattedCitation":"&lt;sup&gt;132&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132</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and a range of degassing intensities (D) from 2%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to 40%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(in increments of 2%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Because the timescale of giant impact-induced global degassing events is small (&lt;10 Myr) compared to the timescale of radiogenic and fissiogenic </w:t>
      </w:r>
      <w:r w:rsidR="006C5866" w:rsidRPr="0084570B">
        <w:rPr>
          <w:rFonts w:ascii="Times New Roman" w:eastAsia="Times New Roman" w:hAnsi="Times New Roman" w:cs="Times New Roman"/>
          <w:sz w:val="22"/>
          <w:szCs w:val="22"/>
          <w:lang w:val="en-US"/>
        </w:rPr>
        <w:lastRenderedPageBreak/>
        <w:t xml:space="preserve">Xe </w:t>
      </w:r>
      <w:r w:rsidRPr="0084570B">
        <w:rPr>
          <w:rFonts w:ascii="Times New Roman" w:eastAsia="Times New Roman" w:hAnsi="Times New Roman" w:cs="Times New Roman"/>
          <w:sz w:val="22"/>
          <w:szCs w:val="22"/>
          <w:lang w:val="en-US"/>
        </w:rPr>
        <w:t>evolution, considering shorter durations of magma ocean degassing (e.g., 1 Myr) would require proportionally higher degassing intensities (e.g., 89%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for a 1 Myr-long magma ocean, instead of a 20%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degassing rate for a 10 Myr-long magma ocean) to give the same final mantle composition. This relationship can be written as: </w:t>
      </w:r>
    </w:p>
    <w:p w14:paraId="59242866" w14:textId="77777777" w:rsidR="00832649" w:rsidRPr="0084570B" w:rsidRDefault="00832649" w:rsidP="008120DE">
      <w:pPr>
        <w:pStyle w:val="Normal1"/>
        <w:spacing w:line="360" w:lineRule="auto"/>
        <w:jc w:val="both"/>
        <w:rPr>
          <w:rFonts w:ascii="Times New Roman" w:eastAsia="Times New Roman" w:hAnsi="Times New Roman" w:cs="Times New Roman"/>
          <w:sz w:val="8"/>
          <w:szCs w:val="8"/>
          <w:lang w:val="en-US"/>
        </w:rPr>
      </w:pPr>
    </w:p>
    <w:p w14:paraId="3A8CC824" w14:textId="43BDAB9F" w:rsidR="008120DE" w:rsidRPr="0084570B" w:rsidRDefault="008549F7" w:rsidP="008120DE">
      <w:pPr>
        <w:pStyle w:val="Normal1"/>
        <w:spacing w:line="360" w:lineRule="auto"/>
        <w:jc w:val="right"/>
        <w:rPr>
          <w:rFonts w:ascii="Times New Roman" w:eastAsia="Times New Roman" w:hAnsi="Times New Roman" w:cs="Times New Roman"/>
          <w:sz w:val="22"/>
          <w:szCs w:val="22"/>
          <w:lang w:val="en-US"/>
        </w:rPr>
      </w:pPr>
      <m:oMath>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D</m:t>
            </m:r>
          </m:e>
          <m:sub>
            <m:r>
              <w:rPr>
                <w:rFonts w:ascii="Cambria Math" w:eastAsia="Cambria Math" w:hAnsi="Cambria Math" w:cs="Times New Roman"/>
                <w:sz w:val="22"/>
                <w:szCs w:val="22"/>
                <w:lang w:val="en-US"/>
              </w:rPr>
              <m:t>n</m:t>
            </m:r>
          </m:sub>
        </m:sSub>
        <m:r>
          <w:rPr>
            <w:rFonts w:ascii="Cambria Math" w:eastAsia="Cambria Math" w:hAnsi="Cambria Math" w:cs="Times New Roman"/>
            <w:sz w:val="22"/>
            <w:szCs w:val="22"/>
            <w:lang w:val="en-US"/>
          </w:rPr>
          <m:t xml:space="preserve"> = 1- </m:t>
        </m:r>
        <m:sSup>
          <m:sSupPr>
            <m:ctrlPr>
              <w:rPr>
                <w:rFonts w:ascii="Cambria Math" w:eastAsia="Cambria Math" w:hAnsi="Cambria Math" w:cs="Times New Roman"/>
                <w:sz w:val="22"/>
                <w:szCs w:val="22"/>
                <w:lang w:val="en-US"/>
              </w:rPr>
            </m:ctrlPr>
          </m:sSupPr>
          <m:e>
            <m:r>
              <w:rPr>
                <w:rFonts w:ascii="Cambria Math" w:eastAsia="Cambria Math" w:hAnsi="Cambria Math" w:cs="Times New Roman"/>
                <w:sz w:val="22"/>
                <w:szCs w:val="22"/>
                <w:lang w:val="en-US"/>
              </w:rPr>
              <m:t>(1-</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D</m:t>
                </m:r>
              </m:e>
              <m:sub>
                <m:r>
                  <w:rPr>
                    <w:rFonts w:ascii="Cambria Math" w:eastAsia="Cambria Math" w:hAnsi="Cambria Math" w:cs="Times New Roman"/>
                    <w:sz w:val="22"/>
                    <w:szCs w:val="22"/>
                    <w:lang w:val="en-US"/>
                  </w:rPr>
                  <m:t>10</m:t>
                </m:r>
              </m:sub>
            </m:sSub>
            <m:r>
              <w:rPr>
                <w:rFonts w:ascii="Cambria Math" w:eastAsia="Cambria Math" w:hAnsi="Cambria Math" w:cs="Times New Roman"/>
                <w:sz w:val="22"/>
                <w:szCs w:val="22"/>
                <w:lang w:val="en-US"/>
              </w:rPr>
              <m:t>)</m:t>
            </m:r>
          </m:e>
          <m:sup>
            <m:r>
              <w:rPr>
                <w:rFonts w:ascii="Cambria Math" w:eastAsia="Cambria Math" w:hAnsi="Cambria Math" w:cs="Times New Roman"/>
                <w:sz w:val="22"/>
                <w:szCs w:val="22"/>
                <w:lang w:val="en-US"/>
              </w:rPr>
              <m:t>10/</m:t>
            </m:r>
            <m:r>
              <w:rPr>
                <w:rFonts w:ascii="Cambria Math" w:eastAsia="Cambria Math" w:hAnsi="Cambria Math" w:cs="Times New Roman"/>
                <w:sz w:val="22"/>
                <w:szCs w:val="22"/>
                <w:lang w:val="en-US"/>
              </w:rPr>
              <m:t>n</m:t>
            </m:r>
          </m:sup>
        </m:sSup>
      </m:oMath>
      <w:r w:rsidR="00D47278">
        <w:rPr>
          <w:rFonts w:ascii="Times New Roman" w:eastAsia="Times New Roman" w:hAnsi="Times New Roman" w:cs="Times New Roman"/>
          <w:sz w:val="22"/>
          <w:szCs w:val="22"/>
          <w:lang w:val="en-US"/>
        </w:rPr>
        <w:t xml:space="preserve">     </w:t>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t xml:space="preserve">    (EQ. S10</w:t>
      </w:r>
      <w:r w:rsidR="008120DE" w:rsidRPr="0084570B">
        <w:rPr>
          <w:rFonts w:ascii="Times New Roman" w:eastAsia="Times New Roman" w:hAnsi="Times New Roman" w:cs="Times New Roman"/>
          <w:sz w:val="22"/>
          <w:szCs w:val="22"/>
          <w:lang w:val="en-US"/>
        </w:rPr>
        <w:t>)</w:t>
      </w:r>
    </w:p>
    <w:p w14:paraId="049EBF79" w14:textId="77777777" w:rsidR="00832649" w:rsidRPr="0084570B" w:rsidRDefault="00832649" w:rsidP="008120DE">
      <w:pPr>
        <w:pStyle w:val="Normal1"/>
        <w:spacing w:line="360" w:lineRule="auto"/>
        <w:jc w:val="right"/>
        <w:rPr>
          <w:rFonts w:ascii="Times New Roman" w:eastAsia="Times New Roman" w:hAnsi="Times New Roman" w:cs="Times New Roman"/>
          <w:sz w:val="8"/>
          <w:szCs w:val="8"/>
          <w:lang w:val="en-US"/>
        </w:rPr>
      </w:pPr>
    </w:p>
    <w:p w14:paraId="45E6D1DD"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n is the target duration of the magma ocean degassing episode (Myr), and </w:t>
      </w:r>
      <m:oMath>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D</m:t>
            </m:r>
          </m:e>
          <m:sub>
            <m:r>
              <w:rPr>
                <w:rFonts w:ascii="Cambria Math" w:eastAsia="Cambria Math" w:hAnsi="Cambria Math" w:cs="Times New Roman"/>
                <w:sz w:val="22"/>
                <w:szCs w:val="22"/>
                <w:lang w:val="en-US"/>
              </w:rPr>
              <m:t>n</m:t>
            </m:r>
          </m:sub>
        </m:sSub>
      </m:oMath>
      <w:r w:rsidRPr="0084570B">
        <w:rPr>
          <w:rFonts w:ascii="Times New Roman" w:eastAsia="Cambria Math" w:hAnsi="Times New Roman" w:cs="Times New Roman"/>
          <w:sz w:val="22"/>
          <w:szCs w:val="22"/>
          <w:lang w:val="en-US"/>
        </w:rPr>
        <w:t xml:space="preserve"> and </w:t>
      </w:r>
      <m:oMath>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D</m:t>
            </m:r>
          </m:e>
          <m:sub>
            <m:r>
              <w:rPr>
                <w:rFonts w:ascii="Cambria Math" w:eastAsia="Cambria Math" w:hAnsi="Cambria Math" w:cs="Times New Roman"/>
                <w:sz w:val="22"/>
                <w:szCs w:val="22"/>
                <w:lang w:val="en-US"/>
              </w:rPr>
              <m:t>10</m:t>
            </m:r>
          </m:sub>
        </m:sSub>
      </m:oMath>
      <w:r w:rsidRPr="0084570B">
        <w:rPr>
          <w:rFonts w:ascii="Times New Roman" w:eastAsia="Cambria Math" w:hAnsi="Times New Roman" w:cs="Times New Roman"/>
          <w:sz w:val="22"/>
          <w:szCs w:val="22"/>
          <w:lang w:val="en-US"/>
        </w:rPr>
        <w:t xml:space="preserve"> are the </w:t>
      </w:r>
      <w:r w:rsidRPr="0084570B">
        <w:rPr>
          <w:rFonts w:ascii="Times New Roman" w:eastAsia="Times New Roman" w:hAnsi="Times New Roman" w:cs="Times New Roman"/>
          <w:sz w:val="22"/>
          <w:szCs w:val="22"/>
          <w:lang w:val="en-US"/>
        </w:rPr>
        <w:t>degassing intensities (%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for n Myr and 10 Myr of magma ocean duration, respectively.</w:t>
      </w:r>
    </w:p>
    <w:p w14:paraId="430DDB62"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05A61F1D" w14:textId="77777777" w:rsidR="008120DE" w:rsidRPr="0084570B" w:rsidRDefault="008120DE" w:rsidP="008120DE">
      <w:pPr>
        <w:rPr>
          <w:rFonts w:ascii="Times New Roman" w:eastAsia="Times New Roman" w:hAnsi="Times New Roman" w:cs="Times New Roman"/>
          <w:sz w:val="22"/>
          <w:szCs w:val="22"/>
          <w:lang w:val="en-US"/>
        </w:rPr>
      </w:pPr>
    </w:p>
    <w:p w14:paraId="51044D36" w14:textId="77777777" w:rsidR="008120DE" w:rsidRPr="0084570B" w:rsidRDefault="008120DE" w:rsidP="008120DE">
      <w:pPr>
        <w:pStyle w:val="Normal1"/>
        <w:spacing w:line="360" w:lineRule="auto"/>
        <w:rPr>
          <w:rFonts w:ascii="Times New Roman" w:eastAsia="Times New Roman" w:hAnsi="Times New Roman" w:cs="Times New Roman"/>
          <w:b/>
          <w:szCs w:val="22"/>
          <w:lang w:val="en-US"/>
        </w:rPr>
      </w:pPr>
      <w:bookmarkStart w:id="8" w:name="_1y076pt9xatg" w:colFirst="0" w:colLast="0"/>
      <w:bookmarkStart w:id="9" w:name="_7pa04sp0608j" w:colFirst="0" w:colLast="0"/>
      <w:bookmarkEnd w:id="8"/>
      <w:bookmarkEnd w:id="9"/>
      <w:r w:rsidRPr="0084570B">
        <w:rPr>
          <w:rFonts w:ascii="Times New Roman" w:eastAsia="Times New Roman" w:hAnsi="Times New Roman" w:cs="Times New Roman"/>
          <w:b/>
          <w:szCs w:val="22"/>
          <w:lang w:val="en-US"/>
        </w:rPr>
        <w:t>B) Running the model</w:t>
      </w:r>
    </w:p>
    <w:p w14:paraId="2D12FADE" w14:textId="77777777" w:rsidR="008120DE" w:rsidRPr="0084570B" w:rsidRDefault="008120DE" w:rsidP="008120DE">
      <w:pPr>
        <w:pStyle w:val="Normal1"/>
        <w:spacing w:line="360" w:lineRule="auto"/>
        <w:rPr>
          <w:rFonts w:ascii="Times New Roman" w:eastAsia="Times New Roman" w:hAnsi="Times New Roman" w:cs="Times New Roman"/>
          <w:b/>
          <w:szCs w:val="22"/>
          <w:lang w:val="en-US"/>
        </w:rPr>
      </w:pPr>
    </w:p>
    <w:p w14:paraId="4C2EDFDA" w14:textId="55FD13E8" w:rsidR="008120DE" w:rsidRPr="0084570B" w:rsidRDefault="008120DE" w:rsidP="008120DE">
      <w:pPr>
        <w:pStyle w:val="Normal1"/>
        <w:spacing w:line="360" w:lineRule="auto"/>
        <w:ind w:firstLine="720"/>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The model tracks the mantle abundance of primordial </w:t>
      </w:r>
      <w:r w:rsidRPr="0084570B">
        <w:rPr>
          <w:rFonts w:ascii="Times New Roman" w:eastAsia="Times New Roman" w:hAnsi="Times New Roman" w:cs="Times New Roman"/>
          <w:sz w:val="22"/>
          <w:szCs w:val="22"/>
          <w:vertAlign w:val="superscript"/>
          <w:lang w:val="en-US"/>
        </w:rPr>
        <w:t>129, 130, 136</w:t>
      </w:r>
      <w:r w:rsidRPr="0084570B">
        <w:rPr>
          <w:rFonts w:ascii="Times New Roman" w:eastAsia="Times New Roman" w:hAnsi="Times New Roman" w:cs="Times New Roman"/>
          <w:sz w:val="22"/>
          <w:szCs w:val="22"/>
          <w:lang w:val="en-US"/>
        </w:rPr>
        <w:t xml:space="preserve">Xe, as well as fissiogenic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 xml:space="preserve">Xe from both U and Pu decay, and radiogenic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I</w:t>
      </w:r>
      <w:r w:rsidRPr="0084570B">
        <w:rPr>
          <w:rFonts w:ascii="Times New Roman" w:eastAsia="Times New Roman" w:hAnsi="Times New Roman" w:cs="Times New Roman"/>
          <w:sz w:val="22"/>
          <w:szCs w:val="22"/>
          <w:lang w:val="en-US"/>
        </w:rPr>
        <w:t xml:space="preserve"> from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 xml:space="preserve">I decay. Initial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abundance at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 xml:space="preserve">=0 (i.e., when </w:t>
      </w:r>
      <w:r w:rsidRPr="0084570B">
        <w:rPr>
          <w:rFonts w:ascii="Times New Roman" w:eastAsia="Times New Roman" w:hAnsi="Times New Roman" w:cs="Times New Roman"/>
          <w:sz w:val="22"/>
          <w:szCs w:val="22"/>
          <w:vertAlign w:val="superscript"/>
          <w:lang w:val="en-US"/>
        </w:rPr>
        <w:t>29</w:t>
      </w:r>
      <w:r w:rsidRPr="0084570B">
        <w:rPr>
          <w:rFonts w:ascii="Times New Roman" w:eastAsia="Times New Roman" w:hAnsi="Times New Roman" w:cs="Times New Roman"/>
          <w:sz w:val="22"/>
          <w:szCs w:val="22"/>
          <w:lang w:val="en-US"/>
        </w:rPr>
        <w:t>I/</w:t>
      </w:r>
      <w:r w:rsidRPr="0084570B">
        <w:rPr>
          <w:rFonts w:ascii="Times New Roman" w:eastAsia="Times New Roman" w:hAnsi="Times New Roman" w:cs="Times New Roman"/>
          <w:sz w:val="22"/>
          <w:szCs w:val="22"/>
          <w:vertAlign w:val="superscript"/>
          <w:lang w:val="en-US"/>
        </w:rPr>
        <w:t>127</w:t>
      </w:r>
      <w:r w:rsidRPr="0084570B">
        <w:rPr>
          <w:rFonts w:ascii="Times New Roman" w:eastAsia="Times New Roman" w:hAnsi="Times New Roman" w:cs="Times New Roman"/>
          <w:sz w:val="22"/>
          <w:szCs w:val="22"/>
          <w:lang w:val="en-US"/>
        </w:rPr>
        <w:t>I = 1.19×10</w:t>
      </w:r>
      <w:r w:rsidRPr="0084570B">
        <w:rPr>
          <w:rFonts w:ascii="Times New Roman" w:eastAsia="Gungsuh" w:hAnsi="Times New Roman" w:cs="Times New Roman"/>
          <w:sz w:val="22"/>
          <w:szCs w:val="22"/>
          <w:vertAlign w:val="superscript"/>
          <w:lang w:val="en-US"/>
        </w:rPr>
        <w:t>−4</w:t>
      </w:r>
      <w:r w:rsidRPr="0084570B">
        <w:rPr>
          <w:rFonts w:ascii="Times New Roman" w:eastAsia="Times New Roman" w:hAnsi="Times New Roman" w:cs="Times New Roman"/>
          <w:sz w:val="22"/>
          <w:szCs w:val="22"/>
          <w:lang w:val="en-US"/>
        </w:rPr>
        <w:t xml:space="preserve">) is calculated as described above, and initial </w:t>
      </w:r>
      <w:r w:rsidRPr="0084570B">
        <w:rPr>
          <w:rFonts w:ascii="Times New Roman" w:eastAsia="Times New Roman" w:hAnsi="Times New Roman" w:cs="Times New Roman"/>
          <w:sz w:val="22"/>
          <w:szCs w:val="22"/>
          <w:vertAlign w:val="superscript"/>
          <w:lang w:val="en-US"/>
        </w:rPr>
        <w:t>129, 136</w:t>
      </w:r>
      <w:r w:rsidRPr="0084570B">
        <w:rPr>
          <w:rFonts w:ascii="Times New Roman" w:eastAsia="Times New Roman" w:hAnsi="Times New Roman" w:cs="Times New Roman"/>
          <w:sz w:val="22"/>
          <w:szCs w:val="22"/>
          <w:lang w:val="en-US"/>
        </w:rPr>
        <w:t>Xe are calculated assuming an initially chondritic composition</w:t>
      </w:r>
      <w:r w:rsidRPr="0084570B">
        <w:rPr>
          <w:rFonts w:ascii="Times New Roman" w:eastAsia="Times New Roman" w:hAnsi="Times New Roman" w:cs="Times New Roman"/>
          <w:sz w:val="22"/>
          <w:szCs w:val="22"/>
          <w:lang w:val="en-US"/>
        </w:rPr>
        <w:fldChar w:fldCharType="begin" w:fldLock="1"/>
      </w:r>
      <w:r w:rsidR="00A249A4">
        <w:rPr>
          <w:rFonts w:ascii="Times New Roman" w:eastAsia="Times New Roman" w:hAnsi="Times New Roman" w:cs="Times New Roman"/>
          <w:sz w:val="22"/>
          <w:szCs w:val="22"/>
          <w:lang w:val="en-US"/>
        </w:rPr>
        <w:instrText>ADDIN CSL_CITATION {"citationItems":[{"id":"ITEM-1","itemData":{"DOI":"10.1111/j.1945-5100.2000.tb01485.x","ISSN":"10869379","author":[{"dropping-particle":"","family":"Busemann","given":"Henner","non-dropping-particle":"","parse-names":false,"suffix":""},{"dropping-particle":"","family":"Baur","given":"Heinrich","non-dropping-particle":"","parse-names":false,"suffix":""},{"dropping-particle":"","family":"Wieler","given":"Rainer","non-dropping-particle":"","parse-names":false,"suffix":""}],"container-title":"Meteoritics &amp; Planetary Science","id":"ITEM-1","issue":"5","issued":{"date-parts":[["2000","9"]]},"page":"949-973","title":"Primordial noble gases in “phase Q” in carbonaceous and ordinary chondrites studied by closed-system stepped etching","type":"article-journal","volume":"35"},"uris":["http://www.mendeley.com/documents/?uuid=5d2c2ab9-e979-4020-bacf-cdcda4befefa"]}],"mendeley":{"formattedCitation":"&lt;sup&gt;58&lt;/sup&gt;","plainTextFormattedCitation":"58","previouslyFormattedCitation":"&lt;sup&gt;58&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00DD29E3" w:rsidRPr="00DD29E3">
        <w:rPr>
          <w:rFonts w:ascii="Times New Roman" w:eastAsia="Times New Roman" w:hAnsi="Times New Roman" w:cs="Times New Roman"/>
          <w:noProof/>
          <w:sz w:val="22"/>
          <w:szCs w:val="22"/>
          <w:vertAlign w:val="superscript"/>
          <w:lang w:val="en-US"/>
        </w:rPr>
        <w:t>58</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w:t>
      </w:r>
    </w:p>
    <w:p w14:paraId="3D4E99CB" w14:textId="77777777" w:rsidR="008120DE" w:rsidRPr="0084570B" w:rsidRDefault="008120DE" w:rsidP="008120DE">
      <w:pPr>
        <w:pStyle w:val="Normal1"/>
        <w:spacing w:line="360" w:lineRule="auto"/>
        <w:ind w:firstLine="720"/>
        <w:jc w:val="both"/>
        <w:rPr>
          <w:rFonts w:ascii="Times New Roman" w:eastAsia="Times New Roman" w:hAnsi="Times New Roman" w:cs="Times New Roman"/>
          <w:sz w:val="8"/>
          <w:szCs w:val="8"/>
          <w:lang w:val="en-US"/>
        </w:rPr>
      </w:pPr>
    </w:p>
    <w:p w14:paraId="0B6ED44B" w14:textId="7790E596" w:rsidR="008120DE" w:rsidRPr="0084570B" w:rsidRDefault="008549F7" w:rsidP="008120DE">
      <w:pPr>
        <w:pStyle w:val="Normal1"/>
        <w:spacing w:line="360" w:lineRule="auto"/>
        <w:jc w:val="right"/>
        <w:rPr>
          <w:rFonts w:ascii="Times New Roman" w:eastAsia="Cambria Math" w:hAnsi="Times New Roman" w:cs="Times New Roman"/>
          <w:sz w:val="20"/>
          <w:szCs w:val="20"/>
          <w:lang w:val="en-US"/>
        </w:rPr>
      </w:pPr>
      <m:oMath>
        <m:sSub>
          <m:sSubPr>
            <m:ctrlPr>
              <w:rPr>
                <w:rFonts w:ascii="Cambria Math" w:hAnsi="Cambria Math" w:cs="Times New Roman"/>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130</m:t>
                </m:r>
                <m:r>
                  <w:rPr>
                    <w:rFonts w:ascii="Cambria Math" w:eastAsia="Cambria Math" w:hAnsi="Cambria Math" w:cs="Times New Roman"/>
                    <w:sz w:val="20"/>
                    <w:szCs w:val="20"/>
                    <w:lang w:val="en-US"/>
                  </w:rPr>
                  <m:t>Xe</m:t>
                </m:r>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+1)</m:t>
            </m:r>
          </m:sub>
        </m:sSub>
        <m:r>
          <w:rPr>
            <w:rFonts w:ascii="Cambria Math" w:eastAsia="Cambria Math" w:hAnsi="Cambria Math" w:cs="Times New Roman"/>
            <w:sz w:val="20"/>
            <w:szCs w:val="20"/>
            <w:lang w:val="en-US"/>
          </w:rPr>
          <m:t xml:space="preserve"> =</m:t>
        </m:r>
        <m:sSub>
          <m:sSubPr>
            <m:ctrlPr>
              <w:rPr>
                <w:rFonts w:ascii="Cambria Math" w:eastAsia="Cambria Math" w:hAnsi="Cambria Math" w:cs="Times New Roman"/>
                <w:sz w:val="20"/>
                <w:szCs w:val="20"/>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130</m:t>
                </m:r>
                <m:r>
                  <w:rPr>
                    <w:rFonts w:ascii="Cambria Math" w:eastAsia="Cambria Math" w:hAnsi="Cambria Math" w:cs="Times New Roman"/>
                    <w:sz w:val="20"/>
                    <w:szCs w:val="20"/>
                    <w:lang w:val="en-US"/>
                  </w:rPr>
                  <m:t>Xe</m:t>
                </m:r>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m:t>
            </m:r>
          </m:sub>
        </m:sSub>
        <m:r>
          <w:rPr>
            <w:rFonts w:ascii="Cambria Math" w:eastAsia="Cambria Math" w:hAnsi="Cambria Math" w:cs="Times New Roman"/>
            <w:sz w:val="20"/>
            <w:szCs w:val="20"/>
            <w:lang w:val="en-US"/>
          </w:rPr>
          <m:t xml:space="preserve"> *</m:t>
        </m:r>
        <m:d>
          <m:dPr>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1-</m:t>
            </m:r>
            <m:r>
              <w:rPr>
                <w:rFonts w:ascii="Cambria Math" w:eastAsia="Cambria Math" w:hAnsi="Cambria Math" w:cs="Times New Roman"/>
                <w:sz w:val="20"/>
                <w:szCs w:val="20"/>
                <w:lang w:val="en-US"/>
              </w:rPr>
              <m:t>D</m:t>
            </m:r>
            <m:d>
              <m:dPr>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t</m:t>
                </m:r>
              </m:e>
            </m:d>
          </m:e>
        </m:d>
      </m:oMath>
      <w:r w:rsidR="008120DE"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 xml:space="preserve">      (EQ. </w:t>
      </w:r>
      <w:r w:rsidR="00D47278">
        <w:rPr>
          <w:rFonts w:ascii="Times New Roman" w:eastAsia="Times New Roman" w:hAnsi="Times New Roman" w:cs="Times New Roman"/>
          <w:sz w:val="22"/>
          <w:szCs w:val="22"/>
          <w:lang w:val="en-US"/>
        </w:rPr>
        <w:t>S</w:t>
      </w:r>
      <w:r w:rsidR="00964453" w:rsidRPr="0084570B">
        <w:rPr>
          <w:rFonts w:ascii="Times New Roman" w:eastAsia="Times New Roman" w:hAnsi="Times New Roman" w:cs="Times New Roman"/>
          <w:sz w:val="22"/>
          <w:szCs w:val="22"/>
          <w:lang w:val="en-US"/>
        </w:rPr>
        <w:t>1</w:t>
      </w:r>
      <w:r w:rsidR="00D47278">
        <w:rPr>
          <w:rFonts w:ascii="Times New Roman" w:eastAsia="Times New Roman" w:hAnsi="Times New Roman" w:cs="Times New Roman"/>
          <w:sz w:val="22"/>
          <w:szCs w:val="22"/>
          <w:lang w:val="en-US"/>
        </w:rPr>
        <w:t>1</w:t>
      </w:r>
      <w:r w:rsidR="008120DE" w:rsidRPr="0084570B">
        <w:rPr>
          <w:rFonts w:ascii="Times New Roman" w:eastAsia="Times New Roman" w:hAnsi="Times New Roman" w:cs="Times New Roman"/>
          <w:sz w:val="22"/>
          <w:szCs w:val="22"/>
          <w:lang w:val="en-US"/>
        </w:rPr>
        <w:t>)</w:t>
      </w:r>
    </w:p>
    <w:p w14:paraId="35D30907" w14:textId="3EE5F79F" w:rsidR="008120DE" w:rsidRPr="0084570B" w:rsidRDefault="008549F7" w:rsidP="008120DE">
      <w:pPr>
        <w:pStyle w:val="Normal1"/>
        <w:spacing w:line="360" w:lineRule="auto"/>
        <w:jc w:val="right"/>
        <w:rPr>
          <w:rFonts w:ascii="Times New Roman" w:eastAsia="Cambria Math" w:hAnsi="Times New Roman" w:cs="Times New Roman"/>
          <w:sz w:val="20"/>
          <w:szCs w:val="20"/>
          <w:lang w:val="en-US"/>
        </w:rPr>
      </w:pPr>
      <m:oMath>
        <m:sSub>
          <m:sSubPr>
            <m:ctrlPr>
              <w:rPr>
                <w:rFonts w:ascii="Cambria Math" w:hAnsi="Cambria Math" w:cs="Times New Roman"/>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136</m:t>
                </m:r>
                <m:r>
                  <w:rPr>
                    <w:rFonts w:ascii="Cambria Math" w:eastAsia="Cambria Math" w:hAnsi="Cambria Math" w:cs="Times New Roman"/>
                    <w:sz w:val="20"/>
                    <w:szCs w:val="20"/>
                    <w:lang w:val="en-US"/>
                  </w:rPr>
                  <m:t>Xe</m:t>
                </m:r>
              </m:e>
            </m:d>
          </m:e>
          <m:sub>
            <m:r>
              <w:rPr>
                <w:rFonts w:ascii="Cambria Math" w:hAnsi="Cambria Math" w:cs="Times New Roman"/>
                <w:lang w:val="en-US"/>
              </w:rPr>
              <m:t>(</m:t>
            </m:r>
            <m:r>
              <w:rPr>
                <w:rFonts w:ascii="Cambria Math" w:hAnsi="Cambria Math" w:cs="Times New Roman"/>
                <w:lang w:val="en-US"/>
              </w:rPr>
              <m:t>t</m:t>
            </m:r>
            <m:r>
              <w:rPr>
                <w:rFonts w:ascii="Cambria Math" w:hAnsi="Cambria Math" w:cs="Times New Roman"/>
                <w:lang w:val="en-US"/>
              </w:rPr>
              <m:t>+1)</m:t>
            </m:r>
          </m:sub>
        </m:sSub>
        <m:r>
          <w:rPr>
            <w:rFonts w:ascii="Cambria Math" w:eastAsia="Cambria Math" w:hAnsi="Cambria Math" w:cs="Times New Roman"/>
            <w:sz w:val="20"/>
            <w:szCs w:val="20"/>
            <w:lang w:val="en-US"/>
          </w:rPr>
          <m:t>=</m:t>
        </m:r>
        <m:d>
          <m:dPr>
            <m:ctrlPr>
              <w:rPr>
                <w:rFonts w:ascii="Cambria Math" w:eastAsia="Cambria Math" w:hAnsi="Cambria Math" w:cs="Times New Roman"/>
                <w:sz w:val="20"/>
                <w:szCs w:val="20"/>
                <w:lang w:val="en-US"/>
              </w:rPr>
            </m:ctrlPr>
          </m:dPr>
          <m:e>
            <m:sSub>
              <m:sSubPr>
                <m:ctrlPr>
                  <w:rPr>
                    <w:rFonts w:ascii="Cambria Math" w:eastAsia="Cambria Math" w:hAnsi="Cambria Math" w:cs="Times New Roman"/>
                    <w:sz w:val="20"/>
                    <w:szCs w:val="20"/>
                    <w:lang w:val="en-US"/>
                  </w:rPr>
                </m:ctrlPr>
              </m:sSubPr>
              <m:e>
                <m:d>
                  <m:dPr>
                    <m:begChr m:val="["/>
                    <m:endChr m:val="]"/>
                    <m:ctrlPr>
                      <w:rPr>
                        <w:rFonts w:ascii="Cambria Math" w:eastAsia="Cambria Math" w:hAnsi="Cambria Math" w:cs="Times New Roman"/>
                        <w:sz w:val="20"/>
                        <w:szCs w:val="20"/>
                        <w:lang w:val="en-US"/>
                      </w:rPr>
                    </m:ctrlPr>
                  </m:dPr>
                  <m:e>
                    <m:sPre>
                      <m:sPrePr>
                        <m:ctrlPr>
                          <w:rPr>
                            <w:rFonts w:ascii="Cambria Math" w:eastAsia="Cambria Math" w:hAnsi="Cambria Math" w:cs="Times New Roman"/>
                            <w:i/>
                            <w:sz w:val="20"/>
                            <w:szCs w:val="20"/>
                            <w:lang w:val="en-US"/>
                          </w:rPr>
                        </m:ctrlPr>
                      </m:sPrePr>
                      <m:sub>
                        <m:r>
                          <w:rPr>
                            <w:rFonts w:ascii="Cambria Math" w:eastAsia="Cambria Math" w:hAnsi="Cambria Math" w:cs="Times New Roman"/>
                            <w:sz w:val="20"/>
                            <w:szCs w:val="20"/>
                            <w:lang w:val="en-US"/>
                          </w:rPr>
                          <m:t xml:space="preserve"> </m:t>
                        </m:r>
                      </m:sub>
                      <m:sup>
                        <m:r>
                          <w:rPr>
                            <w:rFonts w:ascii="Cambria Math" w:eastAsia="Cambria Math" w:hAnsi="Cambria Math" w:cs="Times New Roman"/>
                            <w:sz w:val="20"/>
                            <w:szCs w:val="20"/>
                            <w:lang w:val="en-US"/>
                          </w:rPr>
                          <m:t>136</m:t>
                        </m:r>
                      </m:sup>
                      <m:e>
                        <m:r>
                          <w:rPr>
                            <w:rFonts w:ascii="Cambria Math" w:eastAsia="Cambria Math" w:hAnsi="Cambria Math" w:cs="Times New Roman"/>
                            <w:sz w:val="20"/>
                            <w:szCs w:val="20"/>
                            <w:lang w:val="en-US"/>
                          </w:rPr>
                          <m:t>Xe</m:t>
                        </m:r>
                      </m:e>
                    </m:sPre>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m:t>
                </m:r>
              </m:sub>
            </m:sSub>
            <m:r>
              <w:rPr>
                <w:rFonts w:ascii="Cambria Math" w:eastAsia="Cambria Math" w:hAnsi="Cambria Math" w:cs="Times New Roman"/>
                <w:sz w:val="20"/>
                <w:szCs w:val="20"/>
                <w:lang w:val="en-US"/>
              </w:rPr>
              <m:t xml:space="preserve"> +</m:t>
            </m:r>
            <m:sSub>
              <m:sSubPr>
                <m:ctrlPr>
                  <w:rPr>
                    <w:rFonts w:ascii="Cambria Math" w:eastAsia="Cambria Math" w:hAnsi="Cambria Math" w:cs="Times New Roman"/>
                    <w:sz w:val="20"/>
                    <w:szCs w:val="20"/>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m:t>
                    </m:r>
                    <m:sPre>
                      <m:sPrePr>
                        <m:ctrlPr>
                          <w:rPr>
                            <w:rFonts w:ascii="Cambria Math" w:eastAsia="Cambria Math" w:hAnsi="Cambria Math" w:cs="Times New Roman"/>
                            <w:i/>
                            <w:sz w:val="20"/>
                            <w:szCs w:val="20"/>
                            <w:lang w:val="en-US"/>
                          </w:rPr>
                        </m:ctrlPr>
                      </m:sPrePr>
                      <m:sub>
                        <m:r>
                          <w:rPr>
                            <w:rFonts w:ascii="Cambria Math" w:eastAsia="Cambria Math" w:hAnsi="Cambria Math" w:cs="Times New Roman"/>
                            <w:sz w:val="20"/>
                            <w:szCs w:val="20"/>
                            <w:lang w:val="en-US"/>
                          </w:rPr>
                          <m:t xml:space="preserve"> </m:t>
                        </m:r>
                      </m:sub>
                      <m:sup>
                        <m:r>
                          <w:rPr>
                            <w:rFonts w:ascii="Cambria Math" w:eastAsia="Cambria Math" w:hAnsi="Cambria Math" w:cs="Times New Roman"/>
                            <w:sz w:val="20"/>
                            <w:szCs w:val="20"/>
                            <w:lang w:val="en-US"/>
                          </w:rPr>
                          <m:t>136</m:t>
                        </m:r>
                      </m:sup>
                      <m:e>
                        <m:r>
                          <w:rPr>
                            <w:rFonts w:ascii="Cambria Math" w:eastAsia="Cambria Math" w:hAnsi="Cambria Math" w:cs="Times New Roman"/>
                            <w:sz w:val="20"/>
                            <w:szCs w:val="20"/>
                            <w:lang w:val="en-US"/>
                          </w:rPr>
                          <m:t>X</m:t>
                        </m:r>
                        <m:sSubSup>
                          <m:sSubSupPr>
                            <m:ctrlPr>
                              <w:rPr>
                                <w:rFonts w:ascii="Cambria Math" w:eastAsia="Cambria Math" w:hAnsi="Cambria Math" w:cs="Times New Roman"/>
                                <w:sz w:val="20"/>
                                <w:szCs w:val="20"/>
                                <w:lang w:val="en-US"/>
                              </w:rPr>
                            </m:ctrlPr>
                          </m:sSubSupPr>
                          <m:e>
                            <m:r>
                              <w:rPr>
                                <w:rFonts w:ascii="Cambria Math" w:eastAsia="Cambria Math" w:hAnsi="Cambria Math" w:cs="Times New Roman"/>
                                <w:sz w:val="20"/>
                                <w:szCs w:val="20"/>
                                <w:lang w:val="en-US"/>
                              </w:rPr>
                              <m:t>e</m:t>
                            </m:r>
                          </m:e>
                          <m:sub>
                            <m:r>
                              <w:rPr>
                                <w:rFonts w:ascii="Cambria Math" w:eastAsia="Cambria Math" w:hAnsi="Cambria Math" w:cs="Times New Roman"/>
                                <w:sz w:val="20"/>
                                <w:szCs w:val="20"/>
                                <w:lang w:val="en-US"/>
                              </w:rPr>
                              <m:t>U</m:t>
                            </m:r>
                          </m:sub>
                          <m:sup>
                            <m:r>
                              <w:rPr>
                                <w:rFonts w:ascii="Cambria Math" w:eastAsia="Cambria Math" w:hAnsi="Cambria Math" w:cs="Times New Roman"/>
                                <w:sz w:val="20"/>
                                <w:szCs w:val="20"/>
                                <w:lang w:val="en-US"/>
                              </w:rPr>
                              <m:t>*</m:t>
                            </m:r>
                          </m:sup>
                        </m:sSubSup>
                      </m:e>
                    </m:sPre>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m:t>
                </m:r>
              </m:sub>
            </m:sSub>
            <m:r>
              <w:rPr>
                <w:rFonts w:ascii="Cambria Math" w:eastAsia="Cambria Math" w:hAnsi="Cambria Math" w:cs="Times New Roman"/>
                <w:sz w:val="20"/>
                <w:szCs w:val="20"/>
                <w:lang w:val="en-US"/>
              </w:rPr>
              <m:t xml:space="preserve"> </m:t>
            </m:r>
            <m:sSub>
              <m:sSubPr>
                <m:ctrlPr>
                  <w:rPr>
                    <w:rFonts w:ascii="Cambria Math" w:eastAsia="Cambria Math" w:hAnsi="Cambria Math" w:cs="Times New Roman"/>
                    <w:sz w:val="20"/>
                    <w:szCs w:val="20"/>
                    <w:lang w:val="en-US"/>
                  </w:rPr>
                </m:ctrlPr>
              </m:sSubPr>
              <m:e>
                <m:r>
                  <w:rPr>
                    <w:rFonts w:ascii="Cambria Math" w:eastAsia="Cambria Math" w:hAnsi="Cambria Math" w:cs="Times New Roman"/>
                    <w:sz w:val="20"/>
                    <w:szCs w:val="20"/>
                    <w:lang w:val="en-US"/>
                  </w:rPr>
                  <m:t>+</m:t>
                </m:r>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m:t>
                    </m:r>
                    <m:sPre>
                      <m:sPrePr>
                        <m:ctrlPr>
                          <w:rPr>
                            <w:rFonts w:ascii="Cambria Math" w:eastAsia="Cambria Math" w:hAnsi="Cambria Math" w:cs="Times New Roman"/>
                            <w:i/>
                            <w:sz w:val="20"/>
                            <w:szCs w:val="20"/>
                            <w:lang w:val="en-US"/>
                          </w:rPr>
                        </m:ctrlPr>
                      </m:sPrePr>
                      <m:sub>
                        <m:r>
                          <w:rPr>
                            <w:rFonts w:ascii="Cambria Math" w:eastAsia="Cambria Math" w:hAnsi="Cambria Math" w:cs="Times New Roman"/>
                            <w:sz w:val="20"/>
                            <w:szCs w:val="20"/>
                            <w:lang w:val="en-US"/>
                          </w:rPr>
                          <m:t xml:space="preserve"> </m:t>
                        </m:r>
                      </m:sub>
                      <m:sup>
                        <m:r>
                          <w:rPr>
                            <w:rFonts w:ascii="Cambria Math" w:eastAsia="Cambria Math" w:hAnsi="Cambria Math" w:cs="Times New Roman"/>
                            <w:sz w:val="20"/>
                            <w:szCs w:val="20"/>
                            <w:lang w:val="en-US"/>
                          </w:rPr>
                          <m:t>136</m:t>
                        </m:r>
                      </m:sup>
                      <m:e>
                        <m:r>
                          <w:rPr>
                            <w:rFonts w:ascii="Cambria Math" w:eastAsia="Cambria Math" w:hAnsi="Cambria Math" w:cs="Times New Roman"/>
                            <w:sz w:val="20"/>
                            <w:szCs w:val="20"/>
                            <w:lang w:val="en-US"/>
                          </w:rPr>
                          <m:t>X</m:t>
                        </m:r>
                        <m:sSubSup>
                          <m:sSubSupPr>
                            <m:ctrlPr>
                              <w:rPr>
                                <w:rFonts w:ascii="Cambria Math" w:eastAsia="Cambria Math" w:hAnsi="Cambria Math" w:cs="Times New Roman"/>
                                <w:sz w:val="20"/>
                                <w:szCs w:val="20"/>
                                <w:lang w:val="en-US"/>
                              </w:rPr>
                            </m:ctrlPr>
                          </m:sSubSupPr>
                          <m:e>
                            <m:r>
                              <w:rPr>
                                <w:rFonts w:ascii="Cambria Math" w:eastAsia="Cambria Math" w:hAnsi="Cambria Math" w:cs="Times New Roman"/>
                                <w:sz w:val="20"/>
                                <w:szCs w:val="20"/>
                                <w:lang w:val="en-US"/>
                              </w:rPr>
                              <m:t>e</m:t>
                            </m:r>
                          </m:e>
                          <m:sub>
                            <m:r>
                              <w:rPr>
                                <w:rFonts w:ascii="Cambria Math" w:eastAsia="Cambria Math" w:hAnsi="Cambria Math" w:cs="Times New Roman"/>
                                <w:sz w:val="20"/>
                                <w:szCs w:val="20"/>
                                <w:lang w:val="en-US"/>
                              </w:rPr>
                              <m:t>Pu</m:t>
                            </m:r>
                          </m:sub>
                          <m:sup>
                            <m:r>
                              <w:rPr>
                                <w:rFonts w:ascii="Cambria Math" w:eastAsia="Cambria Math" w:hAnsi="Cambria Math" w:cs="Times New Roman"/>
                                <w:sz w:val="20"/>
                                <w:szCs w:val="20"/>
                                <w:lang w:val="en-US"/>
                              </w:rPr>
                              <m:t>*</m:t>
                            </m:r>
                          </m:sup>
                        </m:sSubSup>
                      </m:e>
                    </m:sPre>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m:t>
                </m:r>
              </m:sub>
            </m:sSub>
          </m:e>
        </m:d>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 xml:space="preserve"> </m:t>
        </m:r>
        <m:d>
          <m:dPr>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1-</m:t>
            </m:r>
            <m:r>
              <w:rPr>
                <w:rFonts w:ascii="Cambria Math" w:eastAsia="Cambria Math" w:hAnsi="Cambria Math" w:cs="Times New Roman"/>
                <w:sz w:val="20"/>
                <w:szCs w:val="20"/>
                <w:lang w:val="en-US"/>
              </w:rPr>
              <m:t>D</m:t>
            </m:r>
            <m:d>
              <m:dPr>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t</m:t>
                </m:r>
              </m:e>
            </m:d>
          </m:e>
        </m:d>
      </m:oMath>
      <w:r w:rsidR="008120DE" w:rsidRPr="0084570B">
        <w:rPr>
          <w:rFonts w:ascii="Times New Roman" w:eastAsia="Cambria Math" w:hAnsi="Times New Roman" w:cs="Times New Roman"/>
          <w:sz w:val="22"/>
          <w:szCs w:val="22"/>
          <w:lang w:val="en-US"/>
        </w:rPr>
        <w:t xml:space="preserve"> </w:t>
      </w:r>
      <w:r w:rsidR="00D47278">
        <w:rPr>
          <w:rFonts w:ascii="Times New Roman" w:eastAsia="Times New Roman" w:hAnsi="Times New Roman" w:cs="Times New Roman"/>
          <w:sz w:val="22"/>
          <w:szCs w:val="22"/>
          <w:lang w:val="en-US"/>
        </w:rPr>
        <w:t xml:space="preserve">    (EQ. S12</w:t>
      </w:r>
      <w:r w:rsidR="008120DE" w:rsidRPr="0084570B">
        <w:rPr>
          <w:rFonts w:ascii="Times New Roman" w:eastAsia="Times New Roman" w:hAnsi="Times New Roman" w:cs="Times New Roman"/>
          <w:sz w:val="22"/>
          <w:szCs w:val="22"/>
          <w:lang w:val="en-US"/>
        </w:rPr>
        <w:t>)</w:t>
      </w:r>
    </w:p>
    <w:p w14:paraId="7C0E2BD4" w14:textId="724EF6E9" w:rsidR="008120DE" w:rsidRPr="0084570B" w:rsidRDefault="008549F7" w:rsidP="008120DE">
      <w:pPr>
        <w:pStyle w:val="Normal1"/>
        <w:spacing w:line="360" w:lineRule="auto"/>
        <w:jc w:val="right"/>
        <w:rPr>
          <w:rFonts w:ascii="Times New Roman" w:eastAsia="Times New Roman" w:hAnsi="Times New Roman" w:cs="Times New Roman"/>
          <w:sz w:val="22"/>
          <w:szCs w:val="22"/>
          <w:lang w:val="en-US"/>
        </w:rPr>
      </w:pPr>
      <m:oMath>
        <m:sSub>
          <m:sSubPr>
            <m:ctrlPr>
              <w:rPr>
                <w:rFonts w:ascii="Cambria Math" w:hAnsi="Cambria Math" w:cs="Times New Roman"/>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m:t>
                </m:r>
                <m:sPre>
                  <m:sPrePr>
                    <m:ctrlPr>
                      <w:rPr>
                        <w:rFonts w:ascii="Cambria Math" w:eastAsia="Cambria Math" w:hAnsi="Cambria Math" w:cs="Times New Roman"/>
                        <w:i/>
                        <w:sz w:val="20"/>
                        <w:szCs w:val="20"/>
                        <w:lang w:val="en-US"/>
                      </w:rPr>
                    </m:ctrlPr>
                  </m:sPrePr>
                  <m:sub>
                    <m:r>
                      <w:rPr>
                        <w:rFonts w:ascii="Cambria Math" w:eastAsia="Cambria Math" w:hAnsi="Cambria Math" w:cs="Times New Roman"/>
                        <w:sz w:val="20"/>
                        <w:szCs w:val="20"/>
                        <w:lang w:val="en-US"/>
                      </w:rPr>
                      <m:t xml:space="preserve"> </m:t>
                    </m:r>
                  </m:sub>
                  <m:sup>
                    <m:r>
                      <w:rPr>
                        <w:rFonts w:ascii="Cambria Math" w:eastAsia="Cambria Math" w:hAnsi="Cambria Math" w:cs="Times New Roman"/>
                        <w:sz w:val="20"/>
                        <w:szCs w:val="20"/>
                        <w:lang w:val="en-US"/>
                      </w:rPr>
                      <m:t>129</m:t>
                    </m:r>
                  </m:sup>
                  <m:e>
                    <m:r>
                      <w:rPr>
                        <w:rFonts w:ascii="Cambria Math" w:eastAsia="Cambria Math" w:hAnsi="Cambria Math" w:cs="Times New Roman"/>
                        <w:sz w:val="20"/>
                        <w:szCs w:val="20"/>
                        <w:lang w:val="en-US"/>
                      </w:rPr>
                      <m:t>Xe</m:t>
                    </m:r>
                  </m:e>
                </m:sPre>
              </m:e>
            </m:d>
          </m:e>
          <m:sub>
            <m:r>
              <w:rPr>
                <w:rFonts w:ascii="Cambria Math" w:hAnsi="Cambria Math" w:cs="Times New Roman"/>
                <w:lang w:val="en-US"/>
              </w:rPr>
              <m:t>(</m:t>
            </m:r>
            <m:r>
              <w:rPr>
                <w:rFonts w:ascii="Cambria Math" w:hAnsi="Cambria Math" w:cs="Times New Roman"/>
                <w:lang w:val="en-US"/>
              </w:rPr>
              <m:t>t</m:t>
            </m:r>
            <m:r>
              <w:rPr>
                <w:rFonts w:ascii="Cambria Math" w:hAnsi="Cambria Math" w:cs="Times New Roman"/>
                <w:lang w:val="en-US"/>
              </w:rPr>
              <m:t>+1)</m:t>
            </m:r>
          </m:sub>
        </m:sSub>
        <m:r>
          <w:rPr>
            <w:rFonts w:ascii="Cambria Math" w:eastAsia="Cambria Math" w:hAnsi="Cambria Math" w:cs="Times New Roman"/>
            <w:sz w:val="20"/>
            <w:szCs w:val="20"/>
            <w:lang w:val="en-US"/>
          </w:rPr>
          <m:t>=</m:t>
        </m:r>
        <m:d>
          <m:dPr>
            <m:ctrlPr>
              <w:rPr>
                <w:rFonts w:ascii="Cambria Math" w:eastAsia="Cambria Math" w:hAnsi="Cambria Math" w:cs="Times New Roman"/>
                <w:sz w:val="20"/>
                <w:szCs w:val="20"/>
                <w:lang w:val="en-US"/>
              </w:rPr>
            </m:ctrlPr>
          </m:dPr>
          <m:e>
            <m:sSub>
              <m:sSubPr>
                <m:ctrlPr>
                  <w:rPr>
                    <w:rFonts w:ascii="Cambria Math" w:eastAsia="Cambria Math" w:hAnsi="Cambria Math" w:cs="Times New Roman"/>
                    <w:sz w:val="20"/>
                    <w:szCs w:val="20"/>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m:t>
                    </m:r>
                    <m:sPre>
                      <m:sPrePr>
                        <m:ctrlPr>
                          <w:rPr>
                            <w:rFonts w:ascii="Cambria Math" w:eastAsia="Cambria Math" w:hAnsi="Cambria Math" w:cs="Times New Roman"/>
                            <w:i/>
                            <w:sz w:val="20"/>
                            <w:szCs w:val="20"/>
                            <w:lang w:val="en-US"/>
                          </w:rPr>
                        </m:ctrlPr>
                      </m:sPrePr>
                      <m:sub>
                        <m:r>
                          <w:rPr>
                            <w:rFonts w:ascii="Cambria Math" w:eastAsia="Cambria Math" w:hAnsi="Cambria Math" w:cs="Times New Roman"/>
                            <w:sz w:val="20"/>
                            <w:szCs w:val="20"/>
                            <w:lang w:val="en-US"/>
                          </w:rPr>
                          <m:t xml:space="preserve"> </m:t>
                        </m:r>
                      </m:sub>
                      <m:sup>
                        <m:r>
                          <w:rPr>
                            <w:rFonts w:ascii="Cambria Math" w:eastAsia="Cambria Math" w:hAnsi="Cambria Math" w:cs="Times New Roman"/>
                            <w:sz w:val="20"/>
                            <w:szCs w:val="20"/>
                            <w:lang w:val="en-US"/>
                          </w:rPr>
                          <m:t>129</m:t>
                        </m:r>
                      </m:sup>
                      <m:e>
                        <m:r>
                          <w:rPr>
                            <w:rFonts w:ascii="Cambria Math" w:eastAsia="Cambria Math" w:hAnsi="Cambria Math" w:cs="Times New Roman"/>
                            <w:sz w:val="20"/>
                            <w:szCs w:val="20"/>
                            <w:lang w:val="en-US"/>
                          </w:rPr>
                          <m:t>Xe</m:t>
                        </m:r>
                      </m:e>
                    </m:sPre>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m:t>
                </m:r>
              </m:sub>
            </m:sSub>
            <m:r>
              <w:rPr>
                <w:rFonts w:ascii="Cambria Math" w:eastAsia="Cambria Math" w:hAnsi="Cambria Math" w:cs="Times New Roman"/>
                <w:sz w:val="20"/>
                <w:szCs w:val="20"/>
                <w:lang w:val="en-US"/>
              </w:rPr>
              <m:t>+</m:t>
            </m:r>
            <m:sSub>
              <m:sSubPr>
                <m:ctrlPr>
                  <w:rPr>
                    <w:rFonts w:ascii="Cambria Math" w:eastAsia="Cambria Math" w:hAnsi="Cambria Math" w:cs="Times New Roman"/>
                    <w:sz w:val="20"/>
                    <w:szCs w:val="20"/>
                    <w:lang w:val="en-US"/>
                  </w:rPr>
                </m:ctrlPr>
              </m:sSubPr>
              <m:e>
                <m:d>
                  <m:dPr>
                    <m:begChr m:val="["/>
                    <m:endChr m:val="]"/>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 xml:space="preserve"> </m:t>
                    </m:r>
                    <m:sPre>
                      <m:sPrePr>
                        <m:ctrlPr>
                          <w:rPr>
                            <w:rFonts w:ascii="Cambria Math" w:eastAsia="Cambria Math" w:hAnsi="Cambria Math" w:cs="Times New Roman"/>
                            <w:i/>
                            <w:sz w:val="20"/>
                            <w:szCs w:val="20"/>
                            <w:lang w:val="en-US"/>
                          </w:rPr>
                        </m:ctrlPr>
                      </m:sPrePr>
                      <m:sub>
                        <m:r>
                          <w:rPr>
                            <w:rFonts w:ascii="Cambria Math" w:eastAsia="Cambria Math" w:hAnsi="Cambria Math" w:cs="Times New Roman"/>
                            <w:sz w:val="20"/>
                            <w:szCs w:val="20"/>
                            <w:lang w:val="en-US"/>
                          </w:rPr>
                          <m:t xml:space="preserve"> </m:t>
                        </m:r>
                      </m:sub>
                      <m:sup>
                        <m:r>
                          <w:rPr>
                            <w:rFonts w:ascii="Cambria Math" w:eastAsia="Cambria Math" w:hAnsi="Cambria Math" w:cs="Times New Roman"/>
                            <w:sz w:val="20"/>
                            <w:szCs w:val="20"/>
                            <w:lang w:val="en-US"/>
                          </w:rPr>
                          <m:t>129</m:t>
                        </m:r>
                      </m:sup>
                      <m:e>
                        <m:r>
                          <w:rPr>
                            <w:rFonts w:ascii="Cambria Math" w:eastAsia="Cambria Math" w:hAnsi="Cambria Math" w:cs="Times New Roman"/>
                            <w:sz w:val="20"/>
                            <w:szCs w:val="20"/>
                            <w:lang w:val="en-US"/>
                          </w:rPr>
                          <m:t>X</m:t>
                        </m:r>
                        <m:sSubSup>
                          <m:sSubSupPr>
                            <m:ctrlPr>
                              <w:rPr>
                                <w:rFonts w:ascii="Cambria Math" w:eastAsia="Cambria Math" w:hAnsi="Cambria Math" w:cs="Times New Roman"/>
                                <w:sz w:val="20"/>
                                <w:szCs w:val="20"/>
                                <w:lang w:val="en-US"/>
                              </w:rPr>
                            </m:ctrlPr>
                          </m:sSubSupPr>
                          <m:e>
                            <m:r>
                              <w:rPr>
                                <w:rFonts w:ascii="Cambria Math" w:eastAsia="Cambria Math" w:hAnsi="Cambria Math" w:cs="Times New Roman"/>
                                <w:sz w:val="20"/>
                                <w:szCs w:val="20"/>
                                <w:lang w:val="en-US"/>
                              </w:rPr>
                              <m:t>e</m:t>
                            </m:r>
                          </m:e>
                          <m:sub>
                            <m:r>
                              <w:rPr>
                                <w:rFonts w:ascii="Cambria Math" w:eastAsia="Cambria Math" w:hAnsi="Cambria Math" w:cs="Times New Roman"/>
                                <w:sz w:val="20"/>
                                <w:szCs w:val="20"/>
                                <w:lang w:val="en-US"/>
                              </w:rPr>
                              <m:t>I</m:t>
                            </m:r>
                          </m:sub>
                          <m:sup>
                            <m:r>
                              <w:rPr>
                                <w:rFonts w:ascii="Cambria Math" w:eastAsia="Cambria Math" w:hAnsi="Cambria Math" w:cs="Times New Roman"/>
                                <w:sz w:val="20"/>
                                <w:szCs w:val="20"/>
                                <w:lang w:val="en-US"/>
                              </w:rPr>
                              <m:t>*</m:t>
                            </m:r>
                          </m:sup>
                        </m:sSubSup>
                      </m:e>
                    </m:sPre>
                  </m:e>
                </m:d>
              </m:e>
              <m:sub>
                <m:r>
                  <w:rPr>
                    <w:rFonts w:ascii="Cambria Math" w:eastAsia="Cambria Math" w:hAnsi="Cambria Math" w:cs="Times New Roman"/>
                    <w:sz w:val="20"/>
                    <w:szCs w:val="20"/>
                    <w:lang w:val="en-US"/>
                  </w:rPr>
                  <m:t>(</m:t>
                </m:r>
                <m:r>
                  <w:rPr>
                    <w:rFonts w:ascii="Cambria Math" w:eastAsia="Cambria Math" w:hAnsi="Cambria Math" w:cs="Times New Roman"/>
                    <w:sz w:val="20"/>
                    <w:szCs w:val="20"/>
                    <w:lang w:val="en-US"/>
                  </w:rPr>
                  <m:t>t</m:t>
                </m:r>
                <m:r>
                  <w:rPr>
                    <w:rFonts w:ascii="Cambria Math" w:eastAsia="Cambria Math" w:hAnsi="Cambria Math" w:cs="Times New Roman"/>
                    <w:sz w:val="20"/>
                    <w:szCs w:val="20"/>
                    <w:lang w:val="en-US"/>
                  </w:rPr>
                  <m:t>)</m:t>
                </m:r>
              </m:sub>
            </m:sSub>
          </m:e>
        </m:d>
        <m:r>
          <w:rPr>
            <w:rFonts w:ascii="Cambria Math" w:eastAsia="Cambria Math" w:hAnsi="Cambria Math" w:cs="Times New Roman"/>
            <w:sz w:val="20"/>
            <w:szCs w:val="20"/>
            <w:lang w:val="en-US"/>
          </w:rPr>
          <m:t>*</m:t>
        </m:r>
        <m:d>
          <m:dPr>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1-</m:t>
            </m:r>
            <m:r>
              <w:rPr>
                <w:rFonts w:ascii="Cambria Math" w:eastAsia="Cambria Math" w:hAnsi="Cambria Math" w:cs="Times New Roman"/>
                <w:sz w:val="20"/>
                <w:szCs w:val="20"/>
                <w:lang w:val="en-US"/>
              </w:rPr>
              <m:t>D</m:t>
            </m:r>
            <m:d>
              <m:dPr>
                <m:ctrlPr>
                  <w:rPr>
                    <w:rFonts w:ascii="Cambria Math" w:eastAsia="Cambria Math" w:hAnsi="Cambria Math" w:cs="Times New Roman"/>
                    <w:sz w:val="20"/>
                    <w:szCs w:val="20"/>
                    <w:lang w:val="en-US"/>
                  </w:rPr>
                </m:ctrlPr>
              </m:dPr>
              <m:e>
                <m:r>
                  <w:rPr>
                    <w:rFonts w:ascii="Cambria Math" w:eastAsia="Cambria Math" w:hAnsi="Cambria Math" w:cs="Times New Roman"/>
                    <w:sz w:val="20"/>
                    <w:szCs w:val="20"/>
                    <w:lang w:val="en-US"/>
                  </w:rPr>
                  <m:t>t</m:t>
                </m:r>
              </m:e>
            </m:d>
          </m:e>
        </m:d>
      </m:oMath>
      <w:r w:rsidR="008120DE"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 xml:space="preserve">   (EQ. </w:t>
      </w:r>
      <w:r w:rsidR="00D47278">
        <w:rPr>
          <w:rFonts w:ascii="Times New Roman" w:eastAsia="Times New Roman" w:hAnsi="Times New Roman" w:cs="Times New Roman"/>
          <w:sz w:val="22"/>
          <w:szCs w:val="22"/>
          <w:lang w:val="en-US"/>
        </w:rPr>
        <w:t>S13</w:t>
      </w:r>
      <w:r w:rsidR="008120DE" w:rsidRPr="0084570B">
        <w:rPr>
          <w:rFonts w:ascii="Times New Roman" w:eastAsia="Times New Roman" w:hAnsi="Times New Roman" w:cs="Times New Roman"/>
          <w:sz w:val="22"/>
          <w:szCs w:val="22"/>
          <w:lang w:val="en-US"/>
        </w:rPr>
        <w:t>)</w:t>
      </w:r>
    </w:p>
    <w:p w14:paraId="46B45F7F" w14:textId="77777777" w:rsidR="008120DE" w:rsidRPr="0084570B" w:rsidRDefault="008120DE" w:rsidP="008120DE">
      <w:pPr>
        <w:pStyle w:val="Normal1"/>
        <w:spacing w:line="360" w:lineRule="auto"/>
        <w:jc w:val="right"/>
        <w:rPr>
          <w:rFonts w:ascii="Times New Roman" w:eastAsia="Cambria Math" w:hAnsi="Times New Roman" w:cs="Times New Roman"/>
          <w:sz w:val="8"/>
          <w:szCs w:val="8"/>
          <w:lang w:val="en-US"/>
        </w:rPr>
      </w:pPr>
    </w:p>
    <w:p w14:paraId="10C0722B" w14:textId="33D5A671"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w:t>
      </w:r>
      <w:r w:rsidRPr="0084570B">
        <w:rPr>
          <w:rFonts w:ascii="Times New Roman" w:eastAsia="Times New Roman" w:hAnsi="Times New Roman" w:cs="Times New Roman"/>
          <w:i/>
          <w:sz w:val="22"/>
          <w:szCs w:val="22"/>
          <w:vertAlign w:val="superscript"/>
          <w:lang w:val="en-US"/>
        </w:rPr>
        <w:t>136</w:t>
      </w:r>
      <w:r w:rsidRPr="0084570B">
        <w:rPr>
          <w:rFonts w:ascii="Times New Roman" w:eastAsia="Times New Roman" w:hAnsi="Times New Roman" w:cs="Times New Roman"/>
          <w:i/>
          <w:sz w:val="22"/>
          <w:szCs w:val="22"/>
          <w:lang w:val="en-US"/>
        </w:rPr>
        <w:t>Xe</w:t>
      </w:r>
      <w:r w:rsidRPr="0084570B">
        <w:rPr>
          <w:rFonts w:ascii="Times New Roman" w:eastAsia="Times New Roman" w:hAnsi="Times New Roman" w:cs="Times New Roman"/>
          <w:i/>
          <w:sz w:val="22"/>
          <w:szCs w:val="22"/>
          <w:vertAlign w:val="subscript"/>
          <w:lang w:val="en-US"/>
        </w:rPr>
        <w:t>U</w:t>
      </w:r>
      <w:r w:rsidRPr="0084570B">
        <w:rPr>
          <w:rFonts w:ascii="Times New Roman" w:eastAsia="Times New Roman" w:hAnsi="Times New Roman" w:cs="Times New Roman"/>
          <w:i/>
          <w:sz w:val="22"/>
          <w:szCs w:val="22"/>
          <w:lang w:val="en-US"/>
        </w:rPr>
        <w:t xml:space="preserve">](t) </w:t>
      </w:r>
      <w:r w:rsidRPr="0084570B">
        <w:rPr>
          <w:rFonts w:ascii="Times New Roman" w:eastAsia="Times New Roman" w:hAnsi="Times New Roman" w:cs="Times New Roman"/>
          <w:sz w:val="22"/>
          <w:szCs w:val="22"/>
          <w:lang w:val="en-US"/>
        </w:rPr>
        <w:t xml:space="preserve">represents the amount of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 xml:space="preserve">Xe produced by fission of U at timestep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 xml:space="preserve">, calculated using </w:t>
      </w:r>
      <w:r w:rsidRPr="0084570B">
        <w:rPr>
          <w:rFonts w:ascii="Times New Roman" w:eastAsia="Times New Roman" w:hAnsi="Times New Roman" w:cs="Times New Roman"/>
          <w:i/>
          <w:sz w:val="22"/>
          <w:szCs w:val="22"/>
          <w:lang w:val="en-US"/>
        </w:rPr>
        <w:t>[</w:t>
      </w:r>
      <w:r w:rsidRPr="0084570B">
        <w:rPr>
          <w:rFonts w:ascii="Times New Roman" w:eastAsia="Times New Roman" w:hAnsi="Times New Roman" w:cs="Times New Roman"/>
          <w:i/>
          <w:sz w:val="22"/>
          <w:szCs w:val="22"/>
          <w:vertAlign w:val="superscript"/>
          <w:lang w:val="en-US"/>
        </w:rPr>
        <w:t>238</w:t>
      </w:r>
      <w:r w:rsidRPr="0084570B">
        <w:rPr>
          <w:rFonts w:ascii="Times New Roman" w:eastAsia="Times New Roman" w:hAnsi="Times New Roman" w:cs="Times New Roman"/>
          <w:i/>
          <w:sz w:val="22"/>
          <w:szCs w:val="22"/>
          <w:lang w:val="en-US"/>
        </w:rPr>
        <w:t>U]</w:t>
      </w:r>
      <w:r w:rsidRPr="0084570B">
        <w:rPr>
          <w:rFonts w:ascii="Times New Roman" w:eastAsia="Times New Roman" w:hAnsi="Times New Roman" w:cs="Times New Roman"/>
          <w:i/>
          <w:sz w:val="22"/>
          <w:szCs w:val="22"/>
          <w:vertAlign w:val="subscript"/>
          <w:lang w:val="en-US"/>
        </w:rPr>
        <w:t>m</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(also at timestep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 xml:space="preserve">) as described in the previous section. The above iterations are performed repeatedly up to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 xml:space="preserve"> = 4567</w:t>
      </w:r>
      <w:r w:rsidR="006C5866" w:rsidRPr="0084570B">
        <w:rPr>
          <w:rFonts w:ascii="Times New Roman" w:eastAsia="Times New Roman" w:hAnsi="Times New Roman" w:cs="Times New Roman"/>
          <w:sz w:val="22"/>
          <w:szCs w:val="22"/>
          <w:lang w:val="en-US"/>
        </w:rPr>
        <w:t xml:space="preserve"> yr to calculate the modern-</w:t>
      </w:r>
      <w:r w:rsidRPr="0084570B">
        <w:rPr>
          <w:rFonts w:ascii="Times New Roman" w:eastAsia="Times New Roman" w:hAnsi="Times New Roman" w:cs="Times New Roman"/>
          <w:sz w:val="22"/>
          <w:szCs w:val="22"/>
          <w:lang w:val="en-US"/>
        </w:rPr>
        <w:t xml:space="preserve">day isotopic composition of the mantle. The fractions of radiogenic and fissiogenic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 xml:space="preserve">Xe and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 xml:space="preserve">Xe generated from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 xml:space="preserve">I, </w:t>
      </w:r>
      <w:r w:rsidRPr="0084570B">
        <w:rPr>
          <w:rFonts w:ascii="Times New Roman" w:eastAsia="Times New Roman" w:hAnsi="Times New Roman" w:cs="Times New Roman"/>
          <w:sz w:val="22"/>
          <w:szCs w:val="22"/>
          <w:vertAlign w:val="superscript"/>
          <w:lang w:val="en-US"/>
        </w:rPr>
        <w:t>238</w:t>
      </w:r>
      <w:r w:rsidRPr="0084570B">
        <w:rPr>
          <w:rFonts w:ascii="Times New Roman" w:eastAsia="Times New Roman" w:hAnsi="Times New Roman" w:cs="Times New Roman"/>
          <w:sz w:val="22"/>
          <w:szCs w:val="22"/>
          <w:lang w:val="en-US"/>
        </w:rPr>
        <w:t xml:space="preserve">U and </w:t>
      </w:r>
      <w:r w:rsidRPr="0084570B">
        <w:rPr>
          <w:rFonts w:ascii="Times New Roman" w:eastAsia="Times New Roman" w:hAnsi="Times New Roman" w:cs="Times New Roman"/>
          <w:sz w:val="22"/>
          <w:szCs w:val="22"/>
          <w:vertAlign w:val="superscript"/>
          <w:lang w:val="en-US"/>
        </w:rPr>
        <w:t>244</w:t>
      </w:r>
      <w:r w:rsidRPr="0084570B">
        <w:rPr>
          <w:rFonts w:ascii="Times New Roman" w:eastAsia="Times New Roman" w:hAnsi="Times New Roman" w:cs="Times New Roman"/>
          <w:sz w:val="22"/>
          <w:szCs w:val="22"/>
          <w:lang w:val="en-US"/>
        </w:rPr>
        <w:t xml:space="preserve">Pu are tracked individually to allow for </w:t>
      </w:r>
      <w:r w:rsidR="006C5866" w:rsidRPr="0084570B">
        <w:rPr>
          <w:rFonts w:ascii="Times New Roman" w:eastAsia="Times New Roman" w:hAnsi="Times New Roman" w:cs="Times New Roman"/>
          <w:sz w:val="22"/>
          <w:szCs w:val="22"/>
          <w:lang w:val="en-US"/>
        </w:rPr>
        <w:t xml:space="preserve">the </w:t>
      </w:r>
      <w:r w:rsidRPr="0084570B">
        <w:rPr>
          <w:rFonts w:ascii="Times New Roman" w:eastAsia="Times New Roman" w:hAnsi="Times New Roman" w:cs="Times New Roman"/>
          <w:sz w:val="22"/>
          <w:szCs w:val="22"/>
          <w:lang w:val="en-US"/>
        </w:rPr>
        <w:t>calculation of the relevant ratios for straightforward comparison with measured modern mantle values.</w:t>
      </w:r>
    </w:p>
    <w:p w14:paraId="41E885BB" w14:textId="77777777" w:rsidR="008120DE" w:rsidRPr="0084570B" w:rsidRDefault="008120DE" w:rsidP="008120DE">
      <w:pPr>
        <w:pStyle w:val="Normal1"/>
        <w:spacing w:line="360" w:lineRule="auto"/>
        <w:rPr>
          <w:rFonts w:ascii="Times New Roman" w:eastAsia="Times New Roman" w:hAnsi="Times New Roman" w:cs="Times New Roman"/>
          <w:sz w:val="22"/>
          <w:szCs w:val="22"/>
          <w:lang w:val="en-US"/>
        </w:rPr>
      </w:pPr>
    </w:p>
    <w:p w14:paraId="105F33EC" w14:textId="77777777" w:rsidR="008120DE" w:rsidRPr="0084570B" w:rsidRDefault="008120DE" w:rsidP="008120DE">
      <w:pPr>
        <w:pStyle w:val="Normal1"/>
        <w:numPr>
          <w:ilvl w:val="0"/>
          <w:numId w:val="3"/>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Misfit calculation</w:t>
      </w:r>
    </w:p>
    <w:p w14:paraId="50DB65BE" w14:textId="396BC43A"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t xml:space="preserve">The goodness of fit of a given model is assessed by how close the predicted Xe isotopic composition of the mantle at </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i/>
          <w:sz w:val="22"/>
          <w:szCs w:val="22"/>
          <w:lang w:val="en-US"/>
        </w:rPr>
        <w:t>T</w:t>
      </w:r>
      <w:r w:rsidRPr="0084570B">
        <w:rPr>
          <w:rFonts w:ascii="Times New Roman" w:eastAsia="Times New Roman" w:hAnsi="Times New Roman" w:cs="Times New Roman"/>
          <w:i/>
          <w:sz w:val="22"/>
          <w:szCs w:val="22"/>
          <w:vertAlign w:val="subscript"/>
          <w:lang w:val="en-US"/>
        </w:rPr>
        <w:t>E</w:t>
      </w:r>
      <w:r w:rsidRPr="0084570B">
        <w:rPr>
          <w:rFonts w:ascii="Times New Roman" w:eastAsia="Times New Roman" w:hAnsi="Times New Roman" w:cs="Times New Roman"/>
          <w:sz w:val="22"/>
          <w:szCs w:val="22"/>
          <w:lang w:val="en-US"/>
        </w:rPr>
        <w:t xml:space="preserve"> is compared to measured modern values. Specifically, we compare 4 variables: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 xml:space="preserve"> +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TF</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I</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 We use the sum of the χ</w:t>
      </w:r>
      <w:r w:rsidRPr="0084570B">
        <w:rPr>
          <w:rFonts w:ascii="Times New Roman" w:eastAsia="Times New Roman" w:hAnsi="Times New Roman" w:cs="Times New Roman"/>
          <w:sz w:val="22"/>
          <w:szCs w:val="22"/>
          <w:vertAlign w:val="superscript"/>
          <w:lang w:val="en-US"/>
        </w:rPr>
        <w:t>2</w:t>
      </w:r>
      <w:r w:rsidRPr="0084570B">
        <w:rPr>
          <w:rFonts w:ascii="Times New Roman" w:eastAsia="Times New Roman" w:hAnsi="Times New Roman" w:cs="Times New Roman"/>
          <w:sz w:val="22"/>
          <w:szCs w:val="22"/>
          <w:lang w:val="en-US"/>
        </w:rPr>
        <w:t xml:space="preserve"> statistics of these outputs to calculate a total misfit value for the model:</w:t>
      </w:r>
    </w:p>
    <w:p w14:paraId="7653B0D2" w14:textId="77777777" w:rsidR="00964453" w:rsidRPr="0084570B" w:rsidRDefault="00964453" w:rsidP="008120DE">
      <w:pPr>
        <w:pStyle w:val="Normal1"/>
        <w:spacing w:line="360" w:lineRule="auto"/>
        <w:jc w:val="both"/>
        <w:rPr>
          <w:rFonts w:ascii="Times New Roman" w:eastAsia="Times New Roman" w:hAnsi="Times New Roman" w:cs="Times New Roman"/>
          <w:sz w:val="8"/>
          <w:szCs w:val="8"/>
          <w:lang w:val="en-US"/>
        </w:rPr>
      </w:pPr>
    </w:p>
    <w:p w14:paraId="0BDB07FD" w14:textId="70A12DE2" w:rsidR="008120DE" w:rsidRPr="0084570B" w:rsidRDefault="008120DE" w:rsidP="008120DE">
      <w:pPr>
        <w:pStyle w:val="Normal1"/>
        <w:spacing w:line="360" w:lineRule="auto"/>
        <w:jc w:val="right"/>
        <w:rPr>
          <w:rFonts w:ascii="Times New Roman" w:eastAsia="Times New Roman" w:hAnsi="Times New Roman" w:cs="Times New Roman"/>
          <w:sz w:val="22"/>
          <w:szCs w:val="22"/>
          <w:lang w:val="en-US"/>
        </w:rPr>
      </w:pPr>
      <m:oMath>
        <m:r>
          <w:rPr>
            <w:rFonts w:ascii="Cambria Math" w:eastAsia="Cambria Math" w:hAnsi="Cambria Math" w:cs="Times New Roman"/>
            <w:sz w:val="22"/>
            <w:szCs w:val="22"/>
            <w:lang w:val="en-US"/>
          </w:rPr>
          <m:t>μ=</m:t>
        </m:r>
        <m:nary>
          <m:naryPr>
            <m:chr m:val="∑"/>
            <m:ctrlPr>
              <w:rPr>
                <w:rFonts w:ascii="Cambria Math" w:eastAsia="Cambria Math" w:hAnsi="Cambria Math" w:cs="Times New Roman"/>
                <w:sz w:val="22"/>
                <w:szCs w:val="22"/>
                <w:lang w:val="en-US"/>
              </w:rPr>
            </m:ctrlPr>
          </m:naryPr>
          <m:sub>
            <m:r>
              <w:rPr>
                <w:rFonts w:ascii="Cambria Math" w:eastAsia="Cambria Math" w:hAnsi="Cambria Math" w:cs="Times New Roman"/>
                <w:sz w:val="22"/>
                <w:szCs w:val="22"/>
                <w:lang w:val="en-US"/>
              </w:rPr>
              <m:t xml:space="preserve"> </m:t>
            </m:r>
          </m:sub>
          <m:sup>
            <m:r>
              <w:rPr>
                <w:rFonts w:ascii="Cambria Math" w:eastAsia="Cambria Math" w:hAnsi="Cambria Math" w:cs="Times New Roman"/>
                <w:sz w:val="22"/>
                <w:szCs w:val="22"/>
                <w:lang w:val="en-US"/>
              </w:rPr>
              <m:t xml:space="preserve"> </m:t>
            </m:r>
          </m:sup>
          <m:e>
            <m:f>
              <m:fPr>
                <m:ctrlPr>
                  <w:rPr>
                    <w:rFonts w:ascii="Cambria Math" w:eastAsia="Cambria Math" w:hAnsi="Cambria Math" w:cs="Times New Roman"/>
                    <w:sz w:val="22"/>
                    <w:szCs w:val="22"/>
                    <w:lang w:val="en-US"/>
                  </w:rPr>
                </m:ctrlPr>
              </m:fPr>
              <m:num>
                <m:sSup>
                  <m:sSupPr>
                    <m:ctrlPr>
                      <w:rPr>
                        <w:rFonts w:ascii="Cambria Math" w:eastAsia="Cambria Math" w:hAnsi="Cambria Math" w:cs="Times New Roman"/>
                        <w:sz w:val="22"/>
                        <w:szCs w:val="22"/>
                        <w:lang w:val="en-US"/>
                      </w:rPr>
                    </m:ctrlPr>
                  </m:sSupPr>
                  <m:e>
                    <m:d>
                      <m:dPr>
                        <m:ctrlPr>
                          <w:rPr>
                            <w:rFonts w:ascii="Cambria Math" w:eastAsia="Cambria Math" w:hAnsi="Cambria Math" w:cs="Times New Roman"/>
                            <w:sz w:val="22"/>
                            <w:szCs w:val="22"/>
                            <w:lang w:val="en-US"/>
                          </w:rPr>
                        </m:ctrlPr>
                      </m:dPr>
                      <m:e>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O</m:t>
                            </m:r>
                          </m:e>
                          <m:sub>
                            <m:r>
                              <w:rPr>
                                <w:rFonts w:ascii="Cambria Math" w:eastAsia="Cambria Math" w:hAnsi="Cambria Math" w:cs="Times New Roman"/>
                                <w:sz w:val="22"/>
                                <w:szCs w:val="22"/>
                                <w:lang w:val="en-US"/>
                              </w:rPr>
                              <m:t>i</m:t>
                            </m:r>
                          </m:sub>
                        </m:sSub>
                        <m:r>
                          <w:rPr>
                            <w:rFonts w:ascii="Cambria Math" w:eastAsia="Cambria Math" w:hAnsi="Cambria Math" w:cs="Times New Roman"/>
                            <w:sz w:val="22"/>
                            <w:szCs w:val="22"/>
                            <w:lang w:val="en-US"/>
                          </w:rPr>
                          <m:t>-</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E</m:t>
                            </m:r>
                          </m:e>
                          <m:sub>
                            <m:r>
                              <w:rPr>
                                <w:rFonts w:ascii="Cambria Math" w:eastAsia="Cambria Math" w:hAnsi="Cambria Math" w:cs="Times New Roman"/>
                                <w:sz w:val="22"/>
                                <w:szCs w:val="22"/>
                                <w:lang w:val="en-US"/>
                              </w:rPr>
                              <m:t>i</m:t>
                            </m:r>
                          </m:sub>
                        </m:sSub>
                      </m:e>
                    </m:d>
                  </m:e>
                  <m:sup>
                    <m:r>
                      <w:rPr>
                        <w:rFonts w:ascii="Cambria Math" w:eastAsia="Cambria Math" w:hAnsi="Cambria Math" w:cs="Times New Roman"/>
                        <w:sz w:val="22"/>
                        <w:szCs w:val="22"/>
                        <w:lang w:val="en-US"/>
                      </w:rPr>
                      <m:t>2</m:t>
                    </m:r>
                  </m:sup>
                </m:sSup>
              </m:num>
              <m:den>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E</m:t>
                    </m:r>
                  </m:e>
                  <m:sub>
                    <m:r>
                      <w:rPr>
                        <w:rFonts w:ascii="Cambria Math" w:eastAsia="Cambria Math" w:hAnsi="Cambria Math" w:cs="Times New Roman"/>
                        <w:sz w:val="22"/>
                        <w:szCs w:val="22"/>
                        <w:lang w:val="en-US"/>
                      </w:rPr>
                      <m:t>i</m:t>
                    </m:r>
                  </m:sub>
                </m:sSub>
              </m:den>
            </m:f>
          </m:e>
        </m:nary>
      </m:oMath>
      <w:r w:rsidRPr="0084570B">
        <w:rPr>
          <w:rFonts w:ascii="Times New Roman" w:eastAsia="Cambria Math" w:hAnsi="Times New Roman" w:cs="Times New Roman"/>
          <w:sz w:val="22"/>
          <w:szCs w:val="22"/>
          <w:lang w:val="en-US"/>
        </w:rPr>
        <w:t xml:space="preserve">               </w:t>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r>
      <w:r w:rsidR="00D47278">
        <w:rPr>
          <w:rFonts w:ascii="Times New Roman" w:eastAsia="Times New Roman" w:hAnsi="Times New Roman" w:cs="Times New Roman"/>
          <w:sz w:val="22"/>
          <w:szCs w:val="22"/>
          <w:lang w:val="en-US"/>
        </w:rPr>
        <w:tab/>
        <w:t xml:space="preserve">    </w:t>
      </w:r>
      <w:r w:rsidR="00D47278">
        <w:rPr>
          <w:rFonts w:ascii="Times New Roman" w:eastAsia="Times New Roman" w:hAnsi="Times New Roman" w:cs="Times New Roman"/>
          <w:sz w:val="22"/>
          <w:szCs w:val="22"/>
          <w:lang w:val="en-US"/>
        </w:rPr>
        <w:tab/>
        <w:t xml:space="preserve">     (EQ. S14</w:t>
      </w:r>
      <w:r w:rsidRPr="0084570B">
        <w:rPr>
          <w:rFonts w:ascii="Times New Roman" w:eastAsia="Times New Roman" w:hAnsi="Times New Roman" w:cs="Times New Roman"/>
          <w:sz w:val="22"/>
          <w:szCs w:val="22"/>
          <w:lang w:val="en-US"/>
        </w:rPr>
        <w:t>)</w:t>
      </w:r>
    </w:p>
    <w:p w14:paraId="6CCE1FD7"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O</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 xml:space="preserve">E </w:t>
      </w:r>
      <w:r w:rsidRPr="0084570B">
        <w:rPr>
          <w:rFonts w:ascii="Times New Roman" w:eastAsia="Times New Roman" w:hAnsi="Times New Roman" w:cs="Times New Roman"/>
          <w:sz w:val="22"/>
          <w:szCs w:val="22"/>
          <w:lang w:val="en-US"/>
        </w:rPr>
        <w:t>refer to the "observed" (model output) and "expected" (modern mantle composition) values for the 4 variables outlined above (</w:t>
      </w:r>
      <w:r w:rsidRPr="0084570B">
        <w:rPr>
          <w:rFonts w:ascii="Times New Roman" w:eastAsia="Times New Roman" w:hAnsi="Times New Roman" w:cs="Times New Roman"/>
          <w:b/>
          <w:sz w:val="22"/>
          <w:szCs w:val="22"/>
          <w:lang w:val="en-US"/>
        </w:rPr>
        <w:t>Table S3</w:t>
      </w:r>
      <w:r w:rsidRPr="0084570B">
        <w:rPr>
          <w:rFonts w:ascii="Times New Roman" w:eastAsia="Times New Roman" w:hAnsi="Times New Roman" w:cs="Times New Roman"/>
          <w:sz w:val="22"/>
          <w:szCs w:val="22"/>
          <w:lang w:val="en-US"/>
        </w:rPr>
        <w:t xml:space="preserve">). This provides an objective way to assess, for any </w:t>
      </w:r>
      <w:r w:rsidRPr="0084570B">
        <w:rPr>
          <w:rFonts w:ascii="Times New Roman" w:eastAsia="Times New Roman" w:hAnsi="Times New Roman" w:cs="Times New Roman"/>
          <w:sz w:val="22"/>
          <w:szCs w:val="22"/>
          <w:lang w:val="en-US"/>
        </w:rPr>
        <w:lastRenderedPageBreak/>
        <w:t>given set of input parameters, how close the model predictions are to reality. We can now run a large number of models with various input parameters in order to find the physical conditions which (according to the assumptions built into the model) are most likely to have produced the modern mantle composition. We consider three sets of target parameters, representing our measured Mt. Etna and Eifel compositions (this study) and previous determinations of the MORB composition</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 respectively.</w:t>
      </w:r>
    </w:p>
    <w:tbl>
      <w:tblPr>
        <w:tblStyle w:val="a0"/>
        <w:tblW w:w="4937"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1755"/>
        <w:gridCol w:w="870"/>
        <w:gridCol w:w="1156"/>
        <w:gridCol w:w="1156"/>
      </w:tblGrid>
      <w:tr w:rsidR="008120DE" w:rsidRPr="0084570B" w14:paraId="56A60123" w14:textId="77777777" w:rsidTr="00B97FE9">
        <w:trPr>
          <w:jc w:val="center"/>
        </w:trPr>
        <w:tc>
          <w:tcPr>
            <w:tcW w:w="1755" w:type="dxa"/>
            <w:tcBorders>
              <w:bottom w:val="single" w:sz="4" w:space="0" w:color="000000"/>
            </w:tcBorders>
          </w:tcPr>
          <w:p w14:paraId="3AA87E61"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p>
        </w:tc>
        <w:tc>
          <w:tcPr>
            <w:tcW w:w="870" w:type="dxa"/>
            <w:tcBorders>
              <w:left w:val="nil"/>
              <w:bottom w:val="single" w:sz="4" w:space="0" w:color="000000"/>
            </w:tcBorders>
          </w:tcPr>
          <w:p w14:paraId="6D053211"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MORB</w:t>
            </w:r>
          </w:p>
        </w:tc>
        <w:tc>
          <w:tcPr>
            <w:tcW w:w="1156" w:type="dxa"/>
            <w:tcBorders>
              <w:bottom w:val="single" w:sz="4" w:space="0" w:color="000000"/>
            </w:tcBorders>
          </w:tcPr>
          <w:p w14:paraId="7B5EA66A"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Mt. Etna</w:t>
            </w:r>
          </w:p>
        </w:tc>
        <w:tc>
          <w:tcPr>
            <w:tcW w:w="1156" w:type="dxa"/>
            <w:tcBorders>
              <w:bottom w:val="single" w:sz="4" w:space="0" w:color="000000"/>
            </w:tcBorders>
          </w:tcPr>
          <w:p w14:paraId="7923349A"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Eifel</w:t>
            </w:r>
          </w:p>
        </w:tc>
      </w:tr>
      <w:tr w:rsidR="008120DE" w:rsidRPr="0084570B" w14:paraId="3DA5AC46" w14:textId="77777777" w:rsidTr="00B97FE9">
        <w:trPr>
          <w:jc w:val="center"/>
        </w:trPr>
        <w:tc>
          <w:tcPr>
            <w:tcW w:w="1755" w:type="dxa"/>
            <w:tcBorders>
              <w:top w:val="single" w:sz="4" w:space="0" w:color="000000"/>
              <w:right w:val="single" w:sz="4" w:space="0" w:color="000000"/>
            </w:tcBorders>
          </w:tcPr>
          <w:p w14:paraId="39868C08"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p>
        </w:tc>
        <w:tc>
          <w:tcPr>
            <w:tcW w:w="870" w:type="dxa"/>
            <w:tcBorders>
              <w:top w:val="single" w:sz="4" w:space="0" w:color="000000"/>
              <w:left w:val="single" w:sz="4" w:space="0" w:color="000000"/>
            </w:tcBorders>
          </w:tcPr>
          <w:p w14:paraId="79B6F375"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3.49</w:t>
            </w:r>
          </w:p>
        </w:tc>
        <w:tc>
          <w:tcPr>
            <w:tcW w:w="1156" w:type="dxa"/>
            <w:tcBorders>
              <w:top w:val="single" w:sz="4" w:space="0" w:color="000000"/>
            </w:tcBorders>
          </w:tcPr>
          <w:p w14:paraId="7AA6C690"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3.49</w:t>
            </w:r>
          </w:p>
        </w:tc>
        <w:tc>
          <w:tcPr>
            <w:tcW w:w="1156" w:type="dxa"/>
            <w:tcBorders>
              <w:top w:val="single" w:sz="4" w:space="0" w:color="000000"/>
            </w:tcBorders>
          </w:tcPr>
          <w:p w14:paraId="6B1C7447"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3.49</w:t>
            </w:r>
          </w:p>
        </w:tc>
      </w:tr>
      <w:tr w:rsidR="008120DE" w:rsidRPr="0084570B" w14:paraId="3FDE63F0" w14:textId="77777777" w:rsidTr="00B97FE9">
        <w:trPr>
          <w:trHeight w:val="394"/>
          <w:jc w:val="center"/>
        </w:trPr>
        <w:tc>
          <w:tcPr>
            <w:tcW w:w="1755" w:type="dxa"/>
            <w:tcBorders>
              <w:right w:val="single" w:sz="4" w:space="0" w:color="000000"/>
            </w:tcBorders>
          </w:tcPr>
          <w:p w14:paraId="17CEC33D"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p>
        </w:tc>
        <w:tc>
          <w:tcPr>
            <w:tcW w:w="870" w:type="dxa"/>
            <w:tcBorders>
              <w:left w:val="single" w:sz="4" w:space="0" w:color="000000"/>
            </w:tcBorders>
          </w:tcPr>
          <w:p w14:paraId="7224AB69"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11.06</w:t>
            </w:r>
          </w:p>
        </w:tc>
        <w:tc>
          <w:tcPr>
            <w:tcW w:w="1156" w:type="dxa"/>
          </w:tcPr>
          <w:p w14:paraId="03D0DA74"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11.06</w:t>
            </w:r>
          </w:p>
        </w:tc>
        <w:tc>
          <w:tcPr>
            <w:tcW w:w="1156" w:type="dxa"/>
          </w:tcPr>
          <w:p w14:paraId="7E5938A1"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11.06</w:t>
            </w:r>
          </w:p>
        </w:tc>
      </w:tr>
      <w:tr w:rsidR="008120DE" w:rsidRPr="0084570B" w14:paraId="0EDCF686" w14:textId="77777777" w:rsidTr="00B97FE9">
        <w:trPr>
          <w:jc w:val="center"/>
        </w:trPr>
        <w:tc>
          <w:tcPr>
            <w:tcW w:w="1755" w:type="dxa"/>
            <w:tcBorders>
              <w:right w:val="single" w:sz="4" w:space="0" w:color="000000"/>
            </w:tcBorders>
          </w:tcPr>
          <w:p w14:paraId="51ACB3F2"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vertAlign w:val="subscript"/>
                <w:lang w:val="en-US"/>
              </w:rPr>
            </w:pP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TF</w:t>
            </w:r>
          </w:p>
        </w:tc>
        <w:tc>
          <w:tcPr>
            <w:tcW w:w="870" w:type="dxa"/>
            <w:tcBorders>
              <w:left w:val="single" w:sz="4" w:space="0" w:color="000000"/>
            </w:tcBorders>
          </w:tcPr>
          <w:p w14:paraId="698028DF"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0.26</w:t>
            </w:r>
          </w:p>
        </w:tc>
        <w:tc>
          <w:tcPr>
            <w:tcW w:w="1156" w:type="dxa"/>
          </w:tcPr>
          <w:p w14:paraId="74ACEAAB"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0.03</w:t>
            </w:r>
          </w:p>
        </w:tc>
        <w:tc>
          <w:tcPr>
            <w:tcW w:w="1156" w:type="dxa"/>
          </w:tcPr>
          <w:p w14:paraId="28B3A566"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0.0044</w:t>
            </w:r>
          </w:p>
        </w:tc>
      </w:tr>
      <w:tr w:rsidR="008120DE" w:rsidRPr="0084570B" w14:paraId="48B318C2" w14:textId="77777777" w:rsidTr="00B97FE9">
        <w:trPr>
          <w:jc w:val="center"/>
        </w:trPr>
        <w:tc>
          <w:tcPr>
            <w:tcW w:w="1755" w:type="dxa"/>
            <w:tcBorders>
              <w:right w:val="single" w:sz="4" w:space="0" w:color="000000"/>
            </w:tcBorders>
          </w:tcPr>
          <w:p w14:paraId="4DEA3C8F"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vertAlign w:val="subscript"/>
                <w:lang w:val="en-US"/>
              </w:rPr>
            </w:pP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I</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p>
        </w:tc>
        <w:tc>
          <w:tcPr>
            <w:tcW w:w="870" w:type="dxa"/>
            <w:tcBorders>
              <w:left w:val="single" w:sz="4" w:space="0" w:color="000000"/>
            </w:tcBorders>
          </w:tcPr>
          <w:p w14:paraId="2E221789"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11</w:t>
            </w:r>
          </w:p>
        </w:tc>
        <w:tc>
          <w:tcPr>
            <w:tcW w:w="1156" w:type="dxa"/>
          </w:tcPr>
          <w:p w14:paraId="6CEDB796"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55</w:t>
            </w:r>
          </w:p>
        </w:tc>
        <w:tc>
          <w:tcPr>
            <w:tcW w:w="1156" w:type="dxa"/>
          </w:tcPr>
          <w:p w14:paraId="76A8E701" w14:textId="77777777" w:rsidR="008120DE" w:rsidRPr="0084570B" w:rsidRDefault="008120DE" w:rsidP="00B97FE9">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382</w:t>
            </w:r>
          </w:p>
        </w:tc>
      </w:tr>
    </w:tbl>
    <w:p w14:paraId="19C9AD03" w14:textId="77777777" w:rsidR="008120DE" w:rsidRPr="0084570B" w:rsidRDefault="008120DE" w:rsidP="008120DE">
      <w:pPr>
        <w:pStyle w:val="Normal1"/>
        <w:spacing w:line="360" w:lineRule="auto"/>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ab/>
      </w:r>
    </w:p>
    <w:p w14:paraId="68FEFA18" w14:textId="77777777"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Table S3.</w:t>
      </w:r>
      <w:r w:rsidRPr="0084570B">
        <w:rPr>
          <w:rFonts w:ascii="Times New Roman" w:eastAsia="Times New Roman" w:hAnsi="Times New Roman" w:cs="Times New Roman"/>
          <w:sz w:val="22"/>
          <w:szCs w:val="22"/>
          <w:lang w:val="en-US"/>
        </w:rPr>
        <w:t xml:space="preserve"> Target parameters for MORB and Mt. Etna compositions. Convecting mantle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and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 are corrected for the subduction of atmospheric Xe contributing 80% of the UM Xe inventory</w:t>
      </w:r>
      <w:r w:rsidRPr="0084570B">
        <w:rPr>
          <w:rFonts w:ascii="Times New Roman" w:eastAsia="Times New Roman" w:hAnsi="Times New Roman" w:cs="Times New Roman"/>
          <w:sz w:val="22"/>
          <w:szCs w:val="22"/>
          <w:lang w:val="en-US"/>
        </w:rPr>
        <w:fldChar w:fldCharType="begin" w:fldLock="1"/>
      </w:r>
      <w:r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Pr="0084570B">
        <w:rPr>
          <w:rFonts w:ascii="Times New Roman" w:eastAsia="Times New Roman" w:hAnsi="Times New Roman" w:cs="Times New Roman"/>
          <w:sz w:val="22"/>
          <w:szCs w:val="22"/>
          <w:lang w:val="en-US"/>
        </w:rPr>
        <w:fldChar w:fldCharType="separate"/>
      </w:r>
      <w:r w:rsidRPr="0084570B">
        <w:rPr>
          <w:rFonts w:ascii="Times New Roman" w:eastAsia="Times New Roman" w:hAnsi="Times New Roman" w:cs="Times New Roman"/>
          <w:noProof/>
          <w:sz w:val="22"/>
          <w:szCs w:val="22"/>
          <w:vertAlign w:val="superscript"/>
          <w:lang w:val="en-US"/>
        </w:rPr>
        <w:t>6</w:t>
      </w:r>
      <w:r w:rsidRPr="0084570B">
        <w:rPr>
          <w:rFonts w:ascii="Times New Roman" w:eastAsia="Times New Roman" w:hAnsi="Times New Roman" w:cs="Times New Roman"/>
          <w:sz w:val="22"/>
          <w:szCs w:val="22"/>
          <w:lang w:val="en-US"/>
        </w:rPr>
        <w:fldChar w:fldCharType="end"/>
      </w:r>
      <w:r w:rsidRPr="0084570B">
        <w:rPr>
          <w:rFonts w:ascii="Times New Roman" w:eastAsia="Times New Roman" w:hAnsi="Times New Roman" w:cs="Times New Roman"/>
          <w:sz w:val="22"/>
          <w:szCs w:val="22"/>
          <w:lang w:val="en-US"/>
        </w:rPr>
        <w:t>.</w:t>
      </w:r>
    </w:p>
    <w:p w14:paraId="18CD58CB"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p>
    <w:p w14:paraId="18D410B5" w14:textId="77777777" w:rsidR="008120DE" w:rsidRPr="0084570B" w:rsidRDefault="008120DE" w:rsidP="008120DE">
      <w:pPr>
        <w:pStyle w:val="Normal1"/>
        <w:numPr>
          <w:ilvl w:val="0"/>
          <w:numId w:val="3"/>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Free parameters</w:t>
      </w:r>
    </w:p>
    <w:p w14:paraId="1A91A2A2"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ab/>
      </w:r>
      <w:r w:rsidRPr="0084570B">
        <w:rPr>
          <w:rFonts w:ascii="Times New Roman" w:eastAsia="Times New Roman" w:hAnsi="Times New Roman" w:cs="Times New Roman"/>
          <w:sz w:val="22"/>
          <w:szCs w:val="22"/>
          <w:lang w:val="en-US"/>
        </w:rPr>
        <w:t>There are a number of input parameters to the model, with some well-constrained, and others less so. The primary unknown input parameters are: the magnitude of total degassing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the shape of the degassing curve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the abundance of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 in the modern mantle, the initial BSE</w:t>
      </w:r>
      <w:r w:rsidRPr="0084570B">
        <w:rPr>
          <w:rFonts w:ascii="Times New Roman" w:eastAsia="Times New Roman" w:hAnsi="Times New Roman" w:cs="Times New Roman"/>
          <w:sz w:val="22"/>
          <w:szCs w:val="22"/>
          <w:vertAlign w:val="superscript"/>
          <w:lang w:val="en-US"/>
        </w:rPr>
        <w:t xml:space="preserve"> </w:t>
      </w:r>
      <w:r w:rsidRPr="0084570B">
        <w:rPr>
          <w:rFonts w:ascii="Times New Roman" w:eastAsia="Times New Roman" w:hAnsi="Times New Roman" w:cs="Times New Roman"/>
          <w:sz w:val="22"/>
          <w:szCs w:val="22"/>
          <w:lang w:val="en-US"/>
        </w:rPr>
        <w:t>I abundance, and the shape of the crustal growth curve. In the following, we wish to find the values for the other 4 input parameters that provide the best fit to both our MORB and Mt. Etna target parameters, such that we can assess whether or not they constitute a plausible degassing history for Earth.</w:t>
      </w:r>
    </w:p>
    <w:p w14:paraId="6018E123" w14:textId="77777777" w:rsidR="008120DE" w:rsidRPr="0084570B" w:rsidRDefault="008120DE" w:rsidP="008120DE">
      <w:pPr>
        <w:pStyle w:val="Normal1"/>
        <w:spacing w:line="360" w:lineRule="auto"/>
        <w:rPr>
          <w:rFonts w:ascii="Times New Roman" w:eastAsia="Times New Roman" w:hAnsi="Times New Roman" w:cs="Times New Roman"/>
          <w:sz w:val="22"/>
          <w:szCs w:val="22"/>
          <w:lang w:val="en-US"/>
        </w:rPr>
      </w:pPr>
    </w:p>
    <w:p w14:paraId="3581F613" w14:textId="77777777" w:rsidR="008120DE" w:rsidRPr="0084570B" w:rsidRDefault="008120DE" w:rsidP="008120DE">
      <w:pPr>
        <w:pStyle w:val="Normal1"/>
        <w:numPr>
          <w:ilvl w:val="0"/>
          <w:numId w:val="3"/>
        </w:numPr>
        <w:spacing w:line="360" w:lineRule="auto"/>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Gradient descent algorithm</w:t>
      </w:r>
    </w:p>
    <w:p w14:paraId="55CA0221" w14:textId="77777777"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ab/>
      </w:r>
      <w:r w:rsidRPr="0084570B">
        <w:rPr>
          <w:rFonts w:ascii="Times New Roman" w:eastAsia="Times New Roman" w:hAnsi="Times New Roman" w:cs="Times New Roman"/>
          <w:sz w:val="22"/>
          <w:szCs w:val="22"/>
          <w:lang w:val="en-US"/>
        </w:rPr>
        <w:t xml:space="preserve">A brute force approach would simply be to try every possible reasonable combination of inputs for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[I]</w:t>
      </w:r>
      <w:r w:rsidRPr="0084570B">
        <w:rPr>
          <w:rFonts w:ascii="Times New Roman" w:eastAsia="Times New Roman" w:hAnsi="Times New Roman" w:cs="Times New Roman"/>
          <w:sz w:val="22"/>
          <w:szCs w:val="22"/>
          <w:vertAlign w:val="subscript"/>
          <w:lang w:val="en-US"/>
        </w:rPr>
        <w:t>init.</w:t>
      </w:r>
      <w:r w:rsidRPr="0084570B">
        <w:rPr>
          <w:rFonts w:ascii="Times New Roman" w:eastAsia="Times New Roman" w:hAnsi="Times New Roman" w:cs="Times New Roman"/>
          <w:sz w:val="22"/>
          <w:szCs w:val="22"/>
          <w:lang w:val="en-US"/>
        </w:rPr>
        <w:t>,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and find the combination that produces the lowest misfit value </w:t>
      </w:r>
      <w:r w:rsidRPr="0084570B">
        <w:rPr>
          <w:rFonts w:ascii="Times New Roman" w:eastAsia="Times New Roman" w:hAnsi="Times New Roman" w:cs="Times New Roman"/>
          <w:i/>
          <w:sz w:val="22"/>
          <w:szCs w:val="22"/>
          <w:lang w:val="en-US"/>
        </w:rPr>
        <w:t>μ</w:t>
      </w:r>
      <w:r w:rsidRPr="0084570B">
        <w:rPr>
          <w:rFonts w:ascii="Times New Roman" w:eastAsia="Times New Roman" w:hAnsi="Times New Roman" w:cs="Times New Roman"/>
          <w:sz w:val="22"/>
          <w:szCs w:val="22"/>
          <w:lang w:val="en-US"/>
        </w:rPr>
        <w:t>. A more sophisticated approach is to pick a reasonable initial input parameter composition and then use a gradient descent algorithm to iteratively change the input parameters towards those that generate the lowest possible misfit. This can be mathematically represented by the following equation, which is repeated until convergence.</w:t>
      </w:r>
    </w:p>
    <w:p w14:paraId="41C093EA" w14:textId="1320E1F4" w:rsidR="008120DE" w:rsidRPr="0084570B" w:rsidRDefault="008549F7" w:rsidP="008120DE">
      <w:pPr>
        <w:pStyle w:val="Normal1"/>
        <w:spacing w:line="360" w:lineRule="auto"/>
        <w:jc w:val="right"/>
        <w:rPr>
          <w:rFonts w:ascii="Times New Roman" w:eastAsia="Times New Roman" w:hAnsi="Times New Roman" w:cs="Times New Roman"/>
          <w:sz w:val="22"/>
          <w:szCs w:val="22"/>
          <w:lang w:val="en-US"/>
        </w:rPr>
      </w:pPr>
      <m:oMath>
        <m:sSub>
          <m:sSubPr>
            <m:ctrlPr>
              <w:rPr>
                <w:rFonts w:ascii="Cambria Math" w:eastAsia="Times New Roman" w:hAnsi="Cambria Math" w:cs="Times New Roman"/>
                <w:sz w:val="22"/>
                <w:szCs w:val="22"/>
                <w:lang w:val="en-US"/>
              </w:rPr>
            </m:ctrlPr>
          </m:sSubPr>
          <m:e>
            <m:r>
              <w:rPr>
                <w:rFonts w:ascii="Cambria Math" w:hAnsi="Cambria Math" w:cs="Times New Roman"/>
                <w:lang w:val="en-US"/>
              </w:rPr>
              <m:t>θ</m:t>
            </m:r>
          </m:e>
          <m:sub>
            <m:r>
              <w:rPr>
                <w:rFonts w:ascii="Cambria Math" w:eastAsia="Times New Roman" w:hAnsi="Cambria Math" w:cs="Times New Roman"/>
                <w:sz w:val="22"/>
                <w:szCs w:val="22"/>
                <w:lang w:val="en-US"/>
              </w:rPr>
              <m:t>i</m:t>
            </m:r>
          </m:sub>
        </m:sSub>
        <m:r>
          <w:rPr>
            <w:rFonts w:ascii="Cambria Math" w:eastAsia="Times New Roman" w:hAnsi="Cambria Math" w:cs="Times New Roman"/>
            <w:sz w:val="22"/>
            <w:szCs w:val="22"/>
            <w:lang w:val="en-US"/>
          </w:rPr>
          <m:t xml:space="preserve">≔ </m:t>
        </m:r>
        <m:sSub>
          <m:sSubPr>
            <m:ctrlPr>
              <w:rPr>
                <w:rFonts w:ascii="Cambria Math" w:eastAsia="Times New Roman" w:hAnsi="Cambria Math" w:cs="Times New Roman"/>
                <w:sz w:val="22"/>
                <w:szCs w:val="22"/>
                <w:lang w:val="en-US"/>
              </w:rPr>
            </m:ctrlPr>
          </m:sSubPr>
          <m:e>
            <m:r>
              <w:rPr>
                <w:rFonts w:ascii="Cambria Math" w:hAnsi="Cambria Math" w:cs="Times New Roman"/>
                <w:lang w:val="en-US"/>
              </w:rPr>
              <m:t>θ</m:t>
            </m:r>
          </m:e>
          <m:sub>
            <m:r>
              <w:rPr>
                <w:rFonts w:ascii="Cambria Math" w:eastAsia="Times New Roman" w:hAnsi="Cambria Math" w:cs="Times New Roman"/>
                <w:sz w:val="22"/>
                <w:szCs w:val="22"/>
                <w:lang w:val="en-US"/>
              </w:rPr>
              <m:t>i</m:t>
            </m:r>
          </m:sub>
        </m:sSub>
        <m:r>
          <w:rPr>
            <w:rFonts w:ascii="Cambria Math" w:eastAsia="Times New Roman" w:hAnsi="Cambria Math" w:cs="Times New Roman"/>
            <w:sz w:val="22"/>
            <w:szCs w:val="22"/>
            <w:lang w:val="en-US"/>
          </w:rPr>
          <m:t>-</m:t>
        </m:r>
        <m:r>
          <w:rPr>
            <w:rFonts w:ascii="Cambria Math" w:eastAsia="Times New Roman" w:hAnsi="Cambria Math" w:cs="Times New Roman"/>
            <w:sz w:val="22"/>
            <w:szCs w:val="22"/>
            <w:lang w:val="en-US"/>
          </w:rPr>
          <m:t>α</m:t>
        </m:r>
        <m:f>
          <m:fPr>
            <m:ctrlPr>
              <w:rPr>
                <w:rFonts w:ascii="Cambria Math" w:eastAsia="Times New Roman" w:hAnsi="Cambria Math" w:cs="Times New Roman"/>
                <w:sz w:val="22"/>
                <w:szCs w:val="22"/>
                <w:lang w:val="en-US"/>
              </w:rPr>
            </m:ctrlPr>
          </m:fPr>
          <m:num>
            <m:r>
              <w:rPr>
                <w:rFonts w:ascii="Cambria Math" w:eastAsia="Times New Roman" w:hAnsi="Cambria Math" w:cs="Times New Roman"/>
                <w:sz w:val="22"/>
                <w:szCs w:val="22"/>
                <w:lang w:val="en-US"/>
              </w:rPr>
              <m:t>∂μ</m:t>
            </m:r>
          </m:num>
          <m:den>
            <m:r>
              <w:rPr>
                <w:rFonts w:ascii="Cambria Math" w:eastAsia="Times New Roman" w:hAnsi="Cambria Math" w:cs="Times New Roman"/>
                <w:sz w:val="22"/>
                <w:szCs w:val="22"/>
                <w:lang w:val="en-US"/>
              </w:rPr>
              <m:t>∂</m:t>
            </m:r>
            <m:sSub>
              <m:sSubPr>
                <m:ctrlPr>
                  <w:rPr>
                    <w:rFonts w:ascii="Cambria Math" w:eastAsia="Times New Roman" w:hAnsi="Cambria Math" w:cs="Times New Roman"/>
                    <w:sz w:val="22"/>
                    <w:szCs w:val="22"/>
                    <w:lang w:val="en-US"/>
                  </w:rPr>
                </m:ctrlPr>
              </m:sSubPr>
              <m:e>
                <m:r>
                  <w:rPr>
                    <w:rFonts w:ascii="Cambria Math" w:hAnsi="Cambria Math" w:cs="Times New Roman"/>
                    <w:lang w:val="en-US"/>
                  </w:rPr>
                  <m:t>θ</m:t>
                </m:r>
              </m:e>
              <m:sub>
                <m:r>
                  <w:rPr>
                    <w:rFonts w:ascii="Cambria Math" w:eastAsia="Times New Roman" w:hAnsi="Cambria Math" w:cs="Times New Roman"/>
                    <w:sz w:val="22"/>
                    <w:szCs w:val="22"/>
                    <w:lang w:val="en-US"/>
                  </w:rPr>
                  <m:t>i</m:t>
                </m:r>
              </m:sub>
            </m:sSub>
          </m:den>
        </m:f>
      </m:oMath>
      <w:r w:rsidR="008120DE" w:rsidRPr="0084570B">
        <w:rPr>
          <w:rFonts w:ascii="Times New Roman" w:eastAsia="Cambria Math" w:hAnsi="Times New Roman" w:cs="Times New Roman"/>
          <w:sz w:val="22"/>
          <w:szCs w:val="22"/>
          <w:lang w:val="en-US"/>
        </w:rPr>
        <w:t xml:space="preserve">               </w:t>
      </w:r>
      <w:r w:rsidR="00964453" w:rsidRPr="0084570B">
        <w:rPr>
          <w:rFonts w:ascii="Times New Roman" w:eastAsia="Times New Roman" w:hAnsi="Times New Roman" w:cs="Times New Roman"/>
          <w:sz w:val="22"/>
          <w:szCs w:val="22"/>
          <w:lang w:val="en-US"/>
        </w:rPr>
        <w:tab/>
      </w:r>
      <w:r w:rsidR="00964453" w:rsidRPr="0084570B">
        <w:rPr>
          <w:rFonts w:ascii="Times New Roman" w:eastAsia="Times New Roman" w:hAnsi="Times New Roman" w:cs="Times New Roman"/>
          <w:sz w:val="22"/>
          <w:szCs w:val="22"/>
          <w:lang w:val="en-US"/>
        </w:rPr>
        <w:tab/>
        <w:t xml:space="preserve">         (EQ. </w:t>
      </w:r>
      <w:r w:rsidR="00D47278">
        <w:rPr>
          <w:rFonts w:ascii="Times New Roman" w:eastAsia="Times New Roman" w:hAnsi="Times New Roman" w:cs="Times New Roman"/>
          <w:sz w:val="22"/>
          <w:szCs w:val="22"/>
          <w:lang w:val="en-US"/>
        </w:rPr>
        <w:t>S15</w:t>
      </w:r>
      <w:r w:rsidR="008120DE" w:rsidRPr="0084570B">
        <w:rPr>
          <w:rFonts w:ascii="Times New Roman" w:eastAsia="Times New Roman" w:hAnsi="Times New Roman" w:cs="Times New Roman"/>
          <w:sz w:val="22"/>
          <w:szCs w:val="22"/>
          <w:lang w:val="en-US"/>
        </w:rPr>
        <w:t>)</w:t>
      </w:r>
    </w:p>
    <w:p w14:paraId="31445EDD" w14:textId="55AB0260" w:rsidR="008120DE" w:rsidRPr="0084570B" w:rsidRDefault="008120DE" w:rsidP="008120DE">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t xml:space="preserve">where </w:t>
      </w:r>
      <w:r w:rsidRPr="0084570B">
        <w:rPr>
          <w:rFonts w:ascii="Times New Roman" w:eastAsia="Times New Roman" w:hAnsi="Times New Roman" w:cs="Times New Roman"/>
          <w:i/>
          <w:sz w:val="22"/>
          <w:szCs w:val="22"/>
          <w:lang w:val="en-US"/>
        </w:rPr>
        <w:t>θ</w:t>
      </w:r>
      <w:r w:rsidRPr="0084570B">
        <w:rPr>
          <w:rFonts w:ascii="Times New Roman" w:eastAsia="Times New Roman" w:hAnsi="Times New Roman" w:cs="Times New Roman"/>
          <w:i/>
          <w:sz w:val="22"/>
          <w:szCs w:val="22"/>
          <w:vertAlign w:val="subscript"/>
          <w:lang w:val="en-US"/>
        </w:rPr>
        <w:t>i</w:t>
      </w:r>
      <w:r w:rsidRPr="0084570B">
        <w:rPr>
          <w:rFonts w:ascii="Times New Roman" w:eastAsia="Times New Roman" w:hAnsi="Times New Roman" w:cs="Times New Roman"/>
          <w:sz w:val="22"/>
          <w:szCs w:val="22"/>
          <w:lang w:val="en-US"/>
        </w:rPr>
        <w:t xml:space="preserve"> represents an input parameter (in this case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[I],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xml:space="preserve"> or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w:t>
      </w:r>
      <m:oMath>
        <m:f>
          <m:fPr>
            <m:ctrlPr>
              <w:rPr>
                <w:rFonts w:ascii="Cambria Math" w:eastAsia="Times New Roman" w:hAnsi="Cambria Math" w:cs="Times New Roman"/>
                <w:sz w:val="22"/>
                <w:szCs w:val="22"/>
                <w:lang w:val="en-US"/>
              </w:rPr>
            </m:ctrlPr>
          </m:fPr>
          <m:num>
            <m:r>
              <w:rPr>
                <w:rFonts w:ascii="Cambria Math" w:eastAsia="Times New Roman" w:hAnsi="Cambria Math" w:cs="Times New Roman"/>
                <w:sz w:val="22"/>
                <w:szCs w:val="22"/>
                <w:lang w:val="en-US"/>
              </w:rPr>
              <m:t>∂μ</m:t>
            </m:r>
          </m:num>
          <m:den>
            <m:r>
              <w:rPr>
                <w:rFonts w:ascii="Cambria Math" w:eastAsia="Times New Roman" w:hAnsi="Cambria Math" w:cs="Times New Roman"/>
                <w:sz w:val="22"/>
                <w:szCs w:val="22"/>
                <w:lang w:val="en-US"/>
              </w:rPr>
              <m:t>∂</m:t>
            </m:r>
            <m:sSub>
              <m:sSubPr>
                <m:ctrlPr>
                  <w:rPr>
                    <w:rFonts w:ascii="Cambria Math" w:eastAsia="Times New Roman" w:hAnsi="Cambria Math" w:cs="Times New Roman"/>
                    <w:sz w:val="22"/>
                    <w:szCs w:val="22"/>
                    <w:lang w:val="en-US"/>
                  </w:rPr>
                </m:ctrlPr>
              </m:sSubPr>
              <m:e>
                <m:r>
                  <w:rPr>
                    <w:rFonts w:ascii="Cambria Math" w:hAnsi="Cambria Math" w:cs="Times New Roman"/>
                    <w:lang w:val="en-US"/>
                  </w:rPr>
                  <m:t>θ</m:t>
                </m:r>
              </m:e>
              <m:sub>
                <m:r>
                  <w:rPr>
                    <w:rFonts w:ascii="Cambria Math" w:eastAsia="Times New Roman" w:hAnsi="Cambria Math" w:cs="Times New Roman"/>
                    <w:sz w:val="22"/>
                    <w:szCs w:val="22"/>
                    <w:lang w:val="en-US"/>
                  </w:rPr>
                  <m:t>i</m:t>
                </m:r>
              </m:sub>
            </m:sSub>
          </m:den>
        </m:f>
      </m:oMath>
      <w:r w:rsidRPr="0084570B">
        <w:rPr>
          <w:rFonts w:ascii="Times New Roman" w:eastAsia="Times New Roman" w:hAnsi="Times New Roman" w:cs="Times New Roman"/>
          <w:sz w:val="22"/>
          <w:szCs w:val="22"/>
          <w:lang w:val="en-US"/>
        </w:rPr>
        <w:t xml:space="preserve"> is the partial derivative of the misfit function </w:t>
      </w:r>
      <w:r w:rsidRPr="0084570B">
        <w:rPr>
          <w:rFonts w:ascii="Times New Roman" w:eastAsia="Times New Roman" w:hAnsi="Times New Roman" w:cs="Times New Roman"/>
          <w:i/>
          <w:sz w:val="22"/>
          <w:szCs w:val="22"/>
          <w:lang w:val="en-US"/>
        </w:rPr>
        <w:t>μ</w:t>
      </w:r>
      <w:r w:rsidRPr="0084570B">
        <w:rPr>
          <w:rFonts w:ascii="Times New Roman" w:eastAsia="Times New Roman" w:hAnsi="Times New Roman" w:cs="Times New Roman"/>
          <w:sz w:val="22"/>
          <w:szCs w:val="22"/>
          <w:lang w:val="en-US"/>
        </w:rPr>
        <w:t xml:space="preserve"> with respect to </w:t>
      </w:r>
      <w:r w:rsidRPr="0084570B">
        <w:rPr>
          <w:rFonts w:ascii="Times New Roman" w:eastAsia="Times New Roman" w:hAnsi="Times New Roman" w:cs="Times New Roman"/>
          <w:i/>
          <w:sz w:val="22"/>
          <w:szCs w:val="22"/>
          <w:lang w:val="en-US"/>
        </w:rPr>
        <w:t>θ</w:t>
      </w:r>
      <w:r w:rsidRPr="0084570B">
        <w:rPr>
          <w:rFonts w:ascii="Times New Roman" w:eastAsia="Times New Roman" w:hAnsi="Times New Roman" w:cs="Times New Roman"/>
          <w:i/>
          <w:sz w:val="22"/>
          <w:szCs w:val="22"/>
          <w:vertAlign w:val="subscript"/>
          <w:lang w:val="en-US"/>
        </w:rPr>
        <w:t>i</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α</w:t>
      </w:r>
      <w:r w:rsidRPr="0084570B">
        <w:rPr>
          <w:rFonts w:ascii="Times New Roman" w:eastAsia="Times New Roman" w:hAnsi="Times New Roman" w:cs="Times New Roman"/>
          <w:sz w:val="22"/>
          <w:szCs w:val="22"/>
          <w:lang w:val="en-US"/>
        </w:rPr>
        <w:t xml:space="preserve"> is the learning rate, which controls the magnitude of the changes to </w:t>
      </w:r>
      <w:r w:rsidRPr="0084570B">
        <w:rPr>
          <w:rFonts w:ascii="Times New Roman" w:eastAsia="Times New Roman" w:hAnsi="Times New Roman" w:cs="Times New Roman"/>
          <w:i/>
          <w:sz w:val="22"/>
          <w:szCs w:val="22"/>
          <w:lang w:val="en-US"/>
        </w:rPr>
        <w:t>θ</w:t>
      </w:r>
      <w:r w:rsidRPr="0084570B">
        <w:rPr>
          <w:rFonts w:ascii="Times New Roman" w:eastAsia="Times New Roman" w:hAnsi="Times New Roman" w:cs="Times New Roman"/>
          <w:sz w:val="22"/>
          <w:szCs w:val="22"/>
          <w:lang w:val="en-US"/>
        </w:rPr>
        <w:t xml:space="preserve"> between iterations. It can be seen that as </w:t>
      </w:r>
      <m:oMath>
        <m:f>
          <m:fPr>
            <m:ctrlPr>
              <w:rPr>
                <w:rFonts w:ascii="Cambria Math" w:eastAsia="Times New Roman" w:hAnsi="Cambria Math" w:cs="Times New Roman"/>
                <w:sz w:val="22"/>
                <w:szCs w:val="22"/>
                <w:lang w:val="en-US"/>
              </w:rPr>
            </m:ctrlPr>
          </m:fPr>
          <m:num>
            <m:r>
              <w:rPr>
                <w:rFonts w:ascii="Cambria Math" w:eastAsia="Times New Roman" w:hAnsi="Cambria Math" w:cs="Times New Roman"/>
                <w:sz w:val="22"/>
                <w:szCs w:val="22"/>
                <w:lang w:val="en-US"/>
              </w:rPr>
              <m:t>∂μ</m:t>
            </m:r>
          </m:num>
          <m:den>
            <m:r>
              <w:rPr>
                <w:rFonts w:ascii="Cambria Math" w:eastAsia="Times New Roman" w:hAnsi="Cambria Math" w:cs="Times New Roman"/>
                <w:sz w:val="22"/>
                <w:szCs w:val="22"/>
                <w:lang w:val="en-US"/>
              </w:rPr>
              <m:t>∂</m:t>
            </m:r>
            <m:sSub>
              <m:sSubPr>
                <m:ctrlPr>
                  <w:rPr>
                    <w:rFonts w:ascii="Cambria Math" w:eastAsia="Times New Roman" w:hAnsi="Cambria Math" w:cs="Times New Roman"/>
                    <w:sz w:val="22"/>
                    <w:szCs w:val="22"/>
                    <w:lang w:val="en-US"/>
                  </w:rPr>
                </m:ctrlPr>
              </m:sSubPr>
              <m:e>
                <m:r>
                  <w:rPr>
                    <w:rFonts w:ascii="Cambria Math" w:hAnsi="Cambria Math" w:cs="Times New Roman"/>
                    <w:lang w:val="en-US"/>
                  </w:rPr>
                  <m:t>θ</m:t>
                </m:r>
              </m:e>
              <m:sub>
                <m:r>
                  <w:rPr>
                    <w:rFonts w:ascii="Cambria Math" w:eastAsia="Times New Roman" w:hAnsi="Cambria Math" w:cs="Times New Roman"/>
                    <w:sz w:val="22"/>
                    <w:szCs w:val="22"/>
                    <w:lang w:val="en-US"/>
                  </w:rPr>
                  <m:t>i</m:t>
                </m:r>
              </m:sub>
            </m:sSub>
          </m:den>
        </m:f>
      </m:oMath>
      <w:r w:rsidRPr="0084570B">
        <w:rPr>
          <w:rFonts w:ascii="Times New Roman" w:eastAsia="Times New Roman" w:hAnsi="Times New Roman" w:cs="Times New Roman"/>
          <w:sz w:val="22"/>
          <w:szCs w:val="22"/>
          <w:lang w:val="en-US"/>
        </w:rPr>
        <w:t xml:space="preserve"> approaches zero the equation will converge, with the misfit </w:t>
      </w:r>
      <w:r w:rsidRPr="0084570B">
        <w:rPr>
          <w:rFonts w:ascii="Times New Roman" w:eastAsia="Times New Roman" w:hAnsi="Times New Roman" w:cs="Times New Roman"/>
          <w:i/>
          <w:sz w:val="22"/>
          <w:szCs w:val="22"/>
          <w:lang w:val="en-US"/>
        </w:rPr>
        <w:t>μ</w:t>
      </w:r>
      <w:r w:rsidRPr="0084570B">
        <w:rPr>
          <w:rFonts w:ascii="Times New Roman" w:eastAsia="Times New Roman" w:hAnsi="Times New Roman" w:cs="Times New Roman"/>
          <w:sz w:val="22"/>
          <w:szCs w:val="22"/>
          <w:lang w:val="en-US"/>
        </w:rPr>
        <w:t xml:space="preserve"> having reached a minimum. This process can be performed simultaneously </w:t>
      </w:r>
      <w:r w:rsidRPr="0084570B">
        <w:rPr>
          <w:rFonts w:ascii="Times New Roman" w:eastAsia="Times New Roman" w:hAnsi="Times New Roman" w:cs="Times New Roman"/>
          <w:sz w:val="22"/>
          <w:szCs w:val="22"/>
          <w:lang w:val="en-US"/>
        </w:rPr>
        <w:lastRenderedPageBreak/>
        <w:t>on our 4 input parameters, allowing us to quickly determine the values that most closely reproduce the target composition.</w:t>
      </w:r>
      <w:r w:rsidR="00832649"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sz w:val="22"/>
          <w:szCs w:val="22"/>
          <w:lang w:val="en-US"/>
        </w:rPr>
        <w:t xml:space="preserve">A potential pitfall of the gradient descent technique is the presence of local minima in the misfit function topography, which will produce low </w:t>
      </w:r>
      <m:oMath>
        <m:f>
          <m:fPr>
            <m:ctrlPr>
              <w:rPr>
                <w:rFonts w:ascii="Cambria Math" w:eastAsia="Cambria Math" w:hAnsi="Cambria Math" w:cs="Times New Roman"/>
                <w:sz w:val="22"/>
                <w:szCs w:val="22"/>
                <w:lang w:val="en-US"/>
              </w:rPr>
            </m:ctrlPr>
          </m:fPr>
          <m:num>
            <m:r>
              <w:rPr>
                <w:rFonts w:ascii="Cambria Math" w:eastAsia="Cambria Math" w:hAnsi="Cambria Math" w:cs="Times New Roman"/>
                <w:sz w:val="22"/>
                <w:szCs w:val="22"/>
                <w:lang w:val="en-US"/>
              </w:rPr>
              <m:t>∂μ</m:t>
            </m:r>
          </m:num>
          <m:den>
            <m:r>
              <w:rPr>
                <w:rFonts w:ascii="Cambria Math" w:eastAsia="Cambria Math" w:hAnsi="Cambria Math" w:cs="Times New Roman"/>
                <w:sz w:val="22"/>
                <w:szCs w:val="22"/>
                <w:lang w:val="en-US"/>
              </w:rPr>
              <m:t>∂</m:t>
            </m:r>
            <m:sSub>
              <m:sSubPr>
                <m:ctrlPr>
                  <w:rPr>
                    <w:rFonts w:ascii="Cambria Math" w:eastAsia="Cambria Math" w:hAnsi="Cambria Math" w:cs="Times New Roman"/>
                    <w:sz w:val="22"/>
                    <w:szCs w:val="22"/>
                    <w:lang w:val="en-US"/>
                  </w:rPr>
                </m:ctrlPr>
              </m:sSubPr>
              <m:e>
                <m:r>
                  <w:rPr>
                    <w:rFonts w:ascii="Cambria Math" w:eastAsia="Cambria Math" w:hAnsi="Cambria Math" w:cs="Times New Roman"/>
                    <w:sz w:val="22"/>
                    <w:szCs w:val="22"/>
                    <w:lang w:val="en-US"/>
                  </w:rPr>
                  <m:t>θ</m:t>
                </m:r>
              </m:e>
              <m:sub>
                <m:r>
                  <w:rPr>
                    <w:rFonts w:ascii="Cambria Math" w:eastAsia="Cambria Math" w:hAnsi="Cambria Math" w:cs="Times New Roman"/>
                    <w:sz w:val="22"/>
                    <w:szCs w:val="22"/>
                    <w:lang w:val="en-US"/>
                  </w:rPr>
                  <m:t>i</m:t>
                </m:r>
              </m:sub>
            </m:sSub>
          </m:den>
        </m:f>
      </m:oMath>
      <w:r w:rsidRPr="0084570B">
        <w:rPr>
          <w:rFonts w:ascii="Times New Roman" w:eastAsia="Times New Roman" w:hAnsi="Times New Roman" w:cs="Times New Roman"/>
          <w:sz w:val="22"/>
          <w:szCs w:val="22"/>
          <w:lang w:val="en-US"/>
        </w:rPr>
        <w:t xml:space="preserve"> and potentially prevent the algorithm from proceeding to the true minimum value. A coarse resolution look at the variation of the misfit function with respect to the 4 input parameters allows us to assess the likelihood of this issue arising. </w:t>
      </w:r>
    </w:p>
    <w:p w14:paraId="38F6D49B" w14:textId="77777777" w:rsidR="00FA2ECF" w:rsidRPr="0084570B" w:rsidRDefault="00FA2ECF" w:rsidP="008120DE">
      <w:pPr>
        <w:pStyle w:val="Normal1"/>
        <w:spacing w:line="360" w:lineRule="auto"/>
        <w:jc w:val="center"/>
        <w:rPr>
          <w:rFonts w:ascii="Times New Roman" w:eastAsia="Times New Roman" w:hAnsi="Times New Roman" w:cs="Times New Roman"/>
          <w:b/>
          <w:sz w:val="28"/>
          <w:szCs w:val="28"/>
          <w:lang w:val="en-US"/>
        </w:rPr>
      </w:pPr>
    </w:p>
    <w:p w14:paraId="6EDACD0A" w14:textId="77777777" w:rsidR="00FA2ECF" w:rsidRPr="0084570B" w:rsidRDefault="00FA2ECF">
      <w:pP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br w:type="page"/>
      </w:r>
    </w:p>
    <w:p w14:paraId="1410ACAF" w14:textId="7934A4D4" w:rsidR="008120DE" w:rsidRPr="0084570B" w:rsidRDefault="00D971FA" w:rsidP="008120DE">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SI-</w:t>
      </w:r>
      <w:r w:rsidR="008120DE"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694080" behindDoc="1" locked="0" layoutInCell="1" allowOverlap="1" wp14:anchorId="75A921A7" wp14:editId="747CEC31">
                <wp:simplePos x="0" y="0"/>
                <wp:positionH relativeFrom="column">
                  <wp:posOffset>-2963</wp:posOffset>
                </wp:positionH>
                <wp:positionV relativeFrom="paragraph">
                  <wp:posOffset>-24130</wp:posOffset>
                </wp:positionV>
                <wp:extent cx="5753735" cy="270510"/>
                <wp:effectExtent l="0" t="0" r="12065" b="8890"/>
                <wp:wrapNone/>
                <wp:docPr id="42" name="Rectangle 42"/>
                <wp:cNvGraphicFramePr/>
                <a:graphic xmlns:a="http://schemas.openxmlformats.org/drawingml/2006/main">
                  <a:graphicData uri="http://schemas.microsoft.com/office/word/2010/wordprocessingShape">
                    <wps:wsp>
                      <wps:cNvSpPr/>
                      <wps:spPr>
                        <a:xfrm>
                          <a:off x="0" y="0"/>
                          <a:ext cx="5753735"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1CB663" id="Rectangle 42" o:spid="_x0000_s1026" style="position:absolute;margin-left:-.25pt;margin-top:-1.9pt;width:453.05pt;height:21.3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" fillcolor="#f2dbdb [661]" stroked="f"/>
            </w:pict>
          </mc:Fallback>
        </mc:AlternateContent>
      </w:r>
      <w:r w:rsidR="00265BDB" w:rsidRPr="0084570B">
        <w:rPr>
          <w:rFonts w:ascii="Times New Roman" w:eastAsia="Times New Roman" w:hAnsi="Times New Roman" w:cs="Times New Roman"/>
          <w:b/>
          <w:sz w:val="28"/>
          <w:szCs w:val="28"/>
          <w:lang w:val="en-US"/>
        </w:rPr>
        <w:t>7</w:t>
      </w:r>
      <w:r w:rsidR="008120DE" w:rsidRPr="0084570B">
        <w:rPr>
          <w:rFonts w:ascii="Times New Roman" w:eastAsia="Times New Roman" w:hAnsi="Times New Roman" w:cs="Times New Roman"/>
          <w:b/>
          <w:sz w:val="28"/>
          <w:szCs w:val="28"/>
          <w:lang w:val="en-US"/>
        </w:rPr>
        <w:t xml:space="preserve">° Results of the numerical model </w:t>
      </w:r>
    </w:p>
    <w:p w14:paraId="5EBD76FC" w14:textId="77777777" w:rsidR="008120DE" w:rsidRPr="0084570B" w:rsidRDefault="008120DE" w:rsidP="008120DE">
      <w:pPr>
        <w:pStyle w:val="Normal1"/>
        <w:spacing w:line="360" w:lineRule="auto"/>
        <w:ind w:firstLine="708"/>
        <w:jc w:val="both"/>
        <w:rPr>
          <w:rFonts w:ascii="Times New Roman" w:eastAsia="Times New Roman" w:hAnsi="Times New Roman" w:cs="Times New Roman"/>
          <w:sz w:val="22"/>
          <w:szCs w:val="22"/>
          <w:lang w:val="en-US"/>
        </w:rPr>
      </w:pPr>
    </w:p>
    <w:p w14:paraId="0F5CF6FD" w14:textId="586B8F62" w:rsidR="009335B2" w:rsidRPr="0084570B" w:rsidRDefault="00A30225" w:rsidP="009335B2">
      <w:pPr>
        <w:pStyle w:val="Normal1"/>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sz w:val="22"/>
          <w:szCs w:val="22"/>
          <w:lang w:val="en-US"/>
        </w:rPr>
        <w:t xml:space="preserve">No giant impact scenarios: </w:t>
      </w:r>
      <w:r w:rsidRPr="0084570B">
        <w:rPr>
          <w:rFonts w:ascii="Times New Roman" w:eastAsia="Times New Roman" w:hAnsi="Times New Roman" w:cs="Times New Roman"/>
          <w:sz w:val="22"/>
          <w:szCs w:val="22"/>
          <w:lang w:val="en-US"/>
        </w:rPr>
        <w:t>A</w:t>
      </w:r>
      <w:r w:rsidR="008120DE" w:rsidRPr="0084570B">
        <w:rPr>
          <w:rFonts w:ascii="Times New Roman" w:eastAsia="Times New Roman" w:hAnsi="Times New Roman" w:cs="Times New Roman"/>
          <w:sz w:val="22"/>
          <w:szCs w:val="22"/>
          <w:lang w:val="en-US"/>
        </w:rPr>
        <w:t xml:space="preserve"> series of contour plots of the value of the misfit function for the conventional MORB target parameters</w:t>
      </w:r>
      <w:r w:rsidRPr="0084570B">
        <w:rPr>
          <w:rFonts w:ascii="Times New Roman" w:eastAsia="Times New Roman" w:hAnsi="Times New Roman" w:cs="Times New Roman"/>
          <w:sz w:val="22"/>
          <w:szCs w:val="22"/>
          <w:lang w:val="en-US"/>
        </w:rPr>
        <w:t xml:space="preserve"> is shown on </w:t>
      </w:r>
      <w:r w:rsidRPr="0084570B">
        <w:rPr>
          <w:rFonts w:ascii="Times New Roman" w:eastAsia="Times New Roman" w:hAnsi="Times New Roman" w:cs="Times New Roman"/>
          <w:b/>
          <w:sz w:val="22"/>
          <w:szCs w:val="22"/>
          <w:lang w:val="en-US"/>
        </w:rPr>
        <w:t>Figure S13</w:t>
      </w:r>
      <w:r w:rsidR="008120DE" w:rsidRPr="0084570B">
        <w:rPr>
          <w:rFonts w:ascii="Times New Roman" w:eastAsia="Times New Roman" w:hAnsi="Times New Roman" w:cs="Times New Roman"/>
          <w:sz w:val="22"/>
          <w:szCs w:val="22"/>
          <w:lang w:val="en-US"/>
        </w:rPr>
        <w:t xml:space="preserve"> for a large number of models run over the plausible range of the input parameters. Every simulation shows a single, well-defined minimum in the misfit function, suggesting that local minima are unlikely to be an issue. The same results are shown for Mt. Etna and Eifel data on </w:t>
      </w:r>
      <w:r w:rsidR="005C6798" w:rsidRPr="0084570B">
        <w:rPr>
          <w:rFonts w:ascii="Times New Roman" w:eastAsia="Times New Roman" w:hAnsi="Times New Roman" w:cs="Times New Roman"/>
          <w:b/>
          <w:sz w:val="22"/>
          <w:szCs w:val="22"/>
          <w:lang w:val="en-US"/>
        </w:rPr>
        <w:t>Figure S14</w:t>
      </w:r>
      <w:r w:rsidR="008120DE" w:rsidRPr="0084570B">
        <w:rPr>
          <w:rFonts w:ascii="Times New Roman" w:eastAsia="Times New Roman" w:hAnsi="Times New Roman" w:cs="Times New Roman"/>
          <w:sz w:val="22"/>
          <w:szCs w:val="22"/>
          <w:lang w:val="en-US"/>
        </w:rPr>
        <w:t xml:space="preserve"> and </w:t>
      </w:r>
      <w:r w:rsidR="008120DE"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5</w:t>
      </w:r>
      <w:r w:rsidR="008120DE" w:rsidRPr="0084570B">
        <w:rPr>
          <w:rFonts w:ascii="Times New Roman" w:eastAsia="Times New Roman" w:hAnsi="Times New Roman" w:cs="Times New Roman"/>
          <w:sz w:val="22"/>
          <w:szCs w:val="22"/>
          <w:lang w:val="en-US"/>
        </w:rPr>
        <w:t xml:space="preserve">, respectively. Note that, in each case, the learning rate for each input parameter must be tuned such that the gradient descent algorithm reliably and consistently finds these minima from a range of reasonable starting compositions. The best-fit input parameters generated using the gradient descent algorithm and the two continental crust growth functions presented in </w:t>
      </w:r>
      <w:r w:rsidR="008120DE"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2</w:t>
      </w:r>
      <w:r w:rsidR="008120DE" w:rsidRPr="0084570B">
        <w:rPr>
          <w:rFonts w:ascii="Times New Roman" w:eastAsia="Times New Roman" w:hAnsi="Times New Roman" w:cs="Times New Roman"/>
          <w:sz w:val="22"/>
          <w:szCs w:val="22"/>
          <w:lang w:val="en-US"/>
        </w:rPr>
        <w:t xml:space="preserve"> are shown in </w:t>
      </w:r>
      <w:r w:rsidR="008120DE" w:rsidRPr="0084570B">
        <w:rPr>
          <w:rFonts w:ascii="Times New Roman" w:eastAsia="Times New Roman" w:hAnsi="Times New Roman" w:cs="Times New Roman"/>
          <w:b/>
          <w:sz w:val="22"/>
          <w:szCs w:val="22"/>
          <w:lang w:val="en-US"/>
        </w:rPr>
        <w:t>Table S4</w:t>
      </w:r>
      <w:r w:rsidR="006C5866" w:rsidRPr="0084570B">
        <w:rPr>
          <w:rFonts w:ascii="Times New Roman" w:eastAsia="Times New Roman" w:hAnsi="Times New Roman" w:cs="Times New Roman"/>
          <w:sz w:val="22"/>
          <w:szCs w:val="22"/>
          <w:lang w:val="en-US"/>
        </w:rPr>
        <w:t>. The best-</w:t>
      </w:r>
      <w:r w:rsidR="008120DE" w:rsidRPr="0084570B">
        <w:rPr>
          <w:rFonts w:ascii="Times New Roman" w:eastAsia="Times New Roman" w:hAnsi="Times New Roman" w:cs="Times New Roman"/>
          <w:sz w:val="22"/>
          <w:szCs w:val="22"/>
          <w:lang w:val="en-US"/>
        </w:rPr>
        <w:t>fit input parameters for crustal growth A</w:t>
      </w:r>
      <w:r w:rsidR="008120DE" w:rsidRPr="0084570B">
        <w:rPr>
          <w:rFonts w:ascii="Times New Roman" w:eastAsia="Times New Roman" w:hAnsi="Times New Roman" w:cs="Times New Roman"/>
          <w:szCs w:val="22"/>
          <w:lang w:val="en-US"/>
        </w:rPr>
        <w:t xml:space="preserve"> (</w:t>
      </w:r>
      <w:r w:rsidR="008120DE" w:rsidRPr="0084570B">
        <w:rPr>
          <w:rFonts w:ascii="Times New Roman" w:eastAsia="Times New Roman" w:hAnsi="Times New Roman" w:cs="Times New Roman"/>
          <w:b/>
          <w:szCs w:val="22"/>
          <w:lang w:val="en-US"/>
        </w:rPr>
        <w:t>Figure S1</w:t>
      </w:r>
      <w:r w:rsidR="005C6798" w:rsidRPr="0084570B">
        <w:rPr>
          <w:rFonts w:ascii="Times New Roman" w:eastAsia="Times New Roman" w:hAnsi="Times New Roman" w:cs="Times New Roman"/>
          <w:b/>
          <w:szCs w:val="22"/>
          <w:lang w:val="en-US"/>
        </w:rPr>
        <w:t>2</w:t>
      </w:r>
      <w:r w:rsidR="008120DE" w:rsidRPr="0084570B">
        <w:rPr>
          <w:rFonts w:ascii="Times New Roman" w:eastAsia="Times New Roman" w:hAnsi="Times New Roman" w:cs="Times New Roman"/>
          <w:szCs w:val="22"/>
          <w:lang w:val="en-US"/>
        </w:rPr>
        <w:t xml:space="preserve">) </w:t>
      </w:r>
      <w:r w:rsidR="008120DE" w:rsidRPr="0084570B">
        <w:rPr>
          <w:rFonts w:ascii="Times New Roman" w:eastAsia="Times New Roman" w:hAnsi="Times New Roman" w:cs="Times New Roman"/>
          <w:sz w:val="22"/>
          <w:szCs w:val="22"/>
          <w:lang w:val="en-US"/>
        </w:rPr>
        <w:t xml:space="preserve">correspond to the misfit function minima observed in </w:t>
      </w:r>
      <w:r w:rsidR="008120DE"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3, S14</w:t>
      </w:r>
      <w:r w:rsidR="008120DE" w:rsidRPr="0084570B">
        <w:rPr>
          <w:rFonts w:ascii="Times New Roman" w:eastAsia="Times New Roman" w:hAnsi="Times New Roman" w:cs="Times New Roman"/>
          <w:b/>
          <w:sz w:val="22"/>
          <w:szCs w:val="22"/>
          <w:lang w:val="en-US"/>
        </w:rPr>
        <w:t xml:space="preserve"> </w:t>
      </w:r>
      <w:r w:rsidR="008120DE" w:rsidRPr="0084570B">
        <w:rPr>
          <w:rFonts w:ascii="Times New Roman" w:eastAsia="Times New Roman" w:hAnsi="Times New Roman" w:cs="Times New Roman"/>
          <w:sz w:val="22"/>
          <w:szCs w:val="22"/>
          <w:lang w:val="en-US"/>
        </w:rPr>
        <w:t>and</w:t>
      </w:r>
      <w:r w:rsidR="008120DE" w:rsidRPr="0084570B">
        <w:rPr>
          <w:rFonts w:ascii="Times New Roman" w:eastAsia="Times New Roman" w:hAnsi="Times New Roman" w:cs="Times New Roman"/>
          <w:b/>
          <w:sz w:val="22"/>
          <w:szCs w:val="22"/>
          <w:lang w:val="en-US"/>
        </w:rPr>
        <w:t xml:space="preserve"> S1</w:t>
      </w:r>
      <w:r w:rsidR="005C6798" w:rsidRPr="0084570B">
        <w:rPr>
          <w:rFonts w:ascii="Times New Roman" w:eastAsia="Times New Roman" w:hAnsi="Times New Roman" w:cs="Times New Roman"/>
          <w:b/>
          <w:sz w:val="22"/>
          <w:szCs w:val="22"/>
          <w:lang w:val="en-US"/>
        </w:rPr>
        <w:t>5</w:t>
      </w:r>
      <w:r w:rsidR="008120DE" w:rsidRPr="0084570B">
        <w:rPr>
          <w:rFonts w:ascii="Times New Roman" w:eastAsia="Times New Roman" w:hAnsi="Times New Roman" w:cs="Times New Roman"/>
          <w:sz w:val="22"/>
          <w:szCs w:val="22"/>
          <w:lang w:val="en-US"/>
        </w:rPr>
        <w:t xml:space="preserve"> for conventional MORB, Mt. Etna and Eifel target parameters, respectively.</w:t>
      </w:r>
    </w:p>
    <w:p w14:paraId="7C7BFF81" w14:textId="77777777" w:rsidR="009335B2" w:rsidRPr="0084570B" w:rsidRDefault="009335B2" w:rsidP="009335B2">
      <w:pPr>
        <w:pStyle w:val="Normal1"/>
        <w:spacing w:line="360" w:lineRule="auto"/>
        <w:jc w:val="both"/>
        <w:rPr>
          <w:rFonts w:ascii="Times New Roman" w:eastAsia="Times New Roman" w:hAnsi="Times New Roman" w:cs="Times New Roman"/>
          <w:sz w:val="22"/>
          <w:szCs w:val="22"/>
          <w:lang w:val="en-US"/>
        </w:rPr>
      </w:pPr>
    </w:p>
    <w:p w14:paraId="3F262021" w14:textId="1D382E82" w:rsidR="008120DE" w:rsidRPr="0084570B" w:rsidRDefault="008120DE" w:rsidP="009335B2">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drawing>
          <wp:inline distT="0" distB="0" distL="0" distR="0" wp14:anchorId="777DFC9F" wp14:editId="37516476">
            <wp:extent cx="5580404" cy="3285200"/>
            <wp:effectExtent l="0" t="0" r="7620" b="0"/>
            <wp:docPr id="36" name="Image 36" descr="Bekaert:Users:dbekaert:Desktop:Capture d’écran 2023-02-03 à 18.3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ekaert:Users:dbekaert:Desktop:Capture d’écran 2023-02-03 à 18.33.0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82299" cy="3286316"/>
                    </a:xfrm>
                    <a:prstGeom prst="rect">
                      <a:avLst/>
                    </a:prstGeom>
                    <a:noFill/>
                    <a:ln>
                      <a:noFill/>
                    </a:ln>
                  </pic:spPr>
                </pic:pic>
              </a:graphicData>
            </a:graphic>
          </wp:inline>
        </w:drawing>
      </w:r>
    </w:p>
    <w:p w14:paraId="34AB555A" w14:textId="3F26BC7A"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3</w:t>
      </w:r>
      <w:r w:rsidRPr="0084570B">
        <w:rPr>
          <w:rFonts w:ascii="Times New Roman" w:eastAsia="Times New Roman" w:hAnsi="Times New Roman" w:cs="Times New Roman"/>
          <w:b/>
          <w:sz w:val="22"/>
          <w:szCs w:val="22"/>
          <w:lang w:val="en-US"/>
        </w:rPr>
        <w:t>.</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Misfit results for models run with MORB target parameters.</w:t>
      </w:r>
      <w:r w:rsidRPr="0084570B">
        <w:rPr>
          <w:rFonts w:ascii="Times New Roman" w:eastAsia="Times New Roman" w:hAnsi="Times New Roman" w:cs="Times New Roman"/>
          <w:sz w:val="22"/>
          <w:szCs w:val="22"/>
          <w:lang w:val="en-US"/>
        </w:rPr>
        <w:t xml:space="preserve"> Each panel represents a suite of models run with variable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xml:space="preserve"> from 7x10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xml:space="preserve"> to 8x10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xml:space="preserve"> at a step size of 0.01x10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and [I]</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ranging from 0.1 to 6 ppb with a step size of 0.1 ppb. Modern mantle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are varied at a coarse resolution, and change with row and column respectively, as indicated by the row and column headers. The log of the resultant misfit for the model run at each point in the parameter space is shown using the color bar indicated.</w:t>
      </w:r>
    </w:p>
    <w:p w14:paraId="2BF61C7D" w14:textId="77777777"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p>
    <w:p w14:paraId="1BAFA321" w14:textId="77777777" w:rsidR="008120DE" w:rsidRPr="0084570B" w:rsidRDefault="008120DE" w:rsidP="008120DE">
      <w:pPr>
        <w:pStyle w:val="Normal1"/>
        <w:spacing w:line="276" w:lineRule="auto"/>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lastRenderedPageBreak/>
        <w:drawing>
          <wp:inline distT="0" distB="0" distL="0" distR="0" wp14:anchorId="4887D0B8" wp14:editId="1D5EF21F">
            <wp:extent cx="5460763" cy="3201387"/>
            <wp:effectExtent l="0" t="0" r="635" b="0"/>
            <wp:docPr id="32" name="Image 32" descr="Bekaert:Users:dbekaert:Desktop:Capture d’écran 2023-02-03 à 18.3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ekaert:Users:dbekaert:Desktop:Capture d’écran 2023-02-03 à 18.32.28.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66271" cy="3204616"/>
                    </a:xfrm>
                    <a:prstGeom prst="rect">
                      <a:avLst/>
                    </a:prstGeom>
                    <a:noFill/>
                    <a:ln>
                      <a:noFill/>
                    </a:ln>
                  </pic:spPr>
                </pic:pic>
              </a:graphicData>
            </a:graphic>
          </wp:inline>
        </w:drawing>
      </w:r>
    </w:p>
    <w:p w14:paraId="3C11F9E9" w14:textId="6F122402"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4</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Selected misfit results for models run with Mt. Etna target parameters (</w:t>
      </w:r>
      <w:r w:rsidRPr="0084570B">
        <w:rPr>
          <w:rFonts w:ascii="Times New Roman" w:eastAsia="Times New Roman" w:hAnsi="Times New Roman" w:cs="Times New Roman"/>
          <w:sz w:val="22"/>
          <w:szCs w:val="22"/>
          <w:lang w:val="en-US"/>
        </w:rPr>
        <w:t xml:space="preserve">same colorbar coding as </w:t>
      </w: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3</w:t>
      </w:r>
      <w:r w:rsidRPr="0084570B">
        <w:rPr>
          <w:rFonts w:ascii="Times New Roman" w:eastAsia="Times New Roman" w:hAnsi="Times New Roman" w:cs="Times New Roman"/>
          <w:sz w:val="22"/>
          <w:szCs w:val="22"/>
          <w:lang w:val="en-US"/>
        </w:rPr>
        <w:t xml:space="preserve">). Each panel represents a suite of models run with variable </w:t>
      </w:r>
      <w:r w:rsidRPr="0084570B">
        <w:rPr>
          <w:rFonts w:ascii="Times New Roman" w:eastAsia="Times New Roman" w:hAnsi="Times New Roman" w:cs="Times New Roman"/>
          <w:i/>
          <w:sz w:val="22"/>
          <w:szCs w:val="22"/>
          <w:lang w:val="en-US"/>
        </w:rPr>
        <w:t>η</w:t>
      </w:r>
      <w:r w:rsidR="005C6798" w:rsidRPr="0084570B">
        <w:rPr>
          <w:rFonts w:ascii="Times New Roman" w:eastAsia="Times New Roman" w:hAnsi="Times New Roman" w:cs="Times New Roman"/>
          <w:sz w:val="22"/>
          <w:szCs w:val="22"/>
          <w:lang w:val="en-US"/>
        </w:rPr>
        <w:t xml:space="preserve"> from 8x</w:t>
      </w:r>
      <w:r w:rsidRPr="0084570B">
        <w:rPr>
          <w:rFonts w:ascii="Times New Roman" w:eastAsia="Times New Roman" w:hAnsi="Times New Roman" w:cs="Times New Roman"/>
          <w:sz w:val="22"/>
          <w:szCs w:val="22"/>
          <w:lang w:val="en-US"/>
        </w:rPr>
        <w:t>10</w:t>
      </w:r>
      <w:r w:rsidRPr="0084570B">
        <w:rPr>
          <w:rFonts w:ascii="Times New Roman" w:eastAsia="Times New Roman" w:hAnsi="Times New Roman" w:cs="Times New Roman"/>
          <w:sz w:val="22"/>
          <w:szCs w:val="22"/>
          <w:vertAlign w:val="superscript"/>
          <w:lang w:val="en-US"/>
        </w:rPr>
        <w:t>-10</w:t>
      </w:r>
      <w:r w:rsidR="005C6798" w:rsidRPr="0084570B">
        <w:rPr>
          <w:rFonts w:ascii="Times New Roman" w:eastAsia="Times New Roman" w:hAnsi="Times New Roman" w:cs="Times New Roman"/>
          <w:sz w:val="22"/>
          <w:szCs w:val="22"/>
          <w:lang w:val="en-US"/>
        </w:rPr>
        <w:t xml:space="preserve"> to 9x</w:t>
      </w:r>
      <w:r w:rsidRPr="0084570B">
        <w:rPr>
          <w:rFonts w:ascii="Times New Roman" w:eastAsia="Times New Roman" w:hAnsi="Times New Roman" w:cs="Times New Roman"/>
          <w:sz w:val="22"/>
          <w:szCs w:val="22"/>
          <w:lang w:val="en-US"/>
        </w:rPr>
        <w:t>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xml:space="preserve"> at a step size of 0.01 x 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and [I]</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ranging from 10 to 16 ppb with a step size of 0.1 ppb. Modern mantle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are displayed for a different range to </w:t>
      </w: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3</w:t>
      </w:r>
      <w:r w:rsidRPr="0084570B">
        <w:rPr>
          <w:rFonts w:ascii="Times New Roman" w:eastAsia="Times New Roman" w:hAnsi="Times New Roman" w:cs="Times New Roman"/>
          <w:sz w:val="22"/>
          <w:szCs w:val="22"/>
          <w:lang w:val="en-US"/>
        </w:rPr>
        <w:t xml:space="preserve"> to account for the different location</w:t>
      </w:r>
      <w:r w:rsidR="005C6798" w:rsidRPr="0084570B">
        <w:rPr>
          <w:rFonts w:ascii="Times New Roman" w:eastAsia="Times New Roman" w:hAnsi="Times New Roman" w:cs="Times New Roman"/>
          <w:sz w:val="22"/>
          <w:szCs w:val="22"/>
          <w:lang w:val="en-US"/>
        </w:rPr>
        <w:t>s</w:t>
      </w:r>
      <w:r w:rsidRPr="0084570B">
        <w:rPr>
          <w:rFonts w:ascii="Times New Roman" w:eastAsia="Times New Roman" w:hAnsi="Times New Roman" w:cs="Times New Roman"/>
          <w:sz w:val="22"/>
          <w:szCs w:val="22"/>
          <w:lang w:val="en-US"/>
        </w:rPr>
        <w:t xml:space="preserve"> of the lowest misfit values. </w:t>
      </w:r>
    </w:p>
    <w:p w14:paraId="18AD4014" w14:textId="77777777"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p>
    <w:p w14:paraId="769AB0D6" w14:textId="28F3B721" w:rsidR="005C6798" w:rsidRPr="0084570B" w:rsidRDefault="005C6798" w:rsidP="008120DE">
      <w:pPr>
        <w:pStyle w:val="Normal1"/>
        <w:spacing w:line="276" w:lineRule="auto"/>
        <w:jc w:val="both"/>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drawing>
          <wp:inline distT="0" distB="0" distL="0" distR="0" wp14:anchorId="60B6DFFF" wp14:editId="543ABA75">
            <wp:extent cx="5756910" cy="3566829"/>
            <wp:effectExtent l="0" t="0" r="8890" b="0"/>
            <wp:docPr id="4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6910" cy="3566829"/>
                    </a:xfrm>
                    <a:prstGeom prst="rect">
                      <a:avLst/>
                    </a:prstGeom>
                    <a:noFill/>
                    <a:ln>
                      <a:noFill/>
                    </a:ln>
                  </pic:spPr>
                </pic:pic>
              </a:graphicData>
            </a:graphic>
          </wp:inline>
        </w:drawing>
      </w:r>
    </w:p>
    <w:p w14:paraId="49801056" w14:textId="13779EC2"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5</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Selected misfit results for models run with Eifel target parameters (</w:t>
      </w:r>
      <w:r w:rsidRPr="0084570B">
        <w:rPr>
          <w:rFonts w:ascii="Times New Roman" w:eastAsia="Times New Roman" w:hAnsi="Times New Roman" w:cs="Times New Roman"/>
          <w:sz w:val="22"/>
          <w:szCs w:val="22"/>
          <w:lang w:val="en-US"/>
        </w:rPr>
        <w:t xml:space="preserve">same colorbar coding as </w:t>
      </w:r>
      <w:r w:rsidR="005C6798" w:rsidRPr="0084570B">
        <w:rPr>
          <w:rFonts w:ascii="Times New Roman" w:eastAsia="Times New Roman" w:hAnsi="Times New Roman" w:cs="Times New Roman"/>
          <w:b/>
          <w:sz w:val="22"/>
          <w:szCs w:val="22"/>
          <w:lang w:val="en-US"/>
        </w:rPr>
        <w:t>Figure S13</w:t>
      </w:r>
      <w:r w:rsidRPr="0084570B">
        <w:rPr>
          <w:rFonts w:ascii="Times New Roman" w:eastAsia="Times New Roman" w:hAnsi="Times New Roman" w:cs="Times New Roman"/>
          <w:b/>
          <w:sz w:val="22"/>
          <w:szCs w:val="22"/>
          <w:lang w:val="en-US"/>
        </w:rPr>
        <w:t xml:space="preserve"> </w:t>
      </w:r>
      <w:r w:rsidRPr="0084570B">
        <w:rPr>
          <w:rFonts w:ascii="Times New Roman" w:eastAsia="Times New Roman" w:hAnsi="Times New Roman" w:cs="Times New Roman"/>
          <w:sz w:val="22"/>
          <w:szCs w:val="22"/>
          <w:lang w:val="en-US"/>
        </w:rPr>
        <w:t>and</w:t>
      </w:r>
      <w:r w:rsidRPr="0084570B">
        <w:rPr>
          <w:rFonts w:ascii="Times New Roman" w:eastAsia="Times New Roman" w:hAnsi="Times New Roman" w:cs="Times New Roman"/>
          <w:b/>
          <w:sz w:val="22"/>
          <w:szCs w:val="22"/>
          <w:lang w:val="en-US"/>
        </w:rPr>
        <w:t xml:space="preserve"> S1</w:t>
      </w:r>
      <w:r w:rsidR="005C6798" w:rsidRPr="0084570B">
        <w:rPr>
          <w:rFonts w:ascii="Times New Roman" w:eastAsia="Times New Roman" w:hAnsi="Times New Roman" w:cs="Times New Roman"/>
          <w:b/>
          <w:sz w:val="22"/>
          <w:szCs w:val="22"/>
          <w:lang w:val="en-US"/>
        </w:rPr>
        <w:t>4</w:t>
      </w:r>
      <w:r w:rsidRPr="0084570B">
        <w:rPr>
          <w:rFonts w:ascii="Times New Roman" w:eastAsia="Times New Roman" w:hAnsi="Times New Roman" w:cs="Times New Roman"/>
          <w:sz w:val="22"/>
          <w:szCs w:val="22"/>
          <w:lang w:val="en-US"/>
        </w:rPr>
        <w:t xml:space="preserve">). Each panel represents a suite of models run with variable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xml:space="preserve"> from 8</w:t>
      </w:r>
      <w:r w:rsidR="005C6798" w:rsidRPr="0084570B">
        <w:rPr>
          <w:rFonts w:ascii="Times New Roman" w:eastAsia="Times New Roman" w:hAnsi="Times New Roman" w:cs="Times New Roman"/>
          <w:sz w:val="22"/>
          <w:szCs w:val="22"/>
          <w:lang w:val="en-US"/>
        </w:rPr>
        <w:t>.5x</w:t>
      </w:r>
      <w:r w:rsidRPr="0084570B">
        <w:rPr>
          <w:rFonts w:ascii="Times New Roman" w:eastAsia="Times New Roman" w:hAnsi="Times New Roman" w:cs="Times New Roman"/>
          <w:sz w:val="22"/>
          <w:szCs w:val="22"/>
          <w:lang w:val="en-US"/>
        </w:rPr>
        <w:t>10</w:t>
      </w:r>
      <w:r w:rsidRPr="0084570B">
        <w:rPr>
          <w:rFonts w:ascii="Times New Roman" w:eastAsia="Times New Roman" w:hAnsi="Times New Roman" w:cs="Times New Roman"/>
          <w:sz w:val="22"/>
          <w:szCs w:val="22"/>
          <w:vertAlign w:val="superscript"/>
          <w:lang w:val="en-US"/>
        </w:rPr>
        <w:t>-10</w:t>
      </w:r>
      <w:r w:rsidR="005C6798" w:rsidRPr="0084570B">
        <w:rPr>
          <w:rFonts w:ascii="Times New Roman" w:eastAsia="Times New Roman" w:hAnsi="Times New Roman" w:cs="Times New Roman"/>
          <w:sz w:val="22"/>
          <w:szCs w:val="22"/>
          <w:lang w:val="en-US"/>
        </w:rPr>
        <w:t xml:space="preserve"> to 9.5</w:t>
      </w:r>
      <w:r w:rsidRPr="0084570B">
        <w:rPr>
          <w:rFonts w:ascii="Times New Roman" w:eastAsia="Times New Roman" w:hAnsi="Times New Roman" w:cs="Times New Roman"/>
          <w:sz w:val="22"/>
          <w:szCs w:val="22"/>
          <w:lang w:val="en-US"/>
        </w:rPr>
        <w:t>x 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xml:space="preserve"> at a step size of 0.01 x 10</w:t>
      </w:r>
      <w:r w:rsidRPr="0084570B">
        <w:rPr>
          <w:rFonts w:ascii="Times New Roman" w:eastAsia="Times New Roman" w:hAnsi="Times New Roman" w:cs="Times New Roman"/>
          <w:sz w:val="22"/>
          <w:szCs w:val="22"/>
          <w:vertAlign w:val="superscript"/>
          <w:lang w:val="en-US"/>
        </w:rPr>
        <w:t>-10</w:t>
      </w:r>
      <w:r w:rsidRPr="0084570B">
        <w:rPr>
          <w:rFonts w:ascii="Times New Roman" w:eastAsia="Times New Roman" w:hAnsi="Times New Roman" w:cs="Times New Roman"/>
          <w:sz w:val="22"/>
          <w:szCs w:val="22"/>
          <w:lang w:val="en-US"/>
        </w:rPr>
        <w:t>, and [I]</w:t>
      </w:r>
      <w:r w:rsidRPr="0084570B">
        <w:rPr>
          <w:rFonts w:ascii="Times New Roman" w:eastAsia="Times New Roman" w:hAnsi="Times New Roman" w:cs="Times New Roman"/>
          <w:i/>
          <w:sz w:val="22"/>
          <w:szCs w:val="22"/>
          <w:lang w:val="en-US"/>
        </w:rPr>
        <w:t xml:space="preserve"> </w:t>
      </w:r>
      <w:r w:rsidRPr="0084570B">
        <w:rPr>
          <w:rFonts w:ascii="Times New Roman" w:eastAsia="Times New Roman" w:hAnsi="Times New Roman" w:cs="Times New Roman"/>
          <w:sz w:val="22"/>
          <w:szCs w:val="22"/>
          <w:lang w:val="en-US"/>
        </w:rPr>
        <w:t xml:space="preserve">ranging from </w:t>
      </w:r>
      <w:r w:rsidR="005C6798" w:rsidRPr="0084570B">
        <w:rPr>
          <w:rFonts w:ascii="Times New Roman" w:eastAsia="Times New Roman" w:hAnsi="Times New Roman" w:cs="Times New Roman"/>
          <w:sz w:val="22"/>
          <w:szCs w:val="22"/>
          <w:lang w:val="en-US"/>
        </w:rPr>
        <w:t>125 to 225</w:t>
      </w:r>
      <w:r w:rsidRPr="0084570B">
        <w:rPr>
          <w:rFonts w:ascii="Times New Roman" w:eastAsia="Times New Roman" w:hAnsi="Times New Roman" w:cs="Times New Roman"/>
          <w:sz w:val="22"/>
          <w:szCs w:val="22"/>
          <w:lang w:val="en-US"/>
        </w:rPr>
        <w:t xml:space="preserve"> ppb with a step size of 1 ppb. Modern mantle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xml:space="preserve"> are displayed for a different range to </w:t>
      </w:r>
      <w:r w:rsidRPr="0084570B">
        <w:rPr>
          <w:rFonts w:ascii="Times New Roman" w:eastAsia="Times New Roman" w:hAnsi="Times New Roman" w:cs="Times New Roman"/>
          <w:b/>
          <w:sz w:val="22"/>
          <w:szCs w:val="22"/>
          <w:lang w:val="en-US"/>
        </w:rPr>
        <w:t>Figure S1</w:t>
      </w:r>
      <w:r w:rsidR="005C6798" w:rsidRPr="0084570B">
        <w:rPr>
          <w:rFonts w:ascii="Times New Roman" w:eastAsia="Times New Roman" w:hAnsi="Times New Roman" w:cs="Times New Roman"/>
          <w:b/>
          <w:sz w:val="22"/>
          <w:szCs w:val="22"/>
          <w:lang w:val="en-US"/>
        </w:rPr>
        <w:t xml:space="preserve">3 </w:t>
      </w:r>
      <w:r w:rsidR="005C6798" w:rsidRPr="0084570B">
        <w:rPr>
          <w:rFonts w:ascii="Times New Roman" w:eastAsia="Times New Roman" w:hAnsi="Times New Roman" w:cs="Times New Roman"/>
          <w:sz w:val="22"/>
          <w:szCs w:val="22"/>
          <w:lang w:val="en-US"/>
        </w:rPr>
        <w:t xml:space="preserve">and </w:t>
      </w:r>
      <w:r w:rsidR="005C6798" w:rsidRPr="0084570B">
        <w:rPr>
          <w:rFonts w:ascii="Times New Roman" w:eastAsia="Times New Roman" w:hAnsi="Times New Roman" w:cs="Times New Roman"/>
          <w:b/>
          <w:sz w:val="22"/>
          <w:szCs w:val="22"/>
          <w:lang w:val="en-US"/>
        </w:rPr>
        <w:t>S14</w:t>
      </w:r>
      <w:r w:rsidRPr="0084570B">
        <w:rPr>
          <w:rFonts w:ascii="Times New Roman" w:eastAsia="Times New Roman" w:hAnsi="Times New Roman" w:cs="Times New Roman"/>
          <w:sz w:val="22"/>
          <w:szCs w:val="22"/>
          <w:lang w:val="en-US"/>
        </w:rPr>
        <w:t xml:space="preserve"> to account for the different location</w:t>
      </w:r>
      <w:r w:rsidR="005C6798" w:rsidRPr="0084570B">
        <w:rPr>
          <w:rFonts w:ascii="Times New Roman" w:eastAsia="Times New Roman" w:hAnsi="Times New Roman" w:cs="Times New Roman"/>
          <w:sz w:val="22"/>
          <w:szCs w:val="22"/>
          <w:lang w:val="en-US"/>
        </w:rPr>
        <w:t>s</w:t>
      </w:r>
      <w:r w:rsidRPr="0084570B">
        <w:rPr>
          <w:rFonts w:ascii="Times New Roman" w:eastAsia="Times New Roman" w:hAnsi="Times New Roman" w:cs="Times New Roman"/>
          <w:sz w:val="22"/>
          <w:szCs w:val="22"/>
          <w:lang w:val="en-US"/>
        </w:rPr>
        <w:t xml:space="preserve"> of the lowest misfit values. </w:t>
      </w:r>
    </w:p>
    <w:p w14:paraId="1386BB2F" w14:textId="0363FB1A" w:rsidR="00A30225" w:rsidRPr="0084570B" w:rsidRDefault="00A30225" w:rsidP="00D95A97">
      <w:pPr>
        <w:pStyle w:val="Normal1"/>
        <w:spacing w:line="360" w:lineRule="auto"/>
        <w:ind w:firstLine="700"/>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sz w:val="22"/>
          <w:szCs w:val="22"/>
          <w:lang w:val="en-US"/>
        </w:rPr>
        <w:lastRenderedPageBreak/>
        <w:t>R</w:t>
      </w:r>
      <w:r w:rsidR="006F5853" w:rsidRPr="0084570B">
        <w:rPr>
          <w:rFonts w:ascii="Times New Roman" w:eastAsia="Times New Roman" w:hAnsi="Times New Roman" w:cs="Times New Roman"/>
          <w:sz w:val="22"/>
          <w:szCs w:val="22"/>
          <w:lang w:val="en-US"/>
        </w:rPr>
        <w:t xml:space="preserve">eproducing the MORB mantle source values assuming a secular (linear or exponential) evolution of mantle degassing </w:t>
      </w:r>
      <w:r w:rsidRPr="0084570B">
        <w:rPr>
          <w:rFonts w:ascii="Times New Roman" w:eastAsia="Times New Roman" w:hAnsi="Times New Roman" w:cs="Times New Roman"/>
          <w:sz w:val="22"/>
          <w:szCs w:val="22"/>
          <w:lang w:val="en-US"/>
        </w:rPr>
        <w:t xml:space="preserve">(i.e., no giant impact) </w:t>
      </w:r>
      <w:r w:rsidR="006F5853" w:rsidRPr="0084570B">
        <w:rPr>
          <w:rFonts w:ascii="Times New Roman" w:eastAsia="Times New Roman" w:hAnsi="Times New Roman" w:cs="Times New Roman"/>
          <w:sz w:val="22"/>
          <w:szCs w:val="22"/>
          <w:lang w:val="en-US"/>
        </w:rPr>
        <w:t xml:space="preserve">requires </w:t>
      </w:r>
      <w:r w:rsidR="006F5853" w:rsidRPr="0084570B">
        <w:rPr>
          <w:rFonts w:ascii="Times New Roman" w:eastAsia="Times New Roman" w:hAnsi="Times New Roman" w:cs="Times New Roman"/>
          <w:sz w:val="22"/>
          <w:szCs w:val="22"/>
          <w:vertAlign w:val="superscript"/>
          <w:lang w:val="en-US"/>
        </w:rPr>
        <w:t>127</w:t>
      </w:r>
      <w:r w:rsidR="006F5853" w:rsidRPr="0084570B">
        <w:rPr>
          <w:rFonts w:ascii="Times New Roman" w:eastAsia="Times New Roman" w:hAnsi="Times New Roman" w:cs="Times New Roman"/>
          <w:sz w:val="22"/>
          <w:szCs w:val="22"/>
          <w:lang w:val="en-US"/>
        </w:rPr>
        <w:t>I</w:t>
      </w:r>
      <w:r w:rsidR="006F5853" w:rsidRPr="0084570B">
        <w:rPr>
          <w:rFonts w:ascii="Times New Roman" w:eastAsia="Times New Roman" w:hAnsi="Times New Roman" w:cs="Times New Roman"/>
          <w:sz w:val="22"/>
          <w:szCs w:val="22"/>
          <w:vertAlign w:val="subscript"/>
          <w:lang w:val="en-US"/>
        </w:rPr>
        <w:t>init</w:t>
      </w:r>
      <w:r w:rsidR="006F5853" w:rsidRPr="0084570B">
        <w:rPr>
          <w:rFonts w:ascii="Times New Roman" w:eastAsia="Times New Roman" w:hAnsi="Times New Roman" w:cs="Times New Roman"/>
          <w:sz w:val="22"/>
          <w:szCs w:val="22"/>
          <w:lang w:val="en-US"/>
        </w:rPr>
        <w:t>(BSE) ~1.5 ppb, [</w:t>
      </w:r>
      <w:r w:rsidR="006F5853" w:rsidRPr="0084570B">
        <w:rPr>
          <w:rFonts w:ascii="Times New Roman" w:eastAsia="Times New Roman" w:hAnsi="Times New Roman" w:cs="Times New Roman"/>
          <w:sz w:val="22"/>
          <w:szCs w:val="22"/>
          <w:vertAlign w:val="superscript"/>
          <w:lang w:val="en-US"/>
        </w:rPr>
        <w:t>130</w:t>
      </w:r>
      <w:r w:rsidR="006F5853" w:rsidRPr="0084570B">
        <w:rPr>
          <w:rFonts w:ascii="Times New Roman" w:eastAsia="Times New Roman" w:hAnsi="Times New Roman" w:cs="Times New Roman"/>
          <w:sz w:val="22"/>
          <w:szCs w:val="22"/>
          <w:lang w:val="en-US"/>
        </w:rPr>
        <w:t>Xe]</w:t>
      </w:r>
      <w:r w:rsidR="006F5853" w:rsidRPr="0084570B">
        <w:rPr>
          <w:rFonts w:ascii="Times New Roman" w:eastAsia="Times New Roman" w:hAnsi="Times New Roman" w:cs="Times New Roman"/>
          <w:sz w:val="22"/>
          <w:szCs w:val="22"/>
          <w:vertAlign w:val="subscript"/>
          <w:lang w:val="en-US"/>
        </w:rPr>
        <w:t>pres.</w:t>
      </w:r>
      <w:r w:rsidR="006F5853" w:rsidRPr="0084570B">
        <w:rPr>
          <w:rFonts w:ascii="Times New Roman" w:eastAsia="Times New Roman" w:hAnsi="Times New Roman" w:cs="Times New Roman"/>
          <w:sz w:val="22"/>
          <w:szCs w:val="22"/>
          <w:lang w:val="en-US"/>
        </w:rPr>
        <w:t xml:space="preserve"> (3.9x10</w:t>
      </w:r>
      <w:r w:rsidR="006F5853" w:rsidRPr="0084570B">
        <w:rPr>
          <w:rFonts w:ascii="Times New Roman" w:eastAsia="Times New Roman" w:hAnsi="Times New Roman" w:cs="Times New Roman"/>
          <w:sz w:val="22"/>
          <w:szCs w:val="22"/>
          <w:vertAlign w:val="superscript"/>
          <w:lang w:val="en-US"/>
        </w:rPr>
        <w:t>-18</w:t>
      </w:r>
      <w:r w:rsidR="006F5853" w:rsidRPr="0084570B">
        <w:rPr>
          <w:rFonts w:ascii="Times New Roman" w:eastAsia="Times New Roman" w:hAnsi="Times New Roman" w:cs="Times New Roman"/>
          <w:sz w:val="22"/>
          <w:szCs w:val="22"/>
          <w:lang w:val="en-US"/>
        </w:rPr>
        <w:t xml:space="preserve"> mol/g), and &lt;0.4 wt.% equ.CC (</w:t>
      </w:r>
      <w:r w:rsidR="00964453" w:rsidRPr="0084570B">
        <w:rPr>
          <w:rFonts w:ascii="Times New Roman" w:eastAsia="Times New Roman" w:hAnsi="Times New Roman" w:cs="Times New Roman"/>
          <w:b/>
          <w:sz w:val="22"/>
          <w:szCs w:val="22"/>
          <w:lang w:val="en-US"/>
        </w:rPr>
        <w:t>Figure</w:t>
      </w:r>
      <w:r w:rsidR="006F5853" w:rsidRPr="0084570B">
        <w:rPr>
          <w:rFonts w:ascii="Times New Roman" w:eastAsia="Times New Roman" w:hAnsi="Times New Roman" w:cs="Times New Roman"/>
          <w:b/>
          <w:sz w:val="22"/>
          <w:szCs w:val="22"/>
          <w:lang w:val="en-US"/>
        </w:rPr>
        <w:t> S8</w:t>
      </w:r>
      <w:r w:rsidR="006F5853" w:rsidRPr="0084570B">
        <w:rPr>
          <w:rFonts w:ascii="Times New Roman" w:eastAsia="Times New Roman" w:hAnsi="Times New Roman" w:cs="Times New Roman"/>
          <w:sz w:val="22"/>
          <w:szCs w:val="22"/>
          <w:lang w:val="en-US"/>
        </w:rPr>
        <w:t xml:space="preserve">), markedly different from actual BSE estimates. In particular, </w:t>
      </w:r>
      <w:r w:rsidR="008120DE" w:rsidRPr="0084570B">
        <w:rPr>
          <w:rFonts w:ascii="Times New Roman" w:eastAsia="Times New Roman" w:hAnsi="Times New Roman" w:cs="Times New Roman"/>
          <w:sz w:val="22"/>
          <w:szCs w:val="22"/>
          <w:lang w:val="en-US"/>
        </w:rPr>
        <w:t>the predicted [I]</w:t>
      </w:r>
      <w:r w:rsidR="008120DE" w:rsidRPr="0084570B">
        <w:rPr>
          <w:rFonts w:ascii="Times New Roman" w:eastAsia="Times New Roman" w:hAnsi="Times New Roman" w:cs="Times New Roman"/>
          <w:sz w:val="22"/>
          <w:szCs w:val="22"/>
          <w:vertAlign w:val="subscript"/>
          <w:lang w:val="en-US"/>
        </w:rPr>
        <w:t>init.</w:t>
      </w:r>
      <w:r w:rsidR="008120DE" w:rsidRPr="0084570B">
        <w:rPr>
          <w:rFonts w:ascii="Times New Roman" w:eastAsia="Times New Roman" w:hAnsi="Times New Roman" w:cs="Times New Roman"/>
          <w:sz w:val="22"/>
          <w:szCs w:val="22"/>
          <w:lang w:val="en-US"/>
        </w:rPr>
        <w:t xml:space="preserve"> value using conventional MORB parameters is lower (≤2 ppb) than the plausible range of 7-13 ppb</w:t>
      </w:r>
      <w:r w:rsidR="008120DE"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Avice","given":"G.","non-dropping-particle":"","parse-names":false,"suffix":""},{"dropping-particle":"","family":"Marty","given":"B.","non-dropping-particle":"","parse-names":false,"suffix":""}],"container-title":"Philosophical Transactions of the Royal Society A: Mathematical, Physical and Engineering Sciences","id":"ITEM-1","issue":"2024","issued":{"date-parts":[["2014"]]},"page":"20130260","title":"The iodine-plutonium-xenon age of the Moon-Earth system revisited","type":"article-journal","volume":"372"},"uris":["http://www.mendeley.com/documents/?uuid=2af867a1-f9bb-48f6-bfd0-1a52b0bcd55d"]}],"mendeley":{"formattedCitation":"&lt;sup&gt;30&lt;/sup&gt;","plainTextFormattedCitation":"30","previouslyFormattedCitation":"&lt;sup&gt;30&lt;/sup&gt;"},"properties":{"noteIndex":0},"schema":"https://github.com/citation-style-language/schema/raw/master/csl-citation.json"}</w:instrText>
      </w:r>
      <w:r w:rsidR="008120DE"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30</w:t>
      </w:r>
      <w:r w:rsidR="008120DE" w:rsidRPr="0084570B">
        <w:rPr>
          <w:rFonts w:ascii="Times New Roman" w:eastAsia="Times New Roman" w:hAnsi="Times New Roman" w:cs="Times New Roman"/>
          <w:sz w:val="22"/>
          <w:szCs w:val="22"/>
          <w:lang w:val="en-US"/>
        </w:rPr>
        <w:fldChar w:fldCharType="end"/>
      </w:r>
      <w:r w:rsidR="008120DE" w:rsidRPr="0084570B">
        <w:rPr>
          <w:rFonts w:ascii="Times New Roman" w:eastAsia="Times New Roman" w:hAnsi="Times New Roman" w:cs="Times New Roman"/>
          <w:sz w:val="22"/>
          <w:szCs w:val="22"/>
          <w:vertAlign w:val="superscript"/>
          <w:lang w:val="en-US"/>
        </w:rPr>
        <w:t>,</w:t>
      </w:r>
      <w:r w:rsidR="008120DE"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Déruelle","given":"Bernard","non-dropping-particle":"","parse-names":false,"suffix":""},{"dropping-particle":"","family":"Dreibus","given":"Gerlind","non-dropping-particle":"","parse-names":false,"suffix":""},{"dropping-particle":"","family":"Jambon","given":"Albert","non-dropping-particle":"","parse-names":false,"suffix":""}],"container-title":"Earth and Planetary Science Letters","id":"ITEM-1","issued":{"date-parts":[["1992"]]},"page":"217-227","title":"Iodine abundances in oceanic basalts : implications for Earth dynamics","type":"article-journal","volume":"108"},"uris":["http://www.mendeley.com/documents/?uuid=2a188f11-9401-4140-a8b4-d88d53123e47"]}],"mendeley":{"formattedCitation":"&lt;sup&gt;31&lt;/sup&gt;","plainTextFormattedCitation":"31","previouslyFormattedCitation":"&lt;sup&gt;31&lt;/sup&gt;"},"properties":{"noteIndex":0},"schema":"https://github.com/citation-style-language/schema/raw/master/csl-citation.json"}</w:instrText>
      </w:r>
      <w:r w:rsidR="008120DE"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31</w:t>
      </w:r>
      <w:r w:rsidR="008120DE" w:rsidRPr="0084570B">
        <w:rPr>
          <w:rFonts w:ascii="Times New Roman" w:eastAsia="Times New Roman" w:hAnsi="Times New Roman" w:cs="Times New Roman"/>
          <w:sz w:val="22"/>
          <w:szCs w:val="22"/>
          <w:lang w:val="en-US"/>
        </w:rPr>
        <w:fldChar w:fldCharType="end"/>
      </w:r>
      <w:r w:rsidR="00863DC5" w:rsidRPr="0084570B">
        <w:rPr>
          <w:rFonts w:ascii="Times New Roman" w:eastAsia="Times New Roman" w:hAnsi="Times New Roman" w:cs="Times New Roman"/>
          <w:sz w:val="22"/>
          <w:szCs w:val="22"/>
          <w:lang w:val="en-US"/>
        </w:rPr>
        <w:t xml:space="preserve"> (</w:t>
      </w:r>
      <w:r w:rsidR="00863DC5" w:rsidRPr="0084570B">
        <w:rPr>
          <w:rFonts w:ascii="Times New Roman" w:eastAsia="Times New Roman" w:hAnsi="Times New Roman" w:cs="Times New Roman"/>
          <w:b/>
          <w:sz w:val="22"/>
          <w:szCs w:val="22"/>
          <w:lang w:val="en-US"/>
        </w:rPr>
        <w:t>Figure S13</w:t>
      </w:r>
      <w:r w:rsidR="00863DC5" w:rsidRPr="0084570B">
        <w:rPr>
          <w:rFonts w:ascii="Times New Roman" w:eastAsia="Times New Roman" w:hAnsi="Times New Roman" w:cs="Times New Roman"/>
          <w:sz w:val="22"/>
          <w:szCs w:val="22"/>
          <w:lang w:val="en-US"/>
        </w:rPr>
        <w:t>)</w:t>
      </w:r>
      <w:r w:rsidR="008120DE" w:rsidRPr="0084570B">
        <w:rPr>
          <w:rFonts w:ascii="Times New Roman" w:eastAsia="Times New Roman" w:hAnsi="Times New Roman" w:cs="Times New Roman"/>
          <w:sz w:val="22"/>
          <w:szCs w:val="22"/>
          <w:lang w:val="en-US"/>
        </w:rPr>
        <w:t xml:space="preserve">. </w:t>
      </w:r>
      <w:r w:rsidR="006F5853" w:rsidRPr="0084570B">
        <w:rPr>
          <w:rFonts w:ascii="Times New Roman" w:eastAsia="Times New Roman" w:hAnsi="Times New Roman" w:cs="Times New Roman"/>
          <w:sz w:val="22"/>
          <w:szCs w:val="22"/>
          <w:lang w:val="en-US"/>
        </w:rPr>
        <w:t>In line with previous studies</w:t>
      </w:r>
      <w:r w:rsidR="006F5853" w:rsidRPr="0084570B">
        <w:rPr>
          <w:rFonts w:ascii="Times New Roman" w:eastAsia="Times New Roman" w:hAnsi="Times New Roman" w:cs="Times New Roman"/>
          <w:sz w:val="22"/>
          <w:szCs w:val="22"/>
          <w:lang w:val="en-US"/>
        </w:rPr>
        <w:fldChar w:fldCharType="begin" w:fldLock="1"/>
      </w:r>
      <w:r w:rsidR="003D32DA" w:rsidRPr="0084570B">
        <w:rPr>
          <w:rFonts w:ascii="Times New Roman" w:eastAsia="Times New Roman" w:hAnsi="Times New Roman" w:cs="Times New Roman"/>
          <w:sz w:val="22"/>
          <w:szCs w:val="22"/>
          <w:lang w:val="en-US"/>
        </w:rPr>
        <w:instrText xml:space="preserve">ADDIN CSL_CITATION {"citationItems":[{"id":"ITEM-1","itemData":{"DOI":"10.1016/j.epsl.2006.08.014","ISSN":"0012821X","abstract":"The relationships between the major terrestrial volatile reservoirs are explored by resolving the different components in the Xe isotope signatures displayed by Harding County and Caroline CO2 well gases and mid-ocean ridge basalts (MORB). For the nonradiogenic isotopes, there is evidence for the presence of components enhanced in the light 124-128Xe/130Xe isotope ratios with respect to the terrestrial atmosphere. The observation of small but significant elevations of these ratios in the MORB and well gas reservoirs means that the nonradiogenic Xe in the atmosphere cannot be the primordial base composition in the mantle. The presence of solar-like components, for example U-Xe, solar wind Xe, or both, is required. For radiogenic Xe generated by decay of short-lived 129I and 244Pu, the 129Xerad/136Xe244 ratios are indistinguishable in MORB and the present atmosphere, but differ by approximately an order of magnitude between the MORB and well gas sources. Correspondence of these ratios in MORB and the atmosphere within the relatively small uncertainties found here significantly constrains possible mantle degassing scenarios. The widely held view that substantial early degassing of 129Xerad and 136Xe244 from the MORB reservoir to the atmosphere occurred and then ended while 129I was still alive is incompatible with equal ratios, and so is not a possible explanation for observed elevations of 129Xe/130Xe in MORB compared to the atmosphere. Detailed degassing chronologies constructed from the isotopic composition of MORB Xe are therefore questionable. If the present estimate for the uranium/iodine ratio in the bulk silicate Earth (BSE) is taken to apply to all interior volatile reservoirs, the differing 129Xerad/136Xe244 ratios in MORB and the well gases point to two episodes of major mantle degassing, presumably driven by giant impacts, respectively </w:instrText>
      </w:r>
      <w:r w:rsidR="003D32DA" w:rsidRPr="0084570B">
        <w:rPr>
          <w:rFonts w:ascii="Cambria Math" w:eastAsia="Times New Roman" w:hAnsi="Cambria Math" w:cs="Cambria Math"/>
          <w:sz w:val="22"/>
          <w:szCs w:val="22"/>
          <w:lang w:val="en-US"/>
        </w:rPr>
        <w:instrText>∼</w:instrText>
      </w:r>
      <w:r w:rsidR="003D32DA" w:rsidRPr="0084570B">
        <w:rPr>
          <w:rFonts w:ascii="Times New Roman" w:eastAsia="Times New Roman" w:hAnsi="Times New Roman" w:cs="Times New Roman"/>
          <w:sz w:val="22"/>
          <w:szCs w:val="22"/>
          <w:lang w:val="en-US"/>
        </w:rPr>
        <w:instrText xml:space="preserve"> 20-50 Ma and </w:instrText>
      </w:r>
      <w:r w:rsidR="003D32DA" w:rsidRPr="0084570B">
        <w:rPr>
          <w:rFonts w:ascii="Cambria Math" w:eastAsia="Times New Roman" w:hAnsi="Cambria Math" w:cs="Cambria Math"/>
          <w:sz w:val="22"/>
          <w:szCs w:val="22"/>
          <w:lang w:val="en-US"/>
        </w:rPr>
        <w:instrText>∼</w:instrText>
      </w:r>
      <w:r w:rsidR="003D32DA" w:rsidRPr="0084570B">
        <w:rPr>
          <w:rFonts w:ascii="Times New Roman" w:eastAsia="Times New Roman" w:hAnsi="Times New Roman" w:cs="Times New Roman"/>
          <w:sz w:val="22"/>
          <w:szCs w:val="22"/>
          <w:lang w:val="en-US"/>
        </w:rPr>
        <w:instrText xml:space="preserve"> 95-100 Ma after solar system origin assuming current values for initial 129I/127I and 244Pu/238U. The earlier time range, for degassing of the well gas source, spans Hf-W calculations for the timing of a moon-forming impact. The second, later impact further outgassed the upper mantle and MORB source. A single event that degassed both the MORB and gas well reservoirs at the time of the moon-forming collision would be compatible with their distinct 129Xerad/136Xe244 ratios only if the post-impact iodine abundance in the MORB reservoir was about an order of magnitude lower than current estimates. In…","author":[{"dropping-particle":"","family":"Pepin","given":"Robert O.","non-dropping-particle":"","parse-names":false,"suffix":""},{"dropping-particle":"","family":"Porcelli","given":"Don","non-dropping-particle":"","parse-names":false,"suffix":""}],"container-title":"Earth and Planetary Science Letters","id":"ITEM-1","issue":"3-4","issued":{"date-parts":[["2006"]]},"page":"470-485","title":"Xenon isotope systematics, giant impacts, and mantle degassing on the early Earth","type":"article-journal","volume":"250"},"uris":["http://www.mendeley.com/documents/?uuid=427b4856-93c5-457c-9757-6fd33bca1a9d"]}],"mendeley":{"formattedCitation":"&lt;sup&gt;3&lt;/sup&gt;","plainTextFormattedCitation":"3","previouslyFormattedCitation":"&lt;sup&gt;3&lt;/sup&gt;"},"properties":{"noteIndex":0},"schema":"https://github.com/citation-style-language/schema/raw/master/csl-citation.json"}</w:instrText>
      </w:r>
      <w:r w:rsidR="006F5853" w:rsidRPr="0084570B">
        <w:rPr>
          <w:rFonts w:ascii="Times New Roman" w:eastAsia="Times New Roman" w:hAnsi="Times New Roman" w:cs="Times New Roman"/>
          <w:sz w:val="22"/>
          <w:szCs w:val="22"/>
          <w:lang w:val="en-US"/>
        </w:rPr>
        <w:fldChar w:fldCharType="separate"/>
      </w:r>
      <w:r w:rsidR="006F5853" w:rsidRPr="0084570B">
        <w:rPr>
          <w:rFonts w:ascii="Times New Roman" w:eastAsia="Times New Roman" w:hAnsi="Times New Roman" w:cs="Times New Roman"/>
          <w:noProof/>
          <w:sz w:val="22"/>
          <w:szCs w:val="22"/>
          <w:vertAlign w:val="superscript"/>
          <w:lang w:val="en-US"/>
        </w:rPr>
        <w:t>3</w:t>
      </w:r>
      <w:r w:rsidR="006F5853" w:rsidRPr="0084570B">
        <w:rPr>
          <w:rFonts w:ascii="Times New Roman" w:eastAsia="Times New Roman" w:hAnsi="Times New Roman" w:cs="Times New Roman"/>
          <w:sz w:val="22"/>
          <w:szCs w:val="22"/>
          <w:lang w:val="en-US"/>
        </w:rPr>
        <w:fldChar w:fldCharType="end"/>
      </w:r>
      <w:r w:rsidR="006F5853" w:rsidRPr="0084570B">
        <w:rPr>
          <w:rFonts w:ascii="Times New Roman" w:eastAsia="Times New Roman" w:hAnsi="Times New Roman" w:cs="Times New Roman"/>
          <w:sz w:val="22"/>
          <w:szCs w:val="22"/>
          <w:lang w:val="en-US"/>
        </w:rPr>
        <w:t>, we find that introducing one</w:t>
      </w:r>
      <w:r w:rsidR="009A47C4" w:rsidRPr="0084570B">
        <w:rPr>
          <w:rFonts w:ascii="Times New Roman" w:eastAsia="Times New Roman" w:hAnsi="Times New Roman" w:cs="Times New Roman"/>
          <w:sz w:val="22"/>
          <w:szCs w:val="22"/>
          <w:lang w:val="en-US"/>
        </w:rPr>
        <w:t xml:space="preserve"> (or more)</w:t>
      </w:r>
      <w:r w:rsidR="006F5853" w:rsidRPr="0084570B">
        <w:rPr>
          <w:rFonts w:ascii="Times New Roman" w:eastAsia="Times New Roman" w:hAnsi="Times New Roman" w:cs="Times New Roman"/>
          <w:sz w:val="22"/>
          <w:szCs w:val="22"/>
          <w:lang w:val="en-US"/>
        </w:rPr>
        <w:t xml:space="preserve"> episode</w:t>
      </w:r>
      <w:r w:rsidR="009A47C4" w:rsidRPr="0084570B">
        <w:rPr>
          <w:rFonts w:ascii="Times New Roman" w:eastAsia="Times New Roman" w:hAnsi="Times New Roman" w:cs="Times New Roman"/>
          <w:sz w:val="22"/>
          <w:szCs w:val="22"/>
          <w:lang w:val="en-US"/>
        </w:rPr>
        <w:t>(s)</w:t>
      </w:r>
      <w:r w:rsidR="006F5853" w:rsidRPr="0084570B">
        <w:rPr>
          <w:rFonts w:ascii="Times New Roman" w:eastAsia="Times New Roman" w:hAnsi="Times New Roman" w:cs="Times New Roman"/>
          <w:sz w:val="22"/>
          <w:szCs w:val="22"/>
          <w:lang w:val="en-US"/>
        </w:rPr>
        <w:t xml:space="preserve"> of giant impact-induced degassing is required to reproduce the upper mantle Xe isotope composition derived from MORB analyses</w:t>
      </w:r>
      <w:r w:rsidR="00D95A97" w:rsidRPr="0084570B">
        <w:rPr>
          <w:rFonts w:ascii="Times New Roman" w:eastAsia="Times New Roman" w:hAnsi="Times New Roman" w:cs="Times New Roman"/>
          <w:sz w:val="22"/>
          <w:szCs w:val="22"/>
          <w:lang w:val="en-US"/>
        </w:rPr>
        <w:t xml:space="preserve"> (</w:t>
      </w:r>
      <w:r w:rsidR="00D95A97" w:rsidRPr="0084570B">
        <w:rPr>
          <w:rFonts w:ascii="Times New Roman" w:eastAsia="Times New Roman" w:hAnsi="Times New Roman" w:cs="Times New Roman"/>
          <w:b/>
          <w:sz w:val="22"/>
          <w:szCs w:val="22"/>
          <w:lang w:val="en-US"/>
        </w:rPr>
        <w:t>Figure S16</w:t>
      </w:r>
      <w:r w:rsidR="00D95A97" w:rsidRPr="0084570B">
        <w:rPr>
          <w:rFonts w:ascii="Times New Roman" w:eastAsia="Times New Roman" w:hAnsi="Times New Roman" w:cs="Times New Roman"/>
          <w:sz w:val="22"/>
          <w:szCs w:val="22"/>
          <w:lang w:val="en-US"/>
        </w:rPr>
        <w:t>)</w:t>
      </w:r>
      <w:r w:rsidR="006F5853" w:rsidRPr="0084570B">
        <w:rPr>
          <w:rFonts w:ascii="Times New Roman" w:eastAsia="Times New Roman" w:hAnsi="Times New Roman" w:cs="Times New Roman"/>
          <w:sz w:val="22"/>
          <w:szCs w:val="22"/>
          <w:lang w:val="en-US"/>
        </w:rPr>
        <w:t xml:space="preserve">. </w:t>
      </w:r>
    </w:p>
    <w:p w14:paraId="3508A17A" w14:textId="77777777" w:rsidR="00A30225" w:rsidRPr="0084570B" w:rsidRDefault="00A30225" w:rsidP="00D95A97">
      <w:pPr>
        <w:pStyle w:val="Normal1"/>
        <w:spacing w:line="360" w:lineRule="auto"/>
        <w:ind w:firstLine="700"/>
        <w:jc w:val="both"/>
        <w:rPr>
          <w:rFonts w:ascii="Times New Roman" w:eastAsia="Times New Roman" w:hAnsi="Times New Roman" w:cs="Times New Roman"/>
          <w:sz w:val="8"/>
          <w:szCs w:val="8"/>
          <w:lang w:val="en-US"/>
        </w:rPr>
      </w:pPr>
    </w:p>
    <w:p w14:paraId="377F53B8" w14:textId="20170F24" w:rsidR="00245CFB" w:rsidRPr="0084570B" w:rsidRDefault="00A30225" w:rsidP="00A30225">
      <w:pPr>
        <w:pStyle w:val="Normal1"/>
        <w:spacing w:line="360" w:lineRule="auto"/>
        <w:jc w:val="both"/>
        <w:rPr>
          <w:rFonts w:ascii="Times New Roman" w:eastAsia="Times New Roman" w:hAnsi="Times New Roman" w:cs="Times New Roman"/>
          <w:b/>
          <w:szCs w:val="22"/>
          <w:lang w:val="en-US"/>
        </w:rPr>
      </w:pPr>
      <w:r w:rsidRPr="0084570B">
        <w:rPr>
          <w:rFonts w:ascii="Times New Roman" w:eastAsia="Times New Roman" w:hAnsi="Times New Roman" w:cs="Times New Roman"/>
          <w:b/>
          <w:szCs w:val="22"/>
          <w:lang w:val="en-US"/>
        </w:rPr>
        <w:t xml:space="preserve">Giant impact scenarios: </w:t>
      </w:r>
      <w:r w:rsidR="006F5853" w:rsidRPr="0084570B">
        <w:rPr>
          <w:rFonts w:ascii="Times New Roman" w:eastAsia="Times New Roman" w:hAnsi="Times New Roman" w:cs="Times New Roman"/>
          <w:sz w:val="22"/>
          <w:szCs w:val="22"/>
          <w:lang w:val="en-US"/>
        </w:rPr>
        <w:t>Episodes of early mantle degassing indeed require increasingly high [I]</w:t>
      </w:r>
      <w:r w:rsidR="006F5853" w:rsidRPr="0084570B">
        <w:rPr>
          <w:rFonts w:ascii="Times New Roman" w:eastAsia="Times New Roman" w:hAnsi="Times New Roman" w:cs="Times New Roman"/>
          <w:sz w:val="22"/>
          <w:szCs w:val="22"/>
          <w:vertAlign w:val="subscript"/>
          <w:lang w:val="en-US"/>
        </w:rPr>
        <w:t>init.</w:t>
      </w:r>
      <w:r w:rsidR="006F5853" w:rsidRPr="0084570B">
        <w:rPr>
          <w:rFonts w:ascii="Times New Roman" w:eastAsia="Times New Roman" w:hAnsi="Times New Roman" w:cs="Times New Roman"/>
          <w:sz w:val="22"/>
          <w:szCs w:val="22"/>
          <w:lang w:val="en-US"/>
        </w:rPr>
        <w:t xml:space="preserve"> to compensate for the early loss of </w:t>
      </w:r>
      <w:r w:rsidR="006F5853" w:rsidRPr="0084570B">
        <w:rPr>
          <w:rFonts w:ascii="Times New Roman" w:eastAsia="Times New Roman" w:hAnsi="Times New Roman" w:cs="Times New Roman"/>
          <w:sz w:val="22"/>
          <w:szCs w:val="22"/>
          <w:vertAlign w:val="superscript"/>
          <w:lang w:val="en-US"/>
        </w:rPr>
        <w:t>129</w:t>
      </w:r>
      <w:r w:rsidR="006F5853" w:rsidRPr="0084570B">
        <w:rPr>
          <w:rFonts w:ascii="Times New Roman" w:eastAsia="Times New Roman" w:hAnsi="Times New Roman" w:cs="Times New Roman"/>
          <w:sz w:val="22"/>
          <w:szCs w:val="22"/>
          <w:lang w:val="en-US"/>
        </w:rPr>
        <w:t>Xe</w:t>
      </w:r>
      <w:r w:rsidR="006F5853" w:rsidRPr="0084570B">
        <w:rPr>
          <w:rFonts w:ascii="Times New Roman" w:eastAsia="Times New Roman" w:hAnsi="Times New Roman" w:cs="Times New Roman"/>
          <w:sz w:val="22"/>
          <w:szCs w:val="22"/>
          <w:vertAlign w:val="subscript"/>
          <w:lang w:val="en-US"/>
        </w:rPr>
        <w:t>I</w:t>
      </w:r>
      <w:r w:rsidR="00245CFB" w:rsidRPr="0084570B">
        <w:rPr>
          <w:rFonts w:ascii="Times New Roman" w:eastAsia="Times New Roman" w:hAnsi="Times New Roman" w:cs="Times New Roman"/>
          <w:sz w:val="22"/>
          <w:szCs w:val="22"/>
          <w:vertAlign w:val="subscript"/>
          <w:lang w:val="en-US"/>
        </w:rPr>
        <w:t xml:space="preserve"> </w:t>
      </w:r>
      <w:r w:rsidR="00245CFB" w:rsidRPr="0084570B">
        <w:rPr>
          <w:rFonts w:ascii="Times New Roman" w:eastAsia="Times New Roman" w:hAnsi="Times New Roman" w:cs="Times New Roman"/>
          <w:sz w:val="22"/>
          <w:szCs w:val="22"/>
          <w:lang w:val="en-US"/>
        </w:rPr>
        <w:t>(</w:t>
      </w:r>
      <w:r w:rsidR="00245CFB" w:rsidRPr="0084570B">
        <w:rPr>
          <w:rFonts w:ascii="Times New Roman" w:eastAsia="Times New Roman" w:hAnsi="Times New Roman" w:cs="Times New Roman"/>
          <w:b/>
          <w:sz w:val="22"/>
          <w:szCs w:val="22"/>
          <w:lang w:val="en-US"/>
        </w:rPr>
        <w:t>Figure S17</w:t>
      </w:r>
      <w:r w:rsidR="00245CFB" w:rsidRPr="0084570B">
        <w:rPr>
          <w:rFonts w:ascii="Times New Roman" w:eastAsia="Times New Roman" w:hAnsi="Times New Roman" w:cs="Times New Roman"/>
          <w:sz w:val="22"/>
          <w:szCs w:val="22"/>
          <w:lang w:val="en-US"/>
        </w:rPr>
        <w:t>)</w:t>
      </w:r>
      <w:r w:rsidR="006F5853" w:rsidRPr="0084570B">
        <w:rPr>
          <w:rFonts w:ascii="Times New Roman" w:eastAsia="Times New Roman" w:hAnsi="Times New Roman" w:cs="Times New Roman"/>
          <w:sz w:val="22"/>
          <w:szCs w:val="22"/>
          <w:lang w:val="en-US"/>
        </w:rPr>
        <w:t xml:space="preserve">. </w:t>
      </w:r>
      <w:r w:rsidR="009A47C4" w:rsidRPr="0084570B">
        <w:rPr>
          <w:rFonts w:ascii="Times New Roman" w:eastAsia="Times New Roman" w:hAnsi="Times New Roman" w:cs="Times New Roman"/>
          <w:sz w:val="22"/>
          <w:szCs w:val="22"/>
          <w:lang w:val="en-US"/>
        </w:rPr>
        <w:t>F</w:t>
      </w:r>
      <w:r w:rsidR="006F5853" w:rsidRPr="0084570B">
        <w:rPr>
          <w:rFonts w:ascii="Times New Roman" w:eastAsia="Times New Roman" w:hAnsi="Times New Roman" w:cs="Times New Roman"/>
          <w:sz w:val="22"/>
          <w:szCs w:val="22"/>
          <w:lang w:val="en-US"/>
        </w:rPr>
        <w:t xml:space="preserve">or each possible combination of giant impact start date and degassing intensity, we run the gradient descent algorithm to search for the best-fit input parameters when the relevant giant impact event is superimposed. The output is thus a set of the 4 input parameters corresponding to each combination of impact start date and degassing intensity. </w:t>
      </w:r>
      <w:r w:rsidR="009A47C4" w:rsidRPr="0084570B">
        <w:rPr>
          <w:rFonts w:ascii="Times New Roman" w:eastAsia="Times New Roman" w:hAnsi="Times New Roman" w:cs="Times New Roman"/>
          <w:sz w:val="22"/>
          <w:szCs w:val="22"/>
          <w:lang w:val="en-US"/>
        </w:rPr>
        <w:t>Variation of best-fit input parameters found using the gradient descent algorithm for a variety of impact</w:t>
      </w:r>
      <w:r w:rsidR="006C5866" w:rsidRPr="0084570B">
        <w:rPr>
          <w:rFonts w:ascii="Times New Roman" w:eastAsia="Times New Roman" w:hAnsi="Times New Roman" w:cs="Times New Roman"/>
          <w:sz w:val="22"/>
          <w:szCs w:val="22"/>
          <w:lang w:val="en-US"/>
        </w:rPr>
        <w:t>-</w:t>
      </w:r>
      <w:r w:rsidR="009A47C4" w:rsidRPr="0084570B">
        <w:rPr>
          <w:rFonts w:ascii="Times New Roman" w:eastAsia="Times New Roman" w:hAnsi="Times New Roman" w:cs="Times New Roman"/>
          <w:sz w:val="22"/>
          <w:szCs w:val="22"/>
          <w:lang w:val="en-US"/>
        </w:rPr>
        <w:t xml:space="preserve">induced degassing scenarios are shown for conventional MORB and Mt. Etna target values on </w:t>
      </w:r>
      <w:r w:rsidR="009A47C4" w:rsidRPr="0084570B">
        <w:rPr>
          <w:rFonts w:ascii="Times New Roman" w:eastAsia="Times New Roman" w:hAnsi="Times New Roman" w:cs="Times New Roman"/>
          <w:b/>
          <w:sz w:val="22"/>
          <w:szCs w:val="22"/>
          <w:lang w:val="en-US"/>
        </w:rPr>
        <w:t>Figure S1</w:t>
      </w:r>
      <w:r w:rsidR="00245CFB" w:rsidRPr="0084570B">
        <w:rPr>
          <w:rFonts w:ascii="Times New Roman" w:eastAsia="Times New Roman" w:hAnsi="Times New Roman" w:cs="Times New Roman"/>
          <w:b/>
          <w:sz w:val="22"/>
          <w:szCs w:val="22"/>
          <w:lang w:val="en-US"/>
        </w:rPr>
        <w:t>7</w:t>
      </w:r>
      <w:r w:rsidR="009A47C4" w:rsidRPr="0084570B">
        <w:rPr>
          <w:rFonts w:ascii="Times New Roman" w:eastAsia="Times New Roman" w:hAnsi="Times New Roman" w:cs="Times New Roman"/>
          <w:sz w:val="22"/>
          <w:szCs w:val="22"/>
          <w:lang w:val="en-US"/>
        </w:rPr>
        <w:t xml:space="preserve"> and </w:t>
      </w:r>
      <w:r w:rsidR="009A47C4" w:rsidRPr="0084570B">
        <w:rPr>
          <w:rFonts w:ascii="Times New Roman" w:eastAsia="Times New Roman" w:hAnsi="Times New Roman" w:cs="Times New Roman"/>
          <w:b/>
          <w:sz w:val="22"/>
          <w:szCs w:val="22"/>
          <w:lang w:val="en-US"/>
        </w:rPr>
        <w:t>S1</w:t>
      </w:r>
      <w:r w:rsidR="00245CFB" w:rsidRPr="0084570B">
        <w:rPr>
          <w:rFonts w:ascii="Times New Roman" w:eastAsia="Times New Roman" w:hAnsi="Times New Roman" w:cs="Times New Roman"/>
          <w:b/>
          <w:sz w:val="22"/>
          <w:szCs w:val="22"/>
          <w:lang w:val="en-US"/>
        </w:rPr>
        <w:t>8</w:t>
      </w:r>
      <w:r w:rsidR="009A47C4" w:rsidRPr="0084570B">
        <w:rPr>
          <w:rFonts w:ascii="Times New Roman" w:eastAsia="Times New Roman" w:hAnsi="Times New Roman" w:cs="Times New Roman"/>
          <w:sz w:val="22"/>
          <w:szCs w:val="22"/>
          <w:lang w:val="en-US"/>
        </w:rPr>
        <w:t>, respectively.</w:t>
      </w:r>
      <w:r w:rsidR="00D95A97" w:rsidRPr="0084570B">
        <w:rPr>
          <w:rFonts w:ascii="Times New Roman" w:eastAsia="Times New Roman" w:hAnsi="Times New Roman" w:cs="Times New Roman"/>
          <w:sz w:val="22"/>
          <w:szCs w:val="22"/>
          <w:lang w:val="en-US"/>
        </w:rPr>
        <w:t xml:space="preserve"> Doing so, we find that giant impact scenarios result in similar best final misfit values to the secular evolution models, suggesting that the imposition of a giant impact-induced degassing event does not prevent the model from finding solutions that satisfy target mantle parameters. However, the plausibility of these solutions must be assessed independently. </w:t>
      </w:r>
    </w:p>
    <w:p w14:paraId="75CA9886" w14:textId="26523F58" w:rsidR="00245CFB" w:rsidRPr="0084570B" w:rsidRDefault="00245CFB" w:rsidP="00245CFB">
      <w:pPr>
        <w:pStyle w:val="Normal1"/>
        <w:spacing w:line="276" w:lineRule="auto"/>
        <w:jc w:val="both"/>
        <w:rPr>
          <w:rFonts w:ascii="Times New Roman" w:eastAsia="Times New Roman" w:hAnsi="Times New Roman" w:cs="Times New Roman"/>
          <w:b/>
          <w:color w:val="999999"/>
          <w:sz w:val="22"/>
          <w:szCs w:val="22"/>
          <w:lang w:val="en-US"/>
        </w:rPr>
      </w:pPr>
      <w:r w:rsidRPr="0084570B">
        <w:rPr>
          <w:rFonts w:ascii="Times New Roman" w:eastAsia="Times New Roman" w:hAnsi="Times New Roman" w:cs="Times New Roman"/>
          <w:b/>
          <w:noProof/>
          <w:color w:val="999999"/>
          <w:sz w:val="22"/>
          <w:szCs w:val="22"/>
          <w:lang w:val="fr-FR"/>
        </w:rPr>
        <w:drawing>
          <wp:inline distT="0" distB="0" distL="0" distR="0" wp14:anchorId="01FDC69D" wp14:editId="63723F4A">
            <wp:extent cx="5756910" cy="2589598"/>
            <wp:effectExtent l="0" t="0" r="8890" b="1270"/>
            <wp:docPr id="50"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56910" cy="2589598"/>
                    </a:xfrm>
                    <a:prstGeom prst="rect">
                      <a:avLst/>
                    </a:prstGeom>
                    <a:noFill/>
                    <a:ln>
                      <a:noFill/>
                    </a:ln>
                  </pic:spPr>
                </pic:pic>
              </a:graphicData>
            </a:graphic>
          </wp:inline>
        </w:drawing>
      </w:r>
    </w:p>
    <w:p w14:paraId="784A44A3" w14:textId="77777777" w:rsidR="00245CFB" w:rsidRPr="0084570B" w:rsidRDefault="00245CFB" w:rsidP="00245CFB">
      <w:pPr>
        <w:pStyle w:val="Normal1"/>
        <w:spacing w:line="276" w:lineRule="auto"/>
        <w:jc w:val="center"/>
        <w:rPr>
          <w:rFonts w:ascii="Times New Roman" w:eastAsia="Times New Roman" w:hAnsi="Times New Roman" w:cs="Times New Roman"/>
          <w:b/>
          <w:sz w:val="22"/>
          <w:szCs w:val="22"/>
          <w:lang w:val="en-US"/>
        </w:rPr>
      </w:pPr>
    </w:p>
    <w:p w14:paraId="54381A13" w14:textId="3C7F50CC" w:rsidR="00245CFB" w:rsidRPr="0084570B" w:rsidRDefault="00245CFB" w:rsidP="00245CFB">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 xml:space="preserve">Figure S16. Heat maps of misfit between modeled and measured Xe isotope systematics for Mt. Etna and MORB (with and without giant impact degassing). </w:t>
      </w:r>
      <w:r w:rsidRPr="0084570B">
        <w:rPr>
          <w:rFonts w:ascii="Times New Roman" w:eastAsia="Times New Roman" w:hAnsi="Times New Roman" w:cs="Times New Roman"/>
          <w:sz w:val="22"/>
          <w:szCs w:val="22"/>
          <w:lang w:val="en-US"/>
        </w:rPr>
        <w:t>Y- and x-axis represent bulk silicate Earth iodine content ([I]</w:t>
      </w:r>
      <w:r w:rsidRPr="0084570B">
        <w:rPr>
          <w:rFonts w:ascii="Times New Roman" w:eastAsia="Times New Roman" w:hAnsi="Times New Roman" w:cs="Times New Roman"/>
          <w:sz w:val="22"/>
          <w:szCs w:val="22"/>
          <w:vertAlign w:val="subscript"/>
          <w:lang w:val="en-US"/>
        </w:rPr>
        <w:t>BSE</w:t>
      </w:r>
      <w:r w:rsidRPr="0084570B">
        <w:rPr>
          <w:rFonts w:ascii="Times New Roman" w:eastAsia="Times New Roman" w:hAnsi="Times New Roman" w:cs="Times New Roman"/>
          <w:sz w:val="22"/>
          <w:szCs w:val="22"/>
          <w:lang w:val="en-US"/>
        </w:rPr>
        <w:t xml:space="preserve">) and present-day mantle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 abundance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respectively. [</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sz w:val="22"/>
          <w:szCs w:val="22"/>
          <w:lang w:val="en-US"/>
        </w:rPr>
        <w:t xml:space="preserve"> is directly related to % equ.CC (i.e., equivalent carbonaceous chondrites) by the amount of total degassing (controlled by </w:t>
      </w:r>
      <w:r w:rsidRPr="0084570B">
        <w:rPr>
          <w:rFonts w:ascii="Times New Roman" w:eastAsia="Times New Roman" w:hAnsi="Times New Roman" w:cs="Times New Roman"/>
          <w:i/>
          <w:sz w:val="22"/>
          <w:szCs w:val="22"/>
          <w:lang w:val="en-US"/>
        </w:rPr>
        <w:t>η</w:t>
      </w:r>
      <w:r w:rsidRPr="0084570B">
        <w:rPr>
          <w:rFonts w:ascii="Times New Roman" w:eastAsia="Times New Roman" w:hAnsi="Times New Roman" w:cs="Times New Roman"/>
          <w:sz w:val="22"/>
          <w:szCs w:val="22"/>
          <w:lang w:val="en-US"/>
        </w:rPr>
        <w:t>) and the fraction of the exponential component in the mantle processing curve (</w:t>
      </w:r>
      <w:r w:rsidRPr="0084570B">
        <w:rPr>
          <w:rFonts w:ascii="Times New Roman" w:eastAsia="Times New Roman" w:hAnsi="Times New Roman" w:cs="Times New Roman"/>
          <w:i/>
          <w:sz w:val="22"/>
          <w:szCs w:val="22"/>
          <w:lang w:val="en-US"/>
        </w:rPr>
        <w:t>f</w:t>
      </w:r>
      <w:r w:rsidRPr="0084570B">
        <w:rPr>
          <w:rFonts w:ascii="Times New Roman" w:eastAsia="Times New Roman" w:hAnsi="Times New Roman" w:cs="Times New Roman"/>
          <w:i/>
          <w:sz w:val="22"/>
          <w:szCs w:val="22"/>
          <w:vertAlign w:val="subscript"/>
          <w:lang w:val="en-US"/>
        </w:rPr>
        <w:t>exp</w:t>
      </w:r>
      <w:r w:rsidRPr="0084570B">
        <w:rPr>
          <w:rFonts w:ascii="Times New Roman" w:eastAsia="Times New Roman" w:hAnsi="Times New Roman" w:cs="Times New Roman"/>
          <w:sz w:val="22"/>
          <w:szCs w:val="22"/>
          <w:lang w:val="en-US"/>
        </w:rPr>
        <w:t>). The goodness of fit (sum of the χ</w:t>
      </w:r>
      <w:r w:rsidRPr="0084570B">
        <w:rPr>
          <w:rFonts w:ascii="Times New Roman" w:eastAsia="Times New Roman" w:hAnsi="Times New Roman" w:cs="Times New Roman"/>
          <w:sz w:val="22"/>
          <w:szCs w:val="22"/>
          <w:vertAlign w:val="superscript"/>
          <w:lang w:val="en-US"/>
        </w:rPr>
        <w:t>2</w:t>
      </w:r>
      <w:r w:rsidRPr="0084570B">
        <w:rPr>
          <w:rFonts w:ascii="Times New Roman" w:eastAsia="Times New Roman" w:hAnsi="Times New Roman" w:cs="Times New Roman"/>
          <w:sz w:val="22"/>
          <w:szCs w:val="22"/>
          <w:lang w:val="en-US"/>
        </w:rPr>
        <w:t xml:space="preserve">) of a given model is assessed by comparing the predicted, present-day Xe isotopic composition of the mantle (i.e.,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 xml:space="preserve">Xe, </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U</w:t>
      </w:r>
      <w:r w:rsidRPr="0084570B">
        <w:rPr>
          <w:rFonts w:ascii="Times New Roman" w:eastAsia="Times New Roman" w:hAnsi="Times New Roman" w:cs="Times New Roman"/>
          <w:sz w:val="22"/>
          <w:szCs w:val="22"/>
          <w:lang w:val="en-US"/>
        </w:rPr>
        <w:t xml:space="preserve">) and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I</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136</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Pu</w:t>
      </w:r>
      <w:r w:rsidRPr="0084570B">
        <w:rPr>
          <w:rFonts w:ascii="Times New Roman" w:eastAsia="Times New Roman" w:hAnsi="Times New Roman" w:cs="Times New Roman"/>
          <w:sz w:val="22"/>
          <w:szCs w:val="22"/>
          <w:lang w:val="en-US"/>
        </w:rPr>
        <w:t>) to measured modern values.</w:t>
      </w:r>
    </w:p>
    <w:p w14:paraId="2ABB7D81" w14:textId="77777777" w:rsidR="00245CFB" w:rsidRPr="0084570B" w:rsidRDefault="00245CFB" w:rsidP="00D95A97">
      <w:pPr>
        <w:pStyle w:val="Normal1"/>
        <w:spacing w:line="360" w:lineRule="auto"/>
        <w:ind w:firstLine="700"/>
        <w:jc w:val="both"/>
        <w:rPr>
          <w:rFonts w:ascii="Times New Roman" w:eastAsia="Times New Roman" w:hAnsi="Times New Roman" w:cs="Times New Roman"/>
          <w:sz w:val="22"/>
          <w:szCs w:val="22"/>
          <w:lang w:val="en-US"/>
        </w:rPr>
      </w:pPr>
    </w:p>
    <w:p w14:paraId="28EF96B7" w14:textId="77777777" w:rsidR="009A47C4" w:rsidRPr="0084570B" w:rsidRDefault="009A47C4" w:rsidP="009A47C4">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lastRenderedPageBreak/>
        <w:drawing>
          <wp:inline distT="0" distB="0" distL="0" distR="0" wp14:anchorId="5DF74924" wp14:editId="63A8CDA9">
            <wp:extent cx="4145816" cy="4025025"/>
            <wp:effectExtent l="0" t="0" r="0" b="0"/>
            <wp:docPr id="4" name="Image 4" descr="Bekaert:Users:dbekaert:Desktop:Capture d’écran 2022-07-24 à 13.20.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kaert:Users:dbekaert:Desktop:Capture d’écran 2022-07-24 à 13.20.30.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45816" cy="4025025"/>
                    </a:xfrm>
                    <a:prstGeom prst="rect">
                      <a:avLst/>
                    </a:prstGeom>
                    <a:noFill/>
                    <a:ln>
                      <a:noFill/>
                    </a:ln>
                  </pic:spPr>
                </pic:pic>
              </a:graphicData>
            </a:graphic>
          </wp:inline>
        </w:drawing>
      </w:r>
    </w:p>
    <w:p w14:paraId="0A75A2E8" w14:textId="477AB6F2" w:rsidR="009A47C4" w:rsidRPr="0084570B" w:rsidRDefault="00245CFB" w:rsidP="009A47C4">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S17</w:t>
      </w:r>
      <w:r w:rsidR="009A47C4" w:rsidRPr="0084570B">
        <w:rPr>
          <w:rFonts w:ascii="Times New Roman" w:eastAsia="Times New Roman" w:hAnsi="Times New Roman" w:cs="Times New Roman"/>
          <w:b/>
          <w:sz w:val="22"/>
          <w:szCs w:val="22"/>
          <w:lang w:val="en-US"/>
        </w:rPr>
        <w:t>. Variation of best-fit input parameters found using the gradient descent algorithm for a variety of impact induced degassing scenarios, using MORB target parameters.</w:t>
      </w:r>
      <w:r w:rsidR="009A47C4" w:rsidRPr="0084570B">
        <w:rPr>
          <w:rFonts w:ascii="Times New Roman" w:eastAsia="Times New Roman" w:hAnsi="Times New Roman" w:cs="Times New Roman"/>
          <w:sz w:val="22"/>
          <w:szCs w:val="22"/>
          <w:lang w:val="en-US"/>
        </w:rPr>
        <w:t xml:space="preserve"> Each panel shows impact time on the y-axis in Myr and resultant degassing intensity in %Myr</w:t>
      </w:r>
      <w:r w:rsidR="009A47C4" w:rsidRPr="0084570B">
        <w:rPr>
          <w:rFonts w:ascii="Times New Roman" w:eastAsia="Times New Roman" w:hAnsi="Times New Roman" w:cs="Times New Roman"/>
          <w:sz w:val="22"/>
          <w:szCs w:val="22"/>
          <w:vertAlign w:val="superscript"/>
          <w:lang w:val="en-US"/>
        </w:rPr>
        <w:t>-1</w:t>
      </w:r>
      <w:r w:rsidR="006C5866" w:rsidRPr="0084570B">
        <w:rPr>
          <w:rFonts w:ascii="Times New Roman" w:eastAsia="Times New Roman" w:hAnsi="Times New Roman" w:cs="Times New Roman"/>
          <w:sz w:val="22"/>
          <w:szCs w:val="22"/>
          <w:lang w:val="en-US"/>
        </w:rPr>
        <w:t xml:space="preserve"> on the x-axis. Left-</w:t>
      </w:r>
      <w:r w:rsidR="009A47C4" w:rsidRPr="0084570B">
        <w:rPr>
          <w:rFonts w:ascii="Times New Roman" w:eastAsia="Times New Roman" w:hAnsi="Times New Roman" w:cs="Times New Roman"/>
          <w:sz w:val="22"/>
          <w:szCs w:val="22"/>
          <w:lang w:val="en-US"/>
        </w:rPr>
        <w:t xml:space="preserve">hand panels show color gradients indicating variations of </w:t>
      </w:r>
      <w:r w:rsidR="009A47C4" w:rsidRPr="0084570B">
        <w:rPr>
          <w:rFonts w:ascii="Times New Roman" w:eastAsia="Times New Roman" w:hAnsi="Times New Roman" w:cs="Times New Roman"/>
          <w:i/>
          <w:sz w:val="22"/>
          <w:szCs w:val="22"/>
          <w:lang w:val="en-US"/>
        </w:rPr>
        <w:t>η</w:t>
      </w:r>
      <w:r w:rsidR="009A47C4" w:rsidRPr="0084570B">
        <w:rPr>
          <w:rFonts w:ascii="Times New Roman" w:eastAsia="Times New Roman" w:hAnsi="Times New Roman" w:cs="Times New Roman"/>
          <w:sz w:val="22"/>
          <w:szCs w:val="22"/>
          <w:lang w:val="en-US"/>
        </w:rPr>
        <w:t xml:space="preserve"> (top) and [</w:t>
      </w:r>
      <w:r w:rsidR="009A47C4" w:rsidRPr="0084570B">
        <w:rPr>
          <w:rFonts w:ascii="Times New Roman" w:eastAsia="Times New Roman" w:hAnsi="Times New Roman" w:cs="Times New Roman"/>
          <w:sz w:val="22"/>
          <w:szCs w:val="22"/>
          <w:vertAlign w:val="superscript"/>
          <w:lang w:val="en-US"/>
        </w:rPr>
        <w:t>130</w:t>
      </w:r>
      <w:r w:rsidR="009A47C4" w:rsidRPr="0084570B">
        <w:rPr>
          <w:rFonts w:ascii="Times New Roman" w:eastAsia="Times New Roman" w:hAnsi="Times New Roman" w:cs="Times New Roman"/>
          <w:sz w:val="22"/>
          <w:szCs w:val="22"/>
          <w:lang w:val="en-US"/>
        </w:rPr>
        <w:t>Xe]</w:t>
      </w:r>
      <w:r w:rsidR="009A47C4" w:rsidRPr="0084570B">
        <w:rPr>
          <w:rFonts w:ascii="Times New Roman" w:eastAsia="Times New Roman" w:hAnsi="Times New Roman" w:cs="Times New Roman"/>
          <w:sz w:val="22"/>
          <w:szCs w:val="22"/>
          <w:vertAlign w:val="subscript"/>
          <w:lang w:val="en-US"/>
        </w:rPr>
        <w:t xml:space="preserve">pres. </w:t>
      </w:r>
      <w:r w:rsidR="006C5866" w:rsidRPr="0084570B">
        <w:rPr>
          <w:rFonts w:ascii="Times New Roman" w:eastAsia="Times New Roman" w:hAnsi="Times New Roman" w:cs="Times New Roman"/>
          <w:sz w:val="22"/>
          <w:szCs w:val="22"/>
          <w:lang w:val="en-US"/>
        </w:rPr>
        <w:t>(bottom, whilst right-</w:t>
      </w:r>
      <w:r w:rsidR="009A47C4" w:rsidRPr="0084570B">
        <w:rPr>
          <w:rFonts w:ascii="Times New Roman" w:eastAsia="Times New Roman" w:hAnsi="Times New Roman" w:cs="Times New Roman"/>
          <w:sz w:val="22"/>
          <w:szCs w:val="22"/>
          <w:lang w:val="en-US"/>
        </w:rPr>
        <w:t>hand panels show [I]</w:t>
      </w:r>
      <w:r w:rsidR="009A47C4" w:rsidRPr="0084570B">
        <w:rPr>
          <w:rFonts w:ascii="Times New Roman" w:eastAsia="Times New Roman" w:hAnsi="Times New Roman" w:cs="Times New Roman"/>
          <w:sz w:val="22"/>
          <w:szCs w:val="22"/>
          <w:vertAlign w:val="subscript"/>
          <w:lang w:val="en-US"/>
        </w:rPr>
        <w:t>init.</w:t>
      </w:r>
      <w:r w:rsidR="009A47C4" w:rsidRPr="0084570B">
        <w:rPr>
          <w:rFonts w:ascii="Times New Roman" w:eastAsia="Times New Roman" w:hAnsi="Times New Roman" w:cs="Times New Roman"/>
          <w:sz w:val="22"/>
          <w:szCs w:val="22"/>
          <w:lang w:val="en-US"/>
        </w:rPr>
        <w:t xml:space="preserve"> (top; plausible range between 7-13 ppb; Avice &amp; Marty</w:t>
      </w:r>
      <w:r w:rsidR="009A47C4"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Avice","given":"G.","non-dropping-particle":"","parse-names":false,"suffix":""},{"dropping-particle":"","family":"Marty","given":"B.","non-dropping-particle":"","parse-names":false,"suffix":""}],"container-title":"Philosophical Transactions of the Royal Society A: Mathematical, Physical and Engineering Sciences","id":"ITEM-1","issue":"2024","issued":{"date-parts":[["2014"]]},"page":"20130260","title":"The iodine-plutonium-xenon age of the Moon-Earth system revisited","type":"article-journal","volume":"372"},"uris":["http://www.mendeley.com/documents/?uuid=2af867a1-f9bb-48f6-bfd0-1a52b0bcd55d"]}],"mendeley":{"formattedCitation":"&lt;sup&gt;30&lt;/sup&gt;","plainTextFormattedCitation":"30","previouslyFormattedCitation":"&lt;sup&gt;30&lt;/sup&gt;"},"properties":{"noteIndex":0},"schema":"https://github.com/citation-style-language/schema/raw/master/csl-citation.json"}</w:instrText>
      </w:r>
      <w:r w:rsidR="009A47C4"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30</w:t>
      </w:r>
      <w:r w:rsidR="009A47C4" w:rsidRPr="0084570B">
        <w:rPr>
          <w:rFonts w:ascii="Times New Roman" w:eastAsia="Times New Roman" w:hAnsi="Times New Roman" w:cs="Times New Roman"/>
          <w:sz w:val="22"/>
          <w:szCs w:val="22"/>
          <w:lang w:val="en-US"/>
        </w:rPr>
        <w:fldChar w:fldCharType="end"/>
      </w:r>
      <w:r w:rsidR="009A47C4" w:rsidRPr="0084570B">
        <w:rPr>
          <w:rFonts w:ascii="Times New Roman" w:eastAsia="Times New Roman" w:hAnsi="Times New Roman" w:cs="Times New Roman"/>
          <w:sz w:val="22"/>
          <w:szCs w:val="22"/>
          <w:lang w:val="en-US"/>
        </w:rPr>
        <w:t xml:space="preserve"> and references therein) or equ.CC (bottom) variations.</w:t>
      </w:r>
    </w:p>
    <w:p w14:paraId="07740BE1" w14:textId="77777777" w:rsidR="00245CFB" w:rsidRPr="0084570B" w:rsidRDefault="00245CFB" w:rsidP="009A47C4">
      <w:pPr>
        <w:pStyle w:val="Normal1"/>
        <w:spacing w:line="276" w:lineRule="auto"/>
        <w:jc w:val="both"/>
        <w:rPr>
          <w:rFonts w:ascii="Times New Roman" w:eastAsia="Times New Roman" w:hAnsi="Times New Roman" w:cs="Times New Roman"/>
          <w:sz w:val="22"/>
          <w:szCs w:val="22"/>
          <w:lang w:val="en-US"/>
        </w:rPr>
      </w:pPr>
    </w:p>
    <w:p w14:paraId="6009FF5E" w14:textId="6062E65B" w:rsidR="002836AE" w:rsidRPr="0084570B" w:rsidRDefault="00245CFB" w:rsidP="002836AE">
      <w:pPr>
        <w:pStyle w:val="Normal1"/>
        <w:spacing w:line="360" w:lineRule="auto"/>
        <w:jc w:val="both"/>
        <w:rPr>
          <w:rFonts w:ascii="Times New Roman" w:eastAsia="Times New Roman" w:hAnsi="Times New Roman" w:cs="Times New Roman"/>
          <w:color w:val="222222"/>
          <w:sz w:val="22"/>
          <w:szCs w:val="22"/>
          <w:lang w:val="en-US"/>
        </w:rPr>
      </w:pPr>
      <w:r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color w:val="222222"/>
          <w:sz w:val="22"/>
          <w:szCs w:val="22"/>
          <w:lang w:val="en-US"/>
        </w:rPr>
        <w:t>R</w:t>
      </w:r>
      <w:r w:rsidRPr="0084570B">
        <w:rPr>
          <w:rFonts w:ascii="Times New Roman" w:eastAsia="Times New Roman" w:hAnsi="Times New Roman" w:cs="Times New Roman"/>
          <w:sz w:val="22"/>
          <w:szCs w:val="22"/>
          <w:lang w:val="en-US"/>
        </w:rPr>
        <w:t xml:space="preserve">eproducing </w:t>
      </w:r>
      <w:r w:rsidRPr="0084570B">
        <w:rPr>
          <w:rFonts w:ascii="Times New Roman" w:eastAsia="Times New Roman" w:hAnsi="Times New Roman" w:cs="Times New Roman"/>
          <w:color w:val="222222"/>
          <w:sz w:val="22"/>
          <w:szCs w:val="22"/>
          <w:lang w:val="en-US"/>
        </w:rPr>
        <w:t xml:space="preserve">MORBs with reasonable </w:t>
      </w:r>
      <w:r w:rsidRPr="0084570B">
        <w:rPr>
          <w:rFonts w:ascii="Times New Roman" w:eastAsia="Times New Roman" w:hAnsi="Times New Roman" w:cs="Times New Roman"/>
          <w:sz w:val="22"/>
          <w:szCs w:val="22"/>
          <w:vertAlign w:val="superscript"/>
          <w:lang w:val="en-US"/>
        </w:rPr>
        <w:t>127</w:t>
      </w:r>
      <w:r w:rsidRPr="0084570B">
        <w:rPr>
          <w:rFonts w:ascii="Times New Roman" w:eastAsia="Times New Roman" w:hAnsi="Times New Roman" w:cs="Times New Roman"/>
          <w:sz w:val="22"/>
          <w:szCs w:val="22"/>
          <w:lang w:val="en-US"/>
        </w:rPr>
        <w:t>I</w:t>
      </w:r>
      <w:r w:rsidRPr="0084570B">
        <w:rPr>
          <w:rFonts w:ascii="Times New Roman" w:eastAsia="Times New Roman" w:hAnsi="Times New Roman" w:cs="Times New Roman"/>
          <w:sz w:val="22"/>
          <w:szCs w:val="22"/>
          <w:vertAlign w:val="subscript"/>
          <w:lang w:val="en-US"/>
        </w:rPr>
        <w:t>init</w:t>
      </w:r>
      <w:r w:rsidRPr="0084570B">
        <w:rPr>
          <w:rFonts w:ascii="Times New Roman" w:eastAsia="Times New Roman" w:hAnsi="Times New Roman" w:cs="Times New Roman"/>
          <w:sz w:val="22"/>
          <w:szCs w:val="22"/>
          <w:lang w:val="en-US"/>
        </w:rPr>
        <w:t>(BSE)</w:t>
      </w:r>
      <w:r w:rsidRPr="0084570B">
        <w:rPr>
          <w:rFonts w:ascii="Times New Roman" w:eastAsia="Times New Roman" w:hAnsi="Times New Roman" w:cs="Times New Roman"/>
          <w:color w:val="222222"/>
          <w:sz w:val="22"/>
          <w:szCs w:val="22"/>
          <w:lang w:val="en-US"/>
        </w:rPr>
        <w:t xml:space="preserve"> and </w:t>
      </w:r>
      <w:r w:rsidRPr="0084570B">
        <w:rPr>
          <w:rFonts w:ascii="Times New Roman" w:eastAsia="Times New Roman" w:hAnsi="Times New Roman" w:cs="Times New Roman"/>
          <w:sz w:val="22"/>
          <w:szCs w:val="22"/>
          <w:lang w:val="en-US"/>
        </w:rPr>
        <w:t>[</w:t>
      </w:r>
      <w:r w:rsidRPr="0084570B">
        <w:rPr>
          <w:rFonts w:ascii="Times New Roman" w:eastAsia="Times New Roman" w:hAnsi="Times New Roman" w:cs="Times New Roman"/>
          <w:sz w:val="22"/>
          <w:szCs w:val="22"/>
          <w:vertAlign w:val="superscript"/>
          <w:lang w:val="en-US"/>
        </w:rPr>
        <w:t>130</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pres.</w:t>
      </w:r>
      <w:r w:rsidRPr="0084570B">
        <w:rPr>
          <w:rFonts w:ascii="Times New Roman" w:eastAsia="Times New Roman" w:hAnsi="Times New Roman" w:cs="Times New Roman"/>
          <w:color w:val="222222"/>
          <w:sz w:val="22"/>
          <w:szCs w:val="22"/>
          <w:lang w:val="en-US"/>
        </w:rPr>
        <w:t xml:space="preserve"> thus requires the depleted mantle to have undergone early and catastrophic degassing, which can be only achieved by introducing one (or more) discrete event(s) of intense mantle degassing, likely associated with giant impacts</w:t>
      </w:r>
      <w:r w:rsidRPr="0084570B">
        <w:rPr>
          <w:rFonts w:ascii="Times New Roman" w:eastAsia="Times New Roman" w:hAnsi="Times New Roman" w:cs="Times New Roman"/>
          <w:color w:val="222222"/>
          <w:sz w:val="22"/>
          <w:szCs w:val="22"/>
          <w:lang w:val="en-US"/>
        </w:rPr>
        <w:fldChar w:fldCharType="begin" w:fldLock="1"/>
      </w:r>
      <w:r w:rsidR="003376B3">
        <w:rPr>
          <w:rFonts w:ascii="Times New Roman" w:eastAsia="Times New Roman" w:hAnsi="Times New Roman" w:cs="Times New Roman"/>
          <w:color w:val="222222"/>
          <w:sz w:val="22"/>
          <w:szCs w:val="22"/>
          <w:lang w:val="en-US"/>
        </w:rPr>
        <w:instrText>ADDIN CSL_CITATION {"citationItems":[{"id":"ITEM-1","itemData":{"ISBN":"9781119130536","abstract":"Predicting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approach.","author":[{"dropping-particle":"","family":"Tucker","given":"Jonathan M.","non-dropping-particle":"","parse-names":false,"suffix":""},{"dropping-particle":"","family":"Mukhopadhyay","given":"Sujoy","non-dropping-particle":"","parse-names":false,"suffix":""}],"container-title":"Earth and Planetary Science Letters","id":"ITEM-1","issued":{"date-parts":[["2014"]]},"page":"254-265","title":"Evidence for multiple magma ocean outgassing and atmospheric loss episodes from mantle noble gases","type":"article-journal","volume":"393"},"uris":["http://www.mendeley.com/documents/?uuid=9175a0d2-1015-4f43-a109-44c5470c3cfd"]}],"mendeley":{"formattedCitation":"&lt;sup&gt;133&lt;/sup&gt;","plainTextFormattedCitation":"133","previouslyFormattedCitation":"&lt;sup&gt;133&lt;/sup&gt;"},"properties":{"noteIndex":0},"schema":"https://github.com/citation-style-language/schema/raw/master/csl-citation.json"}</w:instrText>
      </w:r>
      <w:r w:rsidRPr="0084570B">
        <w:rPr>
          <w:rFonts w:ascii="Times New Roman" w:eastAsia="Times New Roman" w:hAnsi="Times New Roman" w:cs="Times New Roman"/>
          <w:color w:val="222222"/>
          <w:sz w:val="22"/>
          <w:szCs w:val="22"/>
          <w:lang w:val="en-US"/>
        </w:rPr>
        <w:fldChar w:fldCharType="separate"/>
      </w:r>
      <w:r w:rsidR="00253A47" w:rsidRPr="00253A47">
        <w:rPr>
          <w:rFonts w:ascii="Times New Roman" w:eastAsia="Times New Roman" w:hAnsi="Times New Roman" w:cs="Times New Roman"/>
          <w:noProof/>
          <w:color w:val="222222"/>
          <w:sz w:val="22"/>
          <w:szCs w:val="22"/>
          <w:vertAlign w:val="superscript"/>
          <w:lang w:val="en-US"/>
        </w:rPr>
        <w:t>133</w:t>
      </w:r>
      <w:r w:rsidRPr="0084570B">
        <w:rPr>
          <w:rFonts w:ascii="Times New Roman" w:eastAsia="Times New Roman" w:hAnsi="Times New Roman" w:cs="Times New Roman"/>
          <w:color w:val="222222"/>
          <w:sz w:val="22"/>
          <w:szCs w:val="22"/>
          <w:lang w:val="en-US"/>
        </w:rPr>
        <w:fldChar w:fldCharType="end"/>
      </w:r>
      <w:r w:rsidRPr="0084570B">
        <w:rPr>
          <w:rFonts w:ascii="Times New Roman" w:eastAsia="Times New Roman" w:hAnsi="Times New Roman" w:cs="Times New Roman"/>
          <w:color w:val="222222"/>
          <w:sz w:val="22"/>
          <w:szCs w:val="22"/>
          <w:lang w:val="en-US"/>
        </w:rPr>
        <w:t xml:space="preserve"> (</w:t>
      </w:r>
      <w:r w:rsidRPr="0084570B">
        <w:rPr>
          <w:rFonts w:ascii="Times New Roman" w:eastAsia="Times New Roman" w:hAnsi="Times New Roman" w:cs="Times New Roman"/>
          <w:b/>
          <w:color w:val="222222"/>
          <w:sz w:val="22"/>
          <w:szCs w:val="22"/>
          <w:lang w:val="en-US"/>
        </w:rPr>
        <w:t>Figure S16</w:t>
      </w:r>
      <w:r w:rsidRPr="0084570B">
        <w:rPr>
          <w:rFonts w:ascii="Times New Roman" w:eastAsia="Times New Roman" w:hAnsi="Times New Roman" w:cs="Times New Roman"/>
          <w:color w:val="222222"/>
          <w:sz w:val="22"/>
          <w:szCs w:val="22"/>
          <w:lang w:val="en-US"/>
        </w:rPr>
        <w:t>)</w:t>
      </w:r>
      <w:r w:rsidRPr="0084570B">
        <w:rPr>
          <w:rFonts w:ascii="Times New Roman" w:eastAsia="Times New Roman" w:hAnsi="Times New Roman" w:cs="Times New Roman"/>
          <w:sz w:val="22"/>
          <w:szCs w:val="22"/>
          <w:lang w:val="en-US"/>
        </w:rPr>
        <w:t>. Conversely, Mt. Etn</w:t>
      </w:r>
      <w:r w:rsidR="006C5866" w:rsidRPr="0084570B">
        <w:rPr>
          <w:rFonts w:ascii="Times New Roman" w:eastAsia="Times New Roman" w:hAnsi="Times New Roman" w:cs="Times New Roman"/>
          <w:sz w:val="22"/>
          <w:szCs w:val="22"/>
          <w:lang w:val="en-US"/>
        </w:rPr>
        <w:t>a target values readily produce</w:t>
      </w:r>
      <w:r w:rsidRPr="0084570B">
        <w:rPr>
          <w:rFonts w:ascii="Times New Roman" w:eastAsia="Times New Roman" w:hAnsi="Times New Roman" w:cs="Times New Roman"/>
          <w:sz w:val="22"/>
          <w:szCs w:val="22"/>
          <w:lang w:val="en-US"/>
        </w:rPr>
        <w:t xml:space="preserve"> [I]</w:t>
      </w:r>
      <w:r w:rsidRPr="0084570B">
        <w:rPr>
          <w:rFonts w:ascii="Times New Roman" w:eastAsia="Times New Roman" w:hAnsi="Times New Roman" w:cs="Times New Roman"/>
          <w:sz w:val="22"/>
          <w:szCs w:val="22"/>
          <w:vertAlign w:val="subscript"/>
          <w:lang w:val="en-US"/>
        </w:rPr>
        <w:t>init.</w:t>
      </w:r>
      <w:r w:rsidRPr="0084570B">
        <w:rPr>
          <w:rFonts w:ascii="Times New Roman" w:eastAsia="Times New Roman" w:hAnsi="Times New Roman" w:cs="Times New Roman"/>
          <w:sz w:val="22"/>
          <w:szCs w:val="22"/>
          <w:lang w:val="en-US"/>
        </w:rPr>
        <w:t xml:space="preserve"> values that are at the upper limit of this range of plausible values (</w:t>
      </w:r>
      <w:r w:rsidRPr="0084570B">
        <w:rPr>
          <w:rFonts w:ascii="Times New Roman" w:eastAsia="Times New Roman" w:hAnsi="Times New Roman" w:cs="Times New Roman"/>
          <w:b/>
          <w:sz w:val="22"/>
          <w:szCs w:val="22"/>
          <w:lang w:val="en-US"/>
        </w:rPr>
        <w:t>Figure S18</w:t>
      </w:r>
      <w:r w:rsidRPr="0084570B">
        <w:rPr>
          <w:rFonts w:ascii="Times New Roman" w:eastAsia="Times New Roman" w:hAnsi="Times New Roman" w:cs="Times New Roman"/>
          <w:sz w:val="22"/>
          <w:szCs w:val="22"/>
          <w:lang w:val="en-US"/>
        </w:rPr>
        <w:t xml:space="preserve">), implying that additional loss of </w:t>
      </w:r>
      <w:r w:rsidRPr="0084570B">
        <w:rPr>
          <w:rFonts w:ascii="Times New Roman" w:eastAsia="Times New Roman" w:hAnsi="Times New Roman" w:cs="Times New Roman"/>
          <w:sz w:val="22"/>
          <w:szCs w:val="22"/>
          <w:vertAlign w:val="superscript"/>
          <w:lang w:val="en-US"/>
        </w:rPr>
        <w:t>129</w:t>
      </w:r>
      <w:r w:rsidRPr="0084570B">
        <w:rPr>
          <w:rFonts w:ascii="Times New Roman" w:eastAsia="Times New Roman" w:hAnsi="Times New Roman" w:cs="Times New Roman"/>
          <w:sz w:val="22"/>
          <w:szCs w:val="22"/>
          <w:lang w:val="en-US"/>
        </w:rPr>
        <w:t>Xe</w:t>
      </w:r>
      <w:r w:rsidRPr="0084570B">
        <w:rPr>
          <w:rFonts w:ascii="Times New Roman" w:eastAsia="Times New Roman" w:hAnsi="Times New Roman" w:cs="Times New Roman"/>
          <w:sz w:val="22"/>
          <w:szCs w:val="22"/>
          <w:vertAlign w:val="subscript"/>
          <w:lang w:val="en-US"/>
        </w:rPr>
        <w:t>I</w:t>
      </w:r>
      <w:r w:rsidRPr="0084570B">
        <w:rPr>
          <w:rFonts w:ascii="Times New Roman" w:eastAsia="Times New Roman" w:hAnsi="Times New Roman" w:cs="Times New Roman"/>
          <w:sz w:val="22"/>
          <w:szCs w:val="22"/>
          <w:lang w:val="en-US"/>
        </w:rPr>
        <w:t xml:space="preserve"> within the first 100 Myr of Earth's evolution will invariably require [I]</w:t>
      </w:r>
      <w:r w:rsidRPr="0084570B">
        <w:rPr>
          <w:rFonts w:ascii="Times New Roman" w:eastAsia="Times New Roman" w:hAnsi="Times New Roman" w:cs="Times New Roman"/>
          <w:sz w:val="22"/>
          <w:szCs w:val="22"/>
          <w:vertAlign w:val="subscript"/>
          <w:lang w:val="en-US"/>
        </w:rPr>
        <w:t xml:space="preserve">init. </w:t>
      </w:r>
      <w:r w:rsidRPr="0084570B">
        <w:rPr>
          <w:rFonts w:ascii="Times New Roman" w:eastAsia="Times New Roman" w:hAnsi="Times New Roman" w:cs="Times New Roman"/>
          <w:sz w:val="22"/>
          <w:szCs w:val="22"/>
          <w:lang w:val="en-US"/>
        </w:rPr>
        <w:t>values that are greater than the range of previously considered values, therefore making these scenarios unlikely. In other words, the Mt. Etna Xe isotope composition is best explained by an absence of significant giant impact-induced degassing (i.e., ≤ 2% Myr</w:t>
      </w:r>
      <w:r w:rsidRPr="0084570B">
        <w:rPr>
          <w:rFonts w:ascii="Times New Roman" w:eastAsia="Times New Roman" w:hAnsi="Times New Roman" w:cs="Times New Roman"/>
          <w:sz w:val="22"/>
          <w:szCs w:val="22"/>
          <w:vertAlign w:val="superscript"/>
          <w:lang w:val="en-US"/>
        </w:rPr>
        <w:t>-1</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Figure S18</w:t>
      </w:r>
      <w:r w:rsidRPr="0084570B">
        <w:rPr>
          <w:rFonts w:ascii="Times New Roman" w:eastAsia="Times New Roman" w:hAnsi="Times New Roman" w:cs="Times New Roman"/>
          <w:sz w:val="22"/>
          <w:szCs w:val="22"/>
          <w:lang w:val="en-US"/>
        </w:rPr>
        <w:t>), with [I]</w:t>
      </w:r>
      <w:r w:rsidRPr="0084570B">
        <w:rPr>
          <w:rFonts w:ascii="Times New Roman" w:eastAsia="Times New Roman" w:hAnsi="Times New Roman" w:cs="Times New Roman"/>
          <w:sz w:val="22"/>
          <w:szCs w:val="22"/>
          <w:vertAlign w:val="subscript"/>
          <w:lang w:val="en-US"/>
        </w:rPr>
        <w:t>init.</w:t>
      </w:r>
      <w:r w:rsidRPr="0084570B">
        <w:rPr>
          <w:rFonts w:ascii="Times New Roman" w:eastAsia="Times New Roman" w:hAnsi="Times New Roman" w:cs="Times New Roman"/>
          <w:sz w:val="22"/>
          <w:szCs w:val="22"/>
          <w:lang w:val="en-US"/>
        </w:rPr>
        <w:t xml:space="preserve"> values becoming increasingly unreasonable for late giant impact scenarios and high degassing rates (</w:t>
      </w:r>
      <w:r w:rsidR="0009205D" w:rsidRPr="0084570B">
        <w:rPr>
          <w:rFonts w:ascii="Times New Roman" w:eastAsia="Times New Roman" w:hAnsi="Times New Roman" w:cs="Times New Roman"/>
          <w:b/>
          <w:sz w:val="22"/>
          <w:szCs w:val="22"/>
          <w:lang w:val="en-US"/>
        </w:rPr>
        <w:t>Figure</w:t>
      </w:r>
      <w:r w:rsidRPr="0084570B">
        <w:rPr>
          <w:rFonts w:ascii="Times New Roman" w:eastAsia="Times New Roman" w:hAnsi="Times New Roman" w:cs="Times New Roman"/>
          <w:b/>
          <w:sz w:val="22"/>
          <w:szCs w:val="22"/>
          <w:lang w:val="en-US"/>
        </w:rPr>
        <w:t xml:space="preserve"> S19</w:t>
      </w:r>
      <w:r w:rsidRPr="0084570B">
        <w:rPr>
          <w:rFonts w:ascii="Times New Roman" w:eastAsia="Times New Roman" w:hAnsi="Times New Roman" w:cs="Times New Roman"/>
          <w:sz w:val="22"/>
          <w:szCs w:val="22"/>
          <w:lang w:val="en-US"/>
        </w:rPr>
        <w:t>).</w:t>
      </w:r>
      <w:r w:rsidR="002836AE" w:rsidRPr="0084570B">
        <w:rPr>
          <w:rFonts w:ascii="Times New Roman" w:eastAsia="Times New Roman" w:hAnsi="Times New Roman" w:cs="Times New Roman"/>
          <w:sz w:val="22"/>
          <w:szCs w:val="22"/>
          <w:lang w:val="en-US"/>
        </w:rPr>
        <w:t xml:space="preserve"> </w:t>
      </w:r>
      <w:r w:rsidR="002836AE" w:rsidRPr="0084570B">
        <w:rPr>
          <w:rFonts w:ascii="Times New Roman" w:eastAsia="Times New Roman" w:hAnsi="Times New Roman" w:cs="Times New Roman"/>
          <w:sz w:val="22"/>
          <w:szCs w:val="20"/>
          <w:lang w:val="en-US"/>
        </w:rPr>
        <w:t xml:space="preserve">For any giant impact scenario considered here, the </w:t>
      </w:r>
      <w:r w:rsidR="002836AE" w:rsidRPr="0084570B">
        <w:rPr>
          <w:rFonts w:ascii="Times New Roman" w:eastAsia="Times New Roman" w:hAnsi="Times New Roman" w:cs="Times New Roman"/>
          <w:color w:val="191919"/>
          <w:sz w:val="22"/>
          <w:szCs w:val="20"/>
          <w:lang w:val="en-US"/>
        </w:rPr>
        <w:t>total amount of degassing (η) is invariably higher for Mt. Etna (≥ 8.0x10</w:t>
      </w:r>
      <w:r w:rsidR="002836AE" w:rsidRPr="0084570B">
        <w:rPr>
          <w:rFonts w:ascii="Times New Roman" w:eastAsia="Times New Roman" w:hAnsi="Times New Roman" w:cs="Times New Roman"/>
          <w:color w:val="191919"/>
          <w:sz w:val="22"/>
          <w:szCs w:val="20"/>
          <w:vertAlign w:val="superscript"/>
          <w:lang w:val="en-US"/>
        </w:rPr>
        <w:t>-10</w:t>
      </w:r>
      <w:r w:rsidR="002836AE" w:rsidRPr="0084570B">
        <w:rPr>
          <w:rFonts w:ascii="Times New Roman" w:eastAsia="Times New Roman" w:hAnsi="Times New Roman" w:cs="Times New Roman"/>
          <w:color w:val="191919"/>
          <w:sz w:val="22"/>
          <w:szCs w:val="20"/>
          <w:lang w:val="en-US"/>
        </w:rPr>
        <w:t>) than for conventional MORB (≤ 7.3x10</w:t>
      </w:r>
      <w:r w:rsidR="002836AE" w:rsidRPr="0084570B">
        <w:rPr>
          <w:rFonts w:ascii="Times New Roman" w:eastAsia="Times New Roman" w:hAnsi="Times New Roman" w:cs="Times New Roman"/>
          <w:color w:val="191919"/>
          <w:sz w:val="22"/>
          <w:szCs w:val="20"/>
          <w:vertAlign w:val="superscript"/>
          <w:lang w:val="en-US"/>
        </w:rPr>
        <w:t>-10</w:t>
      </w:r>
      <w:r w:rsidR="002836AE" w:rsidRPr="0084570B">
        <w:rPr>
          <w:rFonts w:ascii="Times New Roman" w:eastAsia="Times New Roman" w:hAnsi="Times New Roman" w:cs="Times New Roman"/>
          <w:color w:val="191919"/>
          <w:sz w:val="22"/>
          <w:szCs w:val="20"/>
          <w:lang w:val="en-US"/>
        </w:rPr>
        <w:t xml:space="preserve">) target parameters. Likewise, </w:t>
      </w:r>
      <w:r w:rsidR="002836AE" w:rsidRPr="0084570B">
        <w:rPr>
          <w:rFonts w:ascii="Times New Roman" w:eastAsia="Times New Roman" w:hAnsi="Times New Roman" w:cs="Times New Roman"/>
          <w:sz w:val="22"/>
          <w:szCs w:val="20"/>
          <w:lang w:val="en-US"/>
        </w:rPr>
        <w:t>[</w:t>
      </w:r>
      <w:r w:rsidR="002836AE" w:rsidRPr="0084570B">
        <w:rPr>
          <w:rFonts w:ascii="Times New Roman" w:eastAsia="Times New Roman" w:hAnsi="Times New Roman" w:cs="Times New Roman"/>
          <w:sz w:val="22"/>
          <w:szCs w:val="20"/>
          <w:vertAlign w:val="superscript"/>
          <w:lang w:val="en-US"/>
        </w:rPr>
        <w:t>130</w:t>
      </w:r>
      <w:r w:rsidR="002836AE" w:rsidRPr="0084570B">
        <w:rPr>
          <w:rFonts w:ascii="Times New Roman" w:eastAsia="Times New Roman" w:hAnsi="Times New Roman" w:cs="Times New Roman"/>
          <w:sz w:val="22"/>
          <w:szCs w:val="20"/>
          <w:lang w:val="en-US"/>
        </w:rPr>
        <w:t>Xe]</w:t>
      </w:r>
      <w:r w:rsidR="002836AE" w:rsidRPr="0084570B">
        <w:rPr>
          <w:rFonts w:ascii="Times New Roman" w:eastAsia="Times New Roman" w:hAnsi="Times New Roman" w:cs="Times New Roman"/>
          <w:sz w:val="22"/>
          <w:szCs w:val="20"/>
          <w:vertAlign w:val="subscript"/>
          <w:lang w:val="en-US"/>
        </w:rPr>
        <w:t>pres.</w:t>
      </w:r>
      <w:r w:rsidR="002836AE" w:rsidRPr="0084570B">
        <w:rPr>
          <w:rFonts w:ascii="Times New Roman" w:eastAsia="Times New Roman" w:hAnsi="Times New Roman" w:cs="Times New Roman"/>
          <w:sz w:val="22"/>
          <w:szCs w:val="20"/>
          <w:lang w:val="en-US"/>
        </w:rPr>
        <w:t xml:space="preserve"> </w:t>
      </w:r>
      <w:r w:rsidR="002836AE" w:rsidRPr="0084570B">
        <w:rPr>
          <w:rFonts w:ascii="Times New Roman" w:eastAsia="Times New Roman" w:hAnsi="Times New Roman" w:cs="Times New Roman"/>
          <w:color w:val="191919"/>
          <w:sz w:val="22"/>
          <w:szCs w:val="20"/>
          <w:lang w:val="en-US"/>
        </w:rPr>
        <w:t xml:space="preserve">is invariably lower – and in better agreement with independent estimates of </w:t>
      </w:r>
      <w:r w:rsidR="002836AE" w:rsidRPr="0084570B">
        <w:rPr>
          <w:rFonts w:ascii="Times New Roman" w:eastAsia="Times New Roman" w:hAnsi="Times New Roman" w:cs="Times New Roman"/>
          <w:sz w:val="22"/>
          <w:szCs w:val="20"/>
          <w:lang w:val="en-US"/>
        </w:rPr>
        <w:t>[</w:t>
      </w:r>
      <w:r w:rsidR="002836AE" w:rsidRPr="0084570B">
        <w:rPr>
          <w:rFonts w:ascii="Times New Roman" w:eastAsia="Times New Roman" w:hAnsi="Times New Roman" w:cs="Times New Roman"/>
          <w:sz w:val="22"/>
          <w:szCs w:val="20"/>
          <w:vertAlign w:val="superscript"/>
          <w:lang w:val="en-US"/>
        </w:rPr>
        <w:t>130</w:t>
      </w:r>
      <w:r w:rsidR="002836AE" w:rsidRPr="0084570B">
        <w:rPr>
          <w:rFonts w:ascii="Times New Roman" w:eastAsia="Times New Roman" w:hAnsi="Times New Roman" w:cs="Times New Roman"/>
          <w:sz w:val="22"/>
          <w:szCs w:val="20"/>
          <w:lang w:val="en-US"/>
        </w:rPr>
        <w:t>Xe]</w:t>
      </w:r>
      <w:r w:rsidR="002836AE" w:rsidRPr="0084570B">
        <w:rPr>
          <w:rFonts w:ascii="Times New Roman" w:eastAsia="Times New Roman" w:hAnsi="Times New Roman" w:cs="Times New Roman"/>
          <w:sz w:val="22"/>
          <w:szCs w:val="20"/>
          <w:vertAlign w:val="subscript"/>
          <w:lang w:val="en-US"/>
        </w:rPr>
        <w:t>pres.</w:t>
      </w:r>
      <w:r w:rsidR="002836AE" w:rsidRPr="0084570B">
        <w:rPr>
          <w:rFonts w:ascii="Times New Roman" w:eastAsia="Times New Roman" w:hAnsi="Times New Roman" w:cs="Times New Roman"/>
          <w:sz w:val="22"/>
          <w:szCs w:val="20"/>
          <w:lang w:val="en-US"/>
        </w:rPr>
        <w:t xml:space="preserve"> at </w:t>
      </w:r>
      <w:r w:rsidR="002836AE" w:rsidRPr="0084570B">
        <w:rPr>
          <w:rFonts w:ascii="Times New Roman" w:eastAsia="Times New Roman" w:hAnsi="Times New Roman" w:cs="Times New Roman"/>
          <w:sz w:val="22"/>
          <w:szCs w:val="22"/>
          <w:lang w:val="en-US"/>
        </w:rPr>
        <w:t>(1.79±0.25)x10</w:t>
      </w:r>
      <w:r w:rsidR="002836AE" w:rsidRPr="0084570B">
        <w:rPr>
          <w:rFonts w:ascii="Times New Roman" w:eastAsia="Times New Roman" w:hAnsi="Times New Roman" w:cs="Times New Roman"/>
          <w:sz w:val="22"/>
          <w:szCs w:val="22"/>
          <w:vertAlign w:val="superscript"/>
          <w:lang w:val="en-US"/>
        </w:rPr>
        <w:t>-18</w:t>
      </w:r>
      <w:r w:rsidR="002836AE" w:rsidRPr="0084570B">
        <w:rPr>
          <w:rFonts w:ascii="Times New Roman" w:eastAsia="Times New Roman" w:hAnsi="Times New Roman" w:cs="Times New Roman"/>
          <w:sz w:val="22"/>
          <w:szCs w:val="22"/>
          <w:lang w:val="en-US"/>
        </w:rPr>
        <w:t xml:space="preserve"> mol/g</w:t>
      </w:r>
      <w:r w:rsidR="002836AE" w:rsidRPr="0084570B">
        <w:rPr>
          <w:rFonts w:ascii="Times New Roman" w:eastAsia="Times New Roman" w:hAnsi="Times New Roman" w:cs="Times New Roman"/>
          <w:sz w:val="22"/>
          <w:szCs w:val="22"/>
          <w:lang w:val="en-US"/>
        </w:rPr>
        <w:fldChar w:fldCharType="begin" w:fldLock="1"/>
      </w:r>
      <w:r w:rsidR="00DB5D30" w:rsidRPr="0084570B">
        <w:rPr>
          <w:rFonts w:ascii="Times New Roman" w:eastAsia="Times New Roman" w:hAnsi="Times New Roman" w:cs="Times New Roman"/>
          <w:sz w:val="22"/>
          <w:szCs w:val="22"/>
          <w:lang w:val="en-US"/>
        </w:rPr>
        <w:instrText>ADDIN CSL_CITATION {"citationItems":[{"id":"ITEM-1","itemData":{"DOI":"10.1146/annurev-earth-071620-055024","ISSN":"0084-6597","abstract":"Volatile elements (water, carbon, nitrogen, sulfur, halogens, and noble gases) played an essential role in the secular evolution of the solid Earth and emergence of life. Here we provide an overview of Earth's volatile inventories and describe the mechanisms by which volatiles are conveyed between Earth's surface and mantle reservoirs, via subduction and volcanism. Using literature data, we compute volatile concentration and flux estimates for Earth's major volatile reservoirs and provide an internally balanced assessment of modern global volatile recycling. Using a nitrogen isotope box model, we show that recycling of N (and possibly C and S) likely began before 2 Ga and that ingassing fluxes have remained roughly constant since this time. In contrast, our model indicates recycling of H 2 O (and most likely noble gases) was less efficient in the past. This suggests a decoupling of major volatile species during subduction through time, which we attribute to the evolving thermal regime of subduction zones and the different stabilities of the carrier phases hosting each volatile. ▪ This review provides an overview of Earth's volatile inventory and the mechanisms by which volatiles are transferred between Earth reservoirs via subduction. ▪ The review frames the current thinking regarding how Earth acquired its original volatile inventory and subsequently evolved through subduction processes and volcanism. Expected final online publication date for the Annual Review of Earth and Planetary Sciences, Volume 49 is May 28, 2021. Please see http://www.annualreviews.org/page/journal/pubdates for revised estimates.","author":[{"dropping-particle":"","family":"Bekaert","given":"D.V.","non-dropping-particle":"","parse-names":false,"suffix":""},{"dropping-particle":"","family":"Turner","given":"S.J.","non-dropping-particle":"","parse-names":false,"suffix":""},{"dropping-particle":"","family":"Broadley","given":"M.W.","non-dropping-particle":"","parse-names":false,"suffix":""},{"dropping-particle":"","family":"Barnes","given":"J.D.","non-dropping-particle":"","parse-names":false,"suffix":""},{"dropping-particle":"","family":"Halldórsson","given":"S.A.","non-dropping-particle":"","parse-names":false,"suffix":""},{"dropping-particle":"","family":"Labidi","given":"J.","non-dropping-particle":"","parse-names":false,"suffix":""},{"dropping-particle":"","family":"Wade","given":"J.","non-dropping-particle":"","parse-names":false,"suffix":""},{"dropping-particle":"","family":"Walowski","given":"K.J.","non-dropping-particle":"","parse-names":false,"suffix":""},{"dropping-particle":"","family":"Barry","given":"P.H.","non-dropping-particle":"","parse-names":false,"suffix":""}],"container-title":"Annual Review of Earth and Planetary Sciences","id":"ITEM-1","issued":{"date-parts":[["2021"]]},"page":"49:37","title":"Subduction-Driven Volatile Recycling: A Global Mass Balance","type":"article-journal","volume":"70"},"uris":["http://www.mendeley.com/documents/?uuid=472bb93c-6d42-41df-8091-9950f35ac163"]}],"mendeley":{"formattedCitation":"&lt;sup&gt;14&lt;/sup&gt;","plainTextFormattedCitation":"14","previouslyFormattedCitation":"&lt;sup&gt;14&lt;/sup&gt;"},"properties":{"noteIndex":0},"schema":"https://github.com/citation-style-language/schema/raw/master/csl-citation.json"}</w:instrText>
      </w:r>
      <w:r w:rsidR="002836AE" w:rsidRPr="0084570B">
        <w:rPr>
          <w:rFonts w:ascii="Times New Roman" w:eastAsia="Times New Roman" w:hAnsi="Times New Roman" w:cs="Times New Roman"/>
          <w:sz w:val="22"/>
          <w:szCs w:val="22"/>
          <w:lang w:val="en-US"/>
        </w:rPr>
        <w:fldChar w:fldCharType="separate"/>
      </w:r>
      <w:r w:rsidR="00DB5D30" w:rsidRPr="0084570B">
        <w:rPr>
          <w:rFonts w:ascii="Times New Roman" w:eastAsia="Times New Roman" w:hAnsi="Times New Roman" w:cs="Times New Roman"/>
          <w:noProof/>
          <w:sz w:val="22"/>
          <w:szCs w:val="22"/>
          <w:vertAlign w:val="superscript"/>
          <w:lang w:val="en-US"/>
        </w:rPr>
        <w:t>14</w:t>
      </w:r>
      <w:r w:rsidR="002836AE" w:rsidRPr="0084570B">
        <w:rPr>
          <w:rFonts w:ascii="Times New Roman" w:eastAsia="Times New Roman" w:hAnsi="Times New Roman" w:cs="Times New Roman"/>
          <w:sz w:val="22"/>
          <w:szCs w:val="22"/>
          <w:lang w:val="en-US"/>
        </w:rPr>
        <w:fldChar w:fldCharType="end"/>
      </w:r>
      <w:r w:rsidR="002836AE" w:rsidRPr="0084570B">
        <w:rPr>
          <w:rFonts w:ascii="Times New Roman" w:eastAsia="Times New Roman" w:hAnsi="Times New Roman" w:cs="Times New Roman"/>
          <w:color w:val="191919"/>
          <w:sz w:val="22"/>
          <w:szCs w:val="20"/>
          <w:lang w:val="en-US"/>
        </w:rPr>
        <w:t xml:space="preserve"> – for Mt. Etna (≤ 2.04x10</w:t>
      </w:r>
      <w:r w:rsidR="002836AE" w:rsidRPr="0084570B">
        <w:rPr>
          <w:rFonts w:ascii="Times New Roman" w:eastAsia="Times New Roman" w:hAnsi="Times New Roman" w:cs="Times New Roman"/>
          <w:color w:val="191919"/>
          <w:sz w:val="22"/>
          <w:szCs w:val="20"/>
          <w:vertAlign w:val="superscript"/>
          <w:lang w:val="en-US"/>
        </w:rPr>
        <w:t>-18</w:t>
      </w:r>
      <w:r w:rsidR="002836AE" w:rsidRPr="0084570B">
        <w:rPr>
          <w:rFonts w:ascii="Times New Roman" w:eastAsia="Times New Roman" w:hAnsi="Times New Roman" w:cs="Times New Roman"/>
          <w:color w:val="191919"/>
          <w:sz w:val="22"/>
          <w:szCs w:val="20"/>
          <w:lang w:val="en-US"/>
        </w:rPr>
        <w:t xml:space="preserve"> mol/g) than for conventional MORB</w:t>
      </w:r>
      <w:r w:rsidR="00713796" w:rsidRPr="0084570B">
        <w:rPr>
          <w:rFonts w:ascii="Times New Roman" w:eastAsia="Times New Roman" w:hAnsi="Times New Roman" w:cs="Times New Roman"/>
          <w:color w:val="191919"/>
          <w:sz w:val="22"/>
          <w:szCs w:val="20"/>
          <w:lang w:val="en-US"/>
        </w:rPr>
        <w:t>s</w:t>
      </w:r>
      <w:r w:rsidR="002836AE" w:rsidRPr="0084570B">
        <w:rPr>
          <w:rFonts w:ascii="Times New Roman" w:eastAsia="Times New Roman" w:hAnsi="Times New Roman" w:cs="Times New Roman"/>
          <w:color w:val="191919"/>
          <w:sz w:val="22"/>
          <w:szCs w:val="20"/>
          <w:lang w:val="en-US"/>
        </w:rPr>
        <w:t xml:space="preserve"> (≥ 3.2x10</w:t>
      </w:r>
      <w:r w:rsidR="002836AE" w:rsidRPr="0084570B">
        <w:rPr>
          <w:rFonts w:ascii="Times New Roman" w:eastAsia="Times New Roman" w:hAnsi="Times New Roman" w:cs="Times New Roman"/>
          <w:color w:val="191919"/>
          <w:sz w:val="22"/>
          <w:szCs w:val="20"/>
          <w:vertAlign w:val="superscript"/>
          <w:lang w:val="en-US"/>
        </w:rPr>
        <w:t>-18</w:t>
      </w:r>
      <w:r w:rsidR="002836AE" w:rsidRPr="0084570B">
        <w:rPr>
          <w:rFonts w:ascii="Times New Roman" w:eastAsia="Times New Roman" w:hAnsi="Times New Roman" w:cs="Times New Roman"/>
          <w:color w:val="191919"/>
          <w:sz w:val="22"/>
          <w:szCs w:val="20"/>
          <w:lang w:val="en-US"/>
        </w:rPr>
        <w:t xml:space="preserve"> mol/g). </w:t>
      </w:r>
    </w:p>
    <w:p w14:paraId="160FE1B5" w14:textId="26C8C5D6" w:rsidR="00245CFB" w:rsidRPr="0084570B" w:rsidRDefault="00245CFB" w:rsidP="009A47C4">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lastRenderedPageBreak/>
        <w:drawing>
          <wp:inline distT="0" distB="0" distL="0" distR="0" wp14:anchorId="17027B74" wp14:editId="6F2C7162">
            <wp:extent cx="2912427" cy="2760292"/>
            <wp:effectExtent l="0" t="0" r="8890" b="8890"/>
            <wp:docPr id="51"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13082" cy="2760912"/>
                    </a:xfrm>
                    <a:prstGeom prst="rect">
                      <a:avLst/>
                    </a:prstGeom>
                    <a:noFill/>
                    <a:ln>
                      <a:noFill/>
                    </a:ln>
                  </pic:spPr>
                </pic:pic>
              </a:graphicData>
            </a:graphic>
          </wp:inline>
        </w:drawing>
      </w:r>
    </w:p>
    <w:p w14:paraId="5A000979" w14:textId="3D79D55E" w:rsidR="00245CFB" w:rsidRPr="0084570B" w:rsidRDefault="00245CFB" w:rsidP="00245CFB">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S18. Heat maps of misfit between modeled and measured Xe i</w:t>
      </w:r>
      <w:r w:rsidR="00841B3B" w:rsidRPr="0084570B">
        <w:rPr>
          <w:rFonts w:ascii="Times New Roman" w:eastAsia="Times New Roman" w:hAnsi="Times New Roman" w:cs="Times New Roman"/>
          <w:b/>
          <w:sz w:val="22"/>
          <w:szCs w:val="22"/>
          <w:lang w:val="en-US"/>
        </w:rPr>
        <w:t>sotope systematics for Mt. Etna, without giant impact degassing</w:t>
      </w:r>
      <w:r w:rsidRPr="0084570B">
        <w:rPr>
          <w:rFonts w:ascii="Times New Roman" w:eastAsia="Times New Roman" w:hAnsi="Times New Roman" w:cs="Times New Roman"/>
          <w:b/>
          <w:sz w:val="22"/>
          <w:szCs w:val="22"/>
          <w:lang w:val="en-US"/>
        </w:rPr>
        <w:t xml:space="preserve">. </w:t>
      </w:r>
      <w:r w:rsidRPr="0084570B">
        <w:rPr>
          <w:rFonts w:ascii="Times New Roman" w:eastAsia="Times New Roman" w:hAnsi="Times New Roman" w:cs="Times New Roman"/>
          <w:sz w:val="22"/>
          <w:szCs w:val="22"/>
          <w:lang w:val="en-US"/>
        </w:rPr>
        <w:t xml:space="preserve">Same </w:t>
      </w:r>
      <w:r w:rsidR="00EF6A2F" w:rsidRPr="0084570B">
        <w:rPr>
          <w:rFonts w:ascii="Times New Roman" w:eastAsia="Times New Roman" w:hAnsi="Times New Roman" w:cs="Times New Roman"/>
          <w:sz w:val="22"/>
          <w:szCs w:val="22"/>
          <w:lang w:val="en-US"/>
        </w:rPr>
        <w:t>color-coding</w:t>
      </w:r>
      <w:r w:rsidRPr="0084570B">
        <w:rPr>
          <w:rFonts w:ascii="Times New Roman" w:eastAsia="Times New Roman" w:hAnsi="Times New Roman" w:cs="Times New Roman"/>
          <w:sz w:val="22"/>
          <w:szCs w:val="22"/>
          <w:lang w:val="en-US"/>
        </w:rPr>
        <w:t xml:space="preserve"> and caption as </w:t>
      </w:r>
      <w:r w:rsidRPr="0084570B">
        <w:rPr>
          <w:rFonts w:ascii="Times New Roman" w:eastAsia="Times New Roman" w:hAnsi="Times New Roman" w:cs="Times New Roman"/>
          <w:b/>
          <w:sz w:val="22"/>
          <w:szCs w:val="22"/>
          <w:lang w:val="en-US"/>
        </w:rPr>
        <w:t>Figure S16</w:t>
      </w:r>
      <w:r w:rsidRPr="0084570B">
        <w:rPr>
          <w:rFonts w:ascii="Times New Roman" w:eastAsia="Times New Roman" w:hAnsi="Times New Roman" w:cs="Times New Roman"/>
          <w:sz w:val="22"/>
          <w:szCs w:val="22"/>
          <w:lang w:val="en-US"/>
        </w:rPr>
        <w:t>.</w:t>
      </w:r>
    </w:p>
    <w:p w14:paraId="5F4ED6A5" w14:textId="77777777" w:rsidR="00713796" w:rsidRPr="0084570B" w:rsidRDefault="00713796" w:rsidP="009A47C4">
      <w:pPr>
        <w:pStyle w:val="Normal1"/>
        <w:spacing w:line="360" w:lineRule="auto"/>
        <w:jc w:val="center"/>
        <w:rPr>
          <w:rFonts w:ascii="Times New Roman" w:eastAsia="Times New Roman" w:hAnsi="Times New Roman" w:cs="Times New Roman"/>
          <w:sz w:val="22"/>
          <w:szCs w:val="22"/>
          <w:lang w:val="en-US"/>
        </w:rPr>
      </w:pPr>
    </w:p>
    <w:p w14:paraId="2E277683" w14:textId="77777777" w:rsidR="00D10FC5" w:rsidRPr="0084570B" w:rsidRDefault="00D10FC5" w:rsidP="009A47C4">
      <w:pPr>
        <w:pStyle w:val="Normal1"/>
        <w:spacing w:line="360" w:lineRule="auto"/>
        <w:jc w:val="center"/>
        <w:rPr>
          <w:rFonts w:ascii="Times New Roman" w:eastAsia="Times New Roman" w:hAnsi="Times New Roman" w:cs="Times New Roman"/>
          <w:sz w:val="22"/>
          <w:szCs w:val="22"/>
          <w:lang w:val="en-US"/>
        </w:rPr>
      </w:pPr>
    </w:p>
    <w:p w14:paraId="621EC558" w14:textId="77777777" w:rsidR="00713796" w:rsidRPr="0084570B" w:rsidRDefault="009A47C4" w:rsidP="00713796">
      <w:pPr>
        <w:pStyle w:val="Normal1"/>
        <w:spacing w:line="360" w:lineRule="auto"/>
        <w:jc w:val="center"/>
        <w:rPr>
          <w:rFonts w:ascii="Times New Roman" w:eastAsia="Times New Roman" w:hAnsi="Times New Roman" w:cs="Times New Roman"/>
          <w:sz w:val="22"/>
          <w:szCs w:val="22"/>
          <w:lang w:val="en-US"/>
        </w:rPr>
      </w:pPr>
      <w:r w:rsidRPr="0084570B">
        <w:rPr>
          <w:rFonts w:ascii="Times New Roman" w:eastAsia="Times New Roman" w:hAnsi="Times New Roman" w:cs="Times New Roman"/>
          <w:noProof/>
          <w:sz w:val="22"/>
          <w:szCs w:val="22"/>
          <w:lang w:val="fr-FR"/>
        </w:rPr>
        <w:drawing>
          <wp:inline distT="0" distB="0" distL="0" distR="0" wp14:anchorId="03D4A054" wp14:editId="6320D8B2">
            <wp:extent cx="4234059" cy="4083126"/>
            <wp:effectExtent l="0" t="0" r="8255" b="6350"/>
            <wp:docPr id="3" name="Image 3" descr="Bekaert:Users:dbekaert:Desktop:Capture d’écran 2022-07-24 à 13.0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kaert:Users:dbekaert:Desktop:Capture d’écran 2022-07-24 à 13.01.34.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234313" cy="4083371"/>
                    </a:xfrm>
                    <a:prstGeom prst="rect">
                      <a:avLst/>
                    </a:prstGeom>
                    <a:noFill/>
                    <a:ln>
                      <a:noFill/>
                    </a:ln>
                  </pic:spPr>
                </pic:pic>
              </a:graphicData>
            </a:graphic>
          </wp:inline>
        </w:drawing>
      </w:r>
    </w:p>
    <w:p w14:paraId="70E1763F" w14:textId="7CA1AF28" w:rsidR="00713796" w:rsidRPr="0084570B" w:rsidRDefault="009A47C4" w:rsidP="00713796">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S1</w:t>
      </w:r>
      <w:r w:rsidR="00245CFB" w:rsidRPr="0084570B">
        <w:rPr>
          <w:rFonts w:ascii="Times New Roman" w:eastAsia="Times New Roman" w:hAnsi="Times New Roman" w:cs="Times New Roman"/>
          <w:b/>
          <w:sz w:val="22"/>
          <w:szCs w:val="22"/>
          <w:lang w:val="en-US"/>
        </w:rPr>
        <w:t>9</w:t>
      </w:r>
      <w:r w:rsidRPr="0084570B">
        <w:rPr>
          <w:rFonts w:ascii="Times New Roman" w:eastAsia="Times New Roman" w:hAnsi="Times New Roman" w:cs="Times New Roman"/>
          <w:b/>
          <w:sz w:val="22"/>
          <w:szCs w:val="22"/>
          <w:lang w:val="en-US"/>
        </w:rPr>
        <w:t>.</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Variation of best-fit input parameters found using the gradient descent al</w:t>
      </w:r>
      <w:r w:rsidR="006C5866" w:rsidRPr="0084570B">
        <w:rPr>
          <w:rFonts w:ascii="Times New Roman" w:eastAsia="Times New Roman" w:hAnsi="Times New Roman" w:cs="Times New Roman"/>
          <w:b/>
          <w:sz w:val="22"/>
          <w:szCs w:val="22"/>
          <w:lang w:val="en-US"/>
        </w:rPr>
        <w:t>gorithm for a variety of impact-</w:t>
      </w:r>
      <w:r w:rsidRPr="0084570B">
        <w:rPr>
          <w:rFonts w:ascii="Times New Roman" w:eastAsia="Times New Roman" w:hAnsi="Times New Roman" w:cs="Times New Roman"/>
          <w:b/>
          <w:sz w:val="22"/>
          <w:szCs w:val="22"/>
          <w:lang w:val="en-US"/>
        </w:rPr>
        <w:t xml:space="preserve">induced degassing scenarios, using Mt. Etna target parameters. </w:t>
      </w:r>
      <w:r w:rsidRPr="0084570B">
        <w:rPr>
          <w:rFonts w:ascii="Times New Roman" w:eastAsia="Times New Roman" w:hAnsi="Times New Roman" w:cs="Times New Roman"/>
          <w:sz w:val="22"/>
          <w:szCs w:val="22"/>
          <w:lang w:val="en-US"/>
        </w:rPr>
        <w:t xml:space="preserve">Same </w:t>
      </w:r>
      <w:r w:rsidR="00EF6A2F" w:rsidRPr="0084570B">
        <w:rPr>
          <w:rFonts w:ascii="Times New Roman" w:eastAsia="Times New Roman" w:hAnsi="Times New Roman" w:cs="Times New Roman"/>
          <w:sz w:val="22"/>
          <w:szCs w:val="22"/>
          <w:lang w:val="en-US"/>
        </w:rPr>
        <w:t>color-coding</w:t>
      </w:r>
      <w:r w:rsidRPr="0084570B">
        <w:rPr>
          <w:rFonts w:ascii="Times New Roman" w:eastAsia="Times New Roman" w:hAnsi="Times New Roman" w:cs="Times New Roman"/>
          <w:sz w:val="22"/>
          <w:szCs w:val="22"/>
          <w:lang w:val="en-US"/>
        </w:rPr>
        <w:t xml:space="preserve"> and caption as </w:t>
      </w:r>
      <w:r w:rsidRPr="0084570B">
        <w:rPr>
          <w:rFonts w:ascii="Times New Roman" w:eastAsia="Times New Roman" w:hAnsi="Times New Roman" w:cs="Times New Roman"/>
          <w:b/>
          <w:sz w:val="22"/>
          <w:szCs w:val="22"/>
          <w:lang w:val="en-US"/>
        </w:rPr>
        <w:t>Figure S1</w:t>
      </w:r>
      <w:r w:rsidR="00245CFB" w:rsidRPr="0084570B">
        <w:rPr>
          <w:rFonts w:ascii="Times New Roman" w:eastAsia="Times New Roman" w:hAnsi="Times New Roman" w:cs="Times New Roman"/>
          <w:b/>
          <w:sz w:val="22"/>
          <w:szCs w:val="22"/>
          <w:lang w:val="en-US"/>
        </w:rPr>
        <w:t>7</w:t>
      </w:r>
      <w:r w:rsidRPr="0084570B">
        <w:rPr>
          <w:rFonts w:ascii="Times New Roman" w:eastAsia="Times New Roman" w:hAnsi="Times New Roman" w:cs="Times New Roman"/>
          <w:sz w:val="22"/>
          <w:szCs w:val="22"/>
          <w:lang w:val="en-US"/>
        </w:rPr>
        <w:t>.</w:t>
      </w:r>
      <w:r w:rsidR="00713796" w:rsidRPr="0084570B">
        <w:rPr>
          <w:rFonts w:ascii="Times New Roman" w:eastAsia="Times New Roman" w:hAnsi="Times New Roman" w:cs="Times New Roman"/>
          <w:sz w:val="22"/>
          <w:szCs w:val="22"/>
          <w:lang w:val="en-US"/>
        </w:rPr>
        <w:t xml:space="preserve"> </w:t>
      </w:r>
      <w:r w:rsidR="00982B35" w:rsidRPr="0084570B">
        <w:rPr>
          <w:rFonts w:ascii="Times New Roman" w:eastAsia="Times New Roman" w:hAnsi="Times New Roman" w:cs="Times New Roman"/>
          <w:sz w:val="22"/>
          <w:szCs w:val="22"/>
          <w:lang w:val="en-US"/>
        </w:rPr>
        <w:t>Remarkably, we find that a</w:t>
      </w:r>
      <w:r w:rsidR="00713796" w:rsidRPr="0084570B">
        <w:rPr>
          <w:rFonts w:ascii="Times New Roman" w:eastAsia="Times New Roman" w:hAnsi="Times New Roman" w:cs="Times New Roman"/>
          <w:sz w:val="22"/>
          <w:szCs w:val="22"/>
          <w:lang w:val="en-US"/>
        </w:rPr>
        <w:t xml:space="preserve">ny episode of early giant impact-induced degassing (and thus </w:t>
      </w:r>
      <w:r w:rsidR="00713796" w:rsidRPr="0084570B">
        <w:rPr>
          <w:rFonts w:ascii="Times New Roman" w:eastAsia="Times New Roman" w:hAnsi="Times New Roman" w:cs="Times New Roman"/>
          <w:sz w:val="22"/>
          <w:szCs w:val="22"/>
          <w:vertAlign w:val="superscript"/>
          <w:lang w:val="en-US"/>
        </w:rPr>
        <w:t>129</w:t>
      </w:r>
      <w:r w:rsidR="00713796" w:rsidRPr="0084570B">
        <w:rPr>
          <w:rFonts w:ascii="Times New Roman" w:eastAsia="Times New Roman" w:hAnsi="Times New Roman" w:cs="Times New Roman"/>
          <w:sz w:val="22"/>
          <w:szCs w:val="22"/>
          <w:lang w:val="en-US"/>
        </w:rPr>
        <w:t>Xe</w:t>
      </w:r>
      <w:r w:rsidR="00713796" w:rsidRPr="0084570B">
        <w:rPr>
          <w:rFonts w:ascii="Times New Roman" w:eastAsia="Times New Roman" w:hAnsi="Times New Roman" w:cs="Times New Roman"/>
          <w:sz w:val="22"/>
          <w:szCs w:val="22"/>
          <w:vertAlign w:val="subscript"/>
          <w:lang w:val="en-US"/>
        </w:rPr>
        <w:t>I</w:t>
      </w:r>
      <w:r w:rsidR="00713796" w:rsidRPr="0084570B">
        <w:rPr>
          <w:rFonts w:ascii="Times New Roman" w:eastAsia="Times New Roman" w:hAnsi="Times New Roman" w:cs="Times New Roman"/>
          <w:sz w:val="22"/>
          <w:szCs w:val="22"/>
          <w:lang w:val="en-US"/>
        </w:rPr>
        <w:t xml:space="preserve"> loss) for the Mt. Etna mantle source would increase</w:t>
      </w:r>
      <w:r w:rsidR="00713796" w:rsidRPr="0084570B">
        <w:rPr>
          <w:rFonts w:ascii="Times New Roman" w:eastAsia="Times New Roman" w:hAnsi="Times New Roman" w:cs="Times New Roman"/>
          <w:color w:val="222222"/>
          <w:sz w:val="22"/>
          <w:szCs w:val="22"/>
          <w:lang w:val="en-US"/>
        </w:rPr>
        <w:t xml:space="preserve"> the required </w:t>
      </w:r>
      <w:r w:rsidR="00713796" w:rsidRPr="0084570B">
        <w:rPr>
          <w:rFonts w:ascii="Times New Roman" w:eastAsia="Times New Roman" w:hAnsi="Times New Roman" w:cs="Times New Roman"/>
          <w:sz w:val="22"/>
          <w:szCs w:val="22"/>
          <w:vertAlign w:val="superscript"/>
          <w:lang w:val="en-US"/>
        </w:rPr>
        <w:t>127</w:t>
      </w:r>
      <w:r w:rsidR="00713796" w:rsidRPr="0084570B">
        <w:rPr>
          <w:rFonts w:ascii="Times New Roman" w:eastAsia="Times New Roman" w:hAnsi="Times New Roman" w:cs="Times New Roman"/>
          <w:sz w:val="22"/>
          <w:szCs w:val="22"/>
          <w:lang w:val="en-US"/>
        </w:rPr>
        <w:t>I</w:t>
      </w:r>
      <w:r w:rsidR="00713796" w:rsidRPr="0084570B">
        <w:rPr>
          <w:rFonts w:ascii="Times New Roman" w:eastAsia="Times New Roman" w:hAnsi="Times New Roman" w:cs="Times New Roman"/>
          <w:sz w:val="22"/>
          <w:szCs w:val="22"/>
          <w:vertAlign w:val="subscript"/>
          <w:lang w:val="en-US"/>
        </w:rPr>
        <w:t>init</w:t>
      </w:r>
      <w:r w:rsidR="00713796" w:rsidRPr="0084570B">
        <w:rPr>
          <w:rFonts w:ascii="Times New Roman" w:eastAsia="Times New Roman" w:hAnsi="Times New Roman" w:cs="Times New Roman"/>
          <w:sz w:val="22"/>
          <w:szCs w:val="22"/>
          <w:lang w:val="en-US"/>
        </w:rPr>
        <w:t xml:space="preserve">(BSE) </w:t>
      </w:r>
      <w:r w:rsidR="00713796" w:rsidRPr="0084570B">
        <w:rPr>
          <w:rFonts w:ascii="Times New Roman" w:eastAsia="Times New Roman" w:hAnsi="Times New Roman" w:cs="Times New Roman"/>
          <w:color w:val="222222"/>
          <w:sz w:val="22"/>
          <w:szCs w:val="22"/>
          <w:lang w:val="en-US"/>
        </w:rPr>
        <w:t>beyond the range of plausible values</w:t>
      </w:r>
      <w:r w:rsidR="00982B35" w:rsidRPr="0084570B">
        <w:rPr>
          <w:rFonts w:ascii="Times New Roman" w:eastAsia="Times New Roman" w:hAnsi="Times New Roman" w:cs="Times New Roman"/>
          <w:color w:val="222222"/>
          <w:sz w:val="22"/>
          <w:szCs w:val="22"/>
          <w:lang w:val="en-US"/>
        </w:rPr>
        <w:t xml:space="preserve">, between </w:t>
      </w:r>
      <w:r w:rsidR="00982B35" w:rsidRPr="0084570B">
        <w:rPr>
          <w:rFonts w:ascii="Times New Roman" w:eastAsia="Times New Roman" w:hAnsi="Times New Roman" w:cs="Times New Roman"/>
          <w:sz w:val="22"/>
          <w:szCs w:val="22"/>
          <w:lang w:val="en-US"/>
        </w:rPr>
        <w:t>7 and 13 ppb</w:t>
      </w:r>
      <w:r w:rsidR="00982B35"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Avice","given":"G.","non-dropping-particle":"","parse-names":false,"suffix":""},{"dropping-particle":"","family":"Marty","given":"B.","non-dropping-particle":"","parse-names":false,"suffix":""}],"container-title":"Philosophical Transactions of the Royal Society A: Mathematical, Physical and Engineering Sciences","id":"ITEM-1","issue":"2024","issued":{"date-parts":[["2014"]]},"page":"20130260","title":"The iodine-plutonium-xenon age of the Moon-Earth system revisited","type":"article-journal","volume":"372"},"uris":["http://www.mendeley.com/documents/?uuid=2af867a1-f9bb-48f6-bfd0-1a52b0bcd55d"]}],"mendeley":{"formattedCitation":"&lt;sup&gt;30&lt;/sup&gt;","plainTextFormattedCitation":"30","previouslyFormattedCitation":"&lt;sup&gt;30&lt;/sup&gt;"},"properties":{"noteIndex":0},"schema":"https://github.com/citation-style-language/schema/raw/master/csl-citation.json"}</w:instrText>
      </w:r>
      <w:r w:rsidR="00982B35"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30</w:t>
      </w:r>
      <w:r w:rsidR="00982B35" w:rsidRPr="0084570B">
        <w:rPr>
          <w:rFonts w:ascii="Times New Roman" w:eastAsia="Times New Roman" w:hAnsi="Times New Roman" w:cs="Times New Roman"/>
          <w:sz w:val="22"/>
          <w:szCs w:val="22"/>
          <w:lang w:val="en-US"/>
        </w:rPr>
        <w:fldChar w:fldCharType="end"/>
      </w:r>
      <w:r w:rsidR="00982B35" w:rsidRPr="0084570B">
        <w:rPr>
          <w:rFonts w:ascii="Times New Roman" w:eastAsia="Times New Roman" w:hAnsi="Times New Roman" w:cs="Times New Roman"/>
          <w:sz w:val="22"/>
          <w:szCs w:val="22"/>
          <w:vertAlign w:val="superscript"/>
          <w:lang w:val="en-US"/>
        </w:rPr>
        <w:t>,</w:t>
      </w:r>
      <w:r w:rsidR="00982B35"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Déruelle","given":"Bernard","non-dropping-particle":"","parse-names":false,"suffix":""},{"dropping-particle":"","family":"Dreibus","given":"Gerlind","non-dropping-particle":"","parse-names":false,"suffix":""},{"dropping-particle":"","family":"Jambon","given":"Albert","non-dropping-particle":"","parse-names":false,"suffix":""}],"container-title":"Earth and Planetary Science Letters","id":"ITEM-1","issued":{"date-parts":[["1992"]]},"page":"217-227","title":"Iodine abundances in oceanic basalts : implications for Earth dynamics","type":"article-journal","volume":"108"},"uris":["http://www.mendeley.com/documents/?uuid=2a188f11-9401-4140-a8b4-d88d53123e47"]}],"mendeley":{"formattedCitation":"&lt;sup&gt;31&lt;/sup&gt;","plainTextFormattedCitation":"31","previouslyFormattedCitation":"&lt;sup&gt;31&lt;/sup&gt;"},"properties":{"noteIndex":0},"schema":"https://github.com/citation-style-language/schema/raw/master/csl-citation.json"}</w:instrText>
      </w:r>
      <w:r w:rsidR="00982B35"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31</w:t>
      </w:r>
      <w:r w:rsidR="00982B35" w:rsidRPr="0084570B">
        <w:rPr>
          <w:rFonts w:ascii="Times New Roman" w:eastAsia="Times New Roman" w:hAnsi="Times New Roman" w:cs="Times New Roman"/>
          <w:sz w:val="22"/>
          <w:szCs w:val="22"/>
          <w:lang w:val="en-US"/>
        </w:rPr>
        <w:fldChar w:fldCharType="end"/>
      </w:r>
      <w:r w:rsidR="00713796" w:rsidRPr="0084570B">
        <w:rPr>
          <w:rFonts w:ascii="Times New Roman" w:eastAsia="Times New Roman" w:hAnsi="Times New Roman" w:cs="Times New Roman"/>
          <w:color w:val="222222"/>
          <w:sz w:val="22"/>
          <w:szCs w:val="22"/>
          <w:lang w:val="en-US"/>
        </w:rPr>
        <w:t xml:space="preserve">. </w:t>
      </w:r>
    </w:p>
    <w:p w14:paraId="71BD9018" w14:textId="78DCA5E1" w:rsidR="008120DE" w:rsidRPr="0084570B" w:rsidRDefault="009B7C5A" w:rsidP="009B7C5A">
      <w:pPr>
        <w:pStyle w:val="Normal1"/>
        <w:spacing w:line="360"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lastRenderedPageBreak/>
        <w:t>Upper mantle reservoir(s):</w:t>
      </w:r>
      <w:r w:rsidRPr="0084570B">
        <w:rPr>
          <w:rFonts w:ascii="Times New Roman" w:eastAsia="Times New Roman" w:hAnsi="Times New Roman" w:cs="Times New Roman"/>
          <w:sz w:val="22"/>
          <w:szCs w:val="22"/>
          <w:lang w:val="en-US"/>
        </w:rPr>
        <w:t xml:space="preserve"> Th</w:t>
      </w:r>
      <w:r w:rsidR="00713796" w:rsidRPr="0084570B">
        <w:rPr>
          <w:rFonts w:ascii="Times New Roman" w:eastAsia="Times New Roman" w:hAnsi="Times New Roman" w:cs="Times New Roman"/>
          <w:sz w:val="22"/>
          <w:szCs w:val="22"/>
          <w:lang w:val="en-US"/>
        </w:rPr>
        <w:t xml:space="preserve">ere is no overlap between the impact scenarios that can satisfactorily explain the MORB and Mt. Etna target parameters, indicating that the conventional MORB measurements and our new Mt. Etna measurements </w:t>
      </w:r>
      <w:r w:rsidR="008A7430" w:rsidRPr="0084570B">
        <w:rPr>
          <w:rFonts w:ascii="Times New Roman" w:eastAsia="Times New Roman" w:hAnsi="Times New Roman" w:cs="Times New Roman"/>
          <w:sz w:val="22"/>
          <w:szCs w:val="22"/>
          <w:lang w:val="en-US"/>
        </w:rPr>
        <w:t>cannot be considered as</w:t>
      </w:r>
      <w:r w:rsidR="00713796" w:rsidRPr="0084570B">
        <w:rPr>
          <w:rFonts w:ascii="Times New Roman" w:eastAsia="Times New Roman" w:hAnsi="Times New Roman" w:cs="Times New Roman"/>
          <w:sz w:val="22"/>
          <w:szCs w:val="22"/>
          <w:lang w:val="en-US"/>
        </w:rPr>
        <w:t xml:space="preserve"> representing a common upper mantle source. This suggests either a previously unrecognized heterogeneity in the convecting upper mantle, or a systematic disagreement between our novel DMS analytical technique and conventional static noble gas mass spectrometry. </w:t>
      </w:r>
      <w:r w:rsidR="0079505A" w:rsidRPr="0084570B">
        <w:rPr>
          <w:rFonts w:ascii="Times New Roman" w:eastAsia="Times New Roman" w:hAnsi="Times New Roman" w:cs="Times New Roman"/>
          <w:sz w:val="22"/>
          <w:szCs w:val="22"/>
          <w:lang w:val="en-US"/>
        </w:rPr>
        <w:t xml:space="preserve">Considering Eifel mantle source data </w:t>
      </w:r>
      <w:r w:rsidR="00981465" w:rsidRPr="0084570B">
        <w:rPr>
          <w:rFonts w:ascii="Times New Roman" w:eastAsia="Times New Roman" w:hAnsi="Times New Roman" w:cs="Times New Roman"/>
          <w:sz w:val="22"/>
          <w:szCs w:val="22"/>
          <w:lang w:val="en-US"/>
        </w:rPr>
        <w:t>further</w:t>
      </w:r>
      <w:r w:rsidR="0079505A" w:rsidRPr="0084570B">
        <w:rPr>
          <w:rFonts w:ascii="Times New Roman" w:eastAsia="Times New Roman" w:hAnsi="Times New Roman" w:cs="Times New Roman"/>
          <w:sz w:val="22"/>
          <w:szCs w:val="22"/>
          <w:lang w:val="en-US"/>
        </w:rPr>
        <w:t xml:space="preserve"> strengthens the </w:t>
      </w:r>
      <w:r w:rsidR="00981465" w:rsidRPr="0084570B">
        <w:rPr>
          <w:rFonts w:ascii="Times New Roman" w:eastAsia="Times New Roman" w:hAnsi="Times New Roman" w:cs="Times New Roman"/>
          <w:sz w:val="22"/>
          <w:szCs w:val="22"/>
          <w:lang w:val="en-US"/>
        </w:rPr>
        <w:t xml:space="preserve">discrepancies between our findings and literature data. In essence, we find that </w:t>
      </w:r>
      <w:r w:rsidR="0079505A" w:rsidRPr="0084570B">
        <w:rPr>
          <w:rFonts w:ascii="Times New Roman" w:eastAsia="Times New Roman" w:hAnsi="Times New Roman" w:cs="Times New Roman"/>
          <w:color w:val="222222"/>
          <w:sz w:val="22"/>
          <w:szCs w:val="22"/>
          <w:lang w:val="en-US"/>
        </w:rPr>
        <w:t>any m</w:t>
      </w:r>
      <w:r w:rsidR="0079505A" w:rsidRPr="0084570B">
        <w:rPr>
          <w:rFonts w:ascii="Times New Roman" w:eastAsia="Times New Roman" w:hAnsi="Times New Roman" w:cs="Times New Roman"/>
          <w:sz w:val="22"/>
          <w:szCs w:val="22"/>
          <w:lang w:val="en-US"/>
        </w:rPr>
        <w:t xml:space="preserve">odel attempting to reproduce the Eifel composition requires </w:t>
      </w:r>
      <w:r w:rsidR="0079505A" w:rsidRPr="0084570B">
        <w:rPr>
          <w:rFonts w:ascii="Times New Roman" w:eastAsia="Times New Roman" w:hAnsi="Times New Roman" w:cs="Times New Roman"/>
          <w:sz w:val="22"/>
          <w:szCs w:val="22"/>
          <w:vertAlign w:val="superscript"/>
          <w:lang w:val="en-US"/>
        </w:rPr>
        <w:t>127</w:t>
      </w:r>
      <w:r w:rsidR="0079505A" w:rsidRPr="0084570B">
        <w:rPr>
          <w:rFonts w:ascii="Times New Roman" w:eastAsia="Times New Roman" w:hAnsi="Times New Roman" w:cs="Times New Roman"/>
          <w:sz w:val="22"/>
          <w:szCs w:val="22"/>
          <w:lang w:val="en-US"/>
        </w:rPr>
        <w:t>I</w:t>
      </w:r>
      <w:r w:rsidR="0079505A" w:rsidRPr="0084570B">
        <w:rPr>
          <w:rFonts w:ascii="Times New Roman" w:eastAsia="Times New Roman" w:hAnsi="Times New Roman" w:cs="Times New Roman"/>
          <w:sz w:val="22"/>
          <w:szCs w:val="22"/>
          <w:vertAlign w:val="subscript"/>
          <w:lang w:val="en-US"/>
        </w:rPr>
        <w:t>init</w:t>
      </w:r>
      <w:r w:rsidR="0079505A" w:rsidRPr="0084570B">
        <w:rPr>
          <w:rFonts w:ascii="Times New Roman" w:eastAsia="Times New Roman" w:hAnsi="Times New Roman" w:cs="Times New Roman"/>
          <w:sz w:val="22"/>
          <w:szCs w:val="22"/>
          <w:lang w:val="en-US"/>
        </w:rPr>
        <w:t xml:space="preserve">(BSE) ≥ 120 ppb, which is far beyond the range of plausible values. </w:t>
      </w:r>
      <w:r w:rsidR="00981465" w:rsidRPr="0084570B">
        <w:rPr>
          <w:rFonts w:ascii="Times New Roman" w:eastAsia="Times New Roman" w:hAnsi="Times New Roman" w:cs="Times New Roman"/>
          <w:sz w:val="22"/>
          <w:szCs w:val="22"/>
          <w:lang w:val="en-US"/>
        </w:rPr>
        <w:t>Because any episodes of early mantle degassing would require increasingly high [I]</w:t>
      </w:r>
      <w:r w:rsidR="00981465" w:rsidRPr="0084570B">
        <w:rPr>
          <w:rFonts w:ascii="Times New Roman" w:eastAsia="Times New Roman" w:hAnsi="Times New Roman" w:cs="Times New Roman"/>
          <w:sz w:val="22"/>
          <w:szCs w:val="22"/>
          <w:vertAlign w:val="subscript"/>
          <w:lang w:val="en-US"/>
        </w:rPr>
        <w:t>init.</w:t>
      </w:r>
      <w:r w:rsidR="00981465" w:rsidRPr="0084570B">
        <w:rPr>
          <w:rFonts w:ascii="Times New Roman" w:eastAsia="Times New Roman" w:hAnsi="Times New Roman" w:cs="Times New Roman"/>
          <w:sz w:val="22"/>
          <w:szCs w:val="22"/>
          <w:lang w:val="en-US"/>
        </w:rPr>
        <w:t xml:space="preserve"> to compensate for the early loss of </w:t>
      </w:r>
      <w:r w:rsidR="00981465" w:rsidRPr="0084570B">
        <w:rPr>
          <w:rFonts w:ascii="Times New Roman" w:eastAsia="Times New Roman" w:hAnsi="Times New Roman" w:cs="Times New Roman"/>
          <w:sz w:val="22"/>
          <w:szCs w:val="22"/>
          <w:vertAlign w:val="superscript"/>
          <w:lang w:val="en-US"/>
        </w:rPr>
        <w:t>129</w:t>
      </w:r>
      <w:r w:rsidR="00981465" w:rsidRPr="0084570B">
        <w:rPr>
          <w:rFonts w:ascii="Times New Roman" w:eastAsia="Times New Roman" w:hAnsi="Times New Roman" w:cs="Times New Roman"/>
          <w:sz w:val="22"/>
          <w:szCs w:val="22"/>
          <w:lang w:val="en-US"/>
        </w:rPr>
        <w:t>Xe</w:t>
      </w:r>
      <w:r w:rsidR="00981465" w:rsidRPr="0084570B">
        <w:rPr>
          <w:rFonts w:ascii="Times New Roman" w:eastAsia="Times New Roman" w:hAnsi="Times New Roman" w:cs="Times New Roman"/>
          <w:sz w:val="22"/>
          <w:szCs w:val="22"/>
          <w:vertAlign w:val="subscript"/>
          <w:lang w:val="en-US"/>
        </w:rPr>
        <w:t>I</w:t>
      </w:r>
      <w:r w:rsidR="00981465" w:rsidRPr="0084570B">
        <w:rPr>
          <w:rFonts w:ascii="Times New Roman" w:eastAsia="Times New Roman" w:hAnsi="Times New Roman" w:cs="Times New Roman"/>
          <w:sz w:val="22"/>
          <w:szCs w:val="22"/>
          <w:lang w:val="en-US"/>
        </w:rPr>
        <w:t>, the unreasonably high [I]</w:t>
      </w:r>
      <w:r w:rsidR="00981465" w:rsidRPr="0084570B">
        <w:rPr>
          <w:rFonts w:ascii="Times New Roman" w:eastAsia="Times New Roman" w:hAnsi="Times New Roman" w:cs="Times New Roman"/>
          <w:sz w:val="22"/>
          <w:szCs w:val="22"/>
          <w:vertAlign w:val="subscript"/>
          <w:lang w:val="en-US"/>
        </w:rPr>
        <w:t>init.</w:t>
      </w:r>
      <w:r w:rsidR="00981465" w:rsidRPr="0084570B">
        <w:rPr>
          <w:rFonts w:ascii="Times New Roman" w:eastAsia="Times New Roman" w:hAnsi="Times New Roman" w:cs="Times New Roman"/>
          <w:sz w:val="22"/>
          <w:szCs w:val="22"/>
          <w:lang w:val="en-US"/>
        </w:rPr>
        <w:t xml:space="preserve"> derived from Eifel mantle source parameters cannot be accounted for by adjusting the mantle degassing history. </w:t>
      </w:r>
      <w:r w:rsidR="007D42FB" w:rsidRPr="0084570B">
        <w:rPr>
          <w:rFonts w:ascii="Times New Roman" w:eastAsia="Times New Roman" w:hAnsi="Times New Roman" w:cs="Times New Roman"/>
          <w:sz w:val="22"/>
          <w:szCs w:val="22"/>
          <w:lang w:val="en-US"/>
        </w:rPr>
        <w:t xml:space="preserve">As detailed in the main text, the </w:t>
      </w:r>
      <w:r w:rsidR="007D42FB" w:rsidRPr="0084570B">
        <w:rPr>
          <w:rFonts w:ascii="Times New Roman" w:hAnsi="Times New Roman" w:cs="Times New Roman"/>
          <w:color w:val="000000"/>
          <w:sz w:val="22"/>
          <w:szCs w:val="22"/>
          <w:lang w:val="en-US"/>
        </w:rPr>
        <w:t>difficulties in resolving the Xe</w:t>
      </w:r>
      <w:r w:rsidR="007D42FB" w:rsidRPr="0084570B">
        <w:rPr>
          <w:rFonts w:ascii="Times New Roman" w:hAnsi="Times New Roman" w:cs="Times New Roman"/>
          <w:color w:val="000000"/>
          <w:sz w:val="22"/>
          <w:szCs w:val="22"/>
          <w:vertAlign w:val="subscript"/>
          <w:lang w:val="en-US"/>
        </w:rPr>
        <w:t>Pu</w:t>
      </w:r>
      <w:r w:rsidR="007D42FB" w:rsidRPr="0084570B">
        <w:rPr>
          <w:rFonts w:ascii="Times New Roman" w:hAnsi="Times New Roman" w:cs="Times New Roman"/>
          <w:color w:val="000000"/>
          <w:sz w:val="22"/>
          <w:szCs w:val="22"/>
          <w:lang w:val="en-US"/>
        </w:rPr>
        <w:t xml:space="preserve"> component can generate spurious </w:t>
      </w:r>
      <w:r w:rsidR="007D42FB" w:rsidRPr="0084570B">
        <w:rPr>
          <w:rFonts w:ascii="Times New Roman" w:eastAsia="Times New Roman" w:hAnsi="Times New Roman" w:cs="Times New Roman"/>
          <w:sz w:val="22"/>
          <w:szCs w:val="22"/>
          <w:vertAlign w:val="superscript"/>
          <w:lang w:val="en-US"/>
        </w:rPr>
        <w:t>129</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I</w:t>
      </w:r>
      <w:r w:rsidR="007D42FB" w:rsidRPr="0084570B">
        <w:rPr>
          <w:rFonts w:ascii="Times New Roman" w:eastAsia="Times New Roman" w:hAnsi="Times New Roman" w:cs="Times New Roman"/>
          <w:sz w:val="22"/>
          <w:szCs w:val="22"/>
          <w:lang w:val="en-US"/>
        </w:rPr>
        <w:t>/</w:t>
      </w:r>
      <w:r w:rsidR="007D42FB" w:rsidRPr="0084570B">
        <w:rPr>
          <w:rFonts w:ascii="Times New Roman" w:eastAsia="Times New Roman" w:hAnsi="Times New Roman" w:cs="Times New Roman"/>
          <w:sz w:val="22"/>
          <w:vertAlign w:val="superscript"/>
          <w:lang w:val="en-US"/>
        </w:rPr>
        <w:t>136</w:t>
      </w:r>
      <w:r w:rsidR="007D42FB" w:rsidRPr="0084570B">
        <w:rPr>
          <w:rFonts w:ascii="Times New Roman" w:eastAsia="Times New Roman" w:hAnsi="Times New Roman" w:cs="Times New Roman"/>
          <w:sz w:val="22"/>
          <w:lang w:val="en-US"/>
        </w:rPr>
        <w:t>Xe</w:t>
      </w:r>
      <w:r w:rsidR="007D42FB" w:rsidRPr="0084570B">
        <w:rPr>
          <w:rFonts w:ascii="Times New Roman" w:eastAsia="Times New Roman" w:hAnsi="Times New Roman" w:cs="Times New Roman"/>
          <w:sz w:val="22"/>
          <w:vertAlign w:val="subscript"/>
          <w:lang w:val="en-US"/>
        </w:rPr>
        <w:t>Pu</w:t>
      </w:r>
      <w:r w:rsidR="007D42FB" w:rsidRPr="0084570B">
        <w:rPr>
          <w:rFonts w:ascii="Times New Roman" w:eastAsia="Times New Roman" w:hAnsi="Times New Roman" w:cs="Times New Roman"/>
          <w:sz w:val="22"/>
          <w:lang w:val="en-US"/>
        </w:rPr>
        <w:t xml:space="preserve"> and low </w:t>
      </w:r>
      <w:r w:rsidR="007D42FB" w:rsidRPr="0084570B">
        <w:rPr>
          <w:rFonts w:ascii="Times New Roman" w:eastAsia="Times New Roman" w:hAnsi="Times New Roman" w:cs="Times New Roman"/>
          <w:sz w:val="22"/>
          <w:szCs w:val="22"/>
          <w:vertAlign w:val="superscript"/>
          <w:lang w:val="en-US"/>
        </w:rPr>
        <w:t>136</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Pu</w:t>
      </w:r>
      <w:r w:rsidR="007D42FB" w:rsidRPr="0084570B">
        <w:rPr>
          <w:rFonts w:ascii="Times New Roman" w:eastAsia="Times New Roman" w:hAnsi="Times New Roman" w:cs="Times New Roman"/>
          <w:sz w:val="22"/>
          <w:szCs w:val="22"/>
          <w:lang w:val="en-US"/>
        </w:rPr>
        <w:t>/</w:t>
      </w:r>
      <w:r w:rsidR="007D42FB" w:rsidRPr="0084570B">
        <w:rPr>
          <w:rFonts w:ascii="Times New Roman" w:eastAsia="Times New Roman" w:hAnsi="Times New Roman" w:cs="Times New Roman"/>
          <w:sz w:val="22"/>
          <w:vertAlign w:val="superscript"/>
          <w:lang w:val="en-US"/>
        </w:rPr>
        <w:t>136</w:t>
      </w:r>
      <w:r w:rsidR="007D42FB" w:rsidRPr="0084570B">
        <w:rPr>
          <w:rFonts w:ascii="Times New Roman" w:eastAsia="Times New Roman" w:hAnsi="Times New Roman" w:cs="Times New Roman"/>
          <w:sz w:val="22"/>
          <w:lang w:val="en-US"/>
        </w:rPr>
        <w:t>Xe</w:t>
      </w:r>
      <w:r w:rsidR="007D42FB" w:rsidRPr="0084570B">
        <w:rPr>
          <w:rFonts w:ascii="Times New Roman" w:eastAsia="Times New Roman" w:hAnsi="Times New Roman" w:cs="Times New Roman"/>
          <w:sz w:val="22"/>
          <w:vertAlign w:val="subscript"/>
          <w:lang w:val="en-US"/>
        </w:rPr>
        <w:t>TF</w:t>
      </w:r>
      <w:r w:rsidR="007D42FB" w:rsidRPr="0084570B">
        <w:rPr>
          <w:rFonts w:ascii="Times New Roman" w:eastAsia="Times New Roman" w:hAnsi="Times New Roman" w:cs="Times New Roman"/>
          <w:sz w:val="22"/>
          <w:lang w:val="en-US"/>
        </w:rPr>
        <w:t xml:space="preserve"> estimates </w:t>
      </w:r>
      <w:r w:rsidR="007D42FB" w:rsidRPr="0084570B">
        <w:rPr>
          <w:rFonts w:ascii="Times New Roman" w:eastAsia="Times New Roman" w:hAnsi="Times New Roman" w:cs="Times New Roman"/>
          <w:sz w:val="22"/>
          <w:szCs w:val="22"/>
          <w:lang w:val="en-US"/>
        </w:rPr>
        <w:t xml:space="preserve">that may not be representative of the mantle source composition. Thus, the apparent discrepancy between mantle source Xe isotope composition estimates for Mt. Etna and Eifel may not be regarded as reflecting mantle source heterogeneities, but as consistently pointing towards a much greater </w:t>
      </w:r>
      <w:r w:rsidR="007D42FB" w:rsidRPr="0084570B">
        <w:rPr>
          <w:rFonts w:ascii="Times New Roman" w:eastAsia="Times New Roman" w:hAnsi="Times New Roman" w:cs="Times New Roman"/>
          <w:sz w:val="22"/>
          <w:szCs w:val="22"/>
          <w:vertAlign w:val="superscript"/>
          <w:lang w:val="en-US"/>
        </w:rPr>
        <w:t>129</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I</w:t>
      </w:r>
      <w:r w:rsidR="007D42FB" w:rsidRPr="0084570B">
        <w:rPr>
          <w:rFonts w:ascii="Times New Roman" w:eastAsia="Times New Roman" w:hAnsi="Times New Roman" w:cs="Times New Roman"/>
          <w:sz w:val="22"/>
          <w:szCs w:val="22"/>
          <w:lang w:val="en-US"/>
        </w:rPr>
        <w:t>/</w:t>
      </w:r>
      <w:r w:rsidR="007D42FB" w:rsidRPr="0084570B">
        <w:rPr>
          <w:rFonts w:ascii="Times New Roman" w:eastAsia="Times New Roman" w:hAnsi="Times New Roman" w:cs="Times New Roman"/>
          <w:sz w:val="22"/>
          <w:szCs w:val="22"/>
          <w:vertAlign w:val="superscript"/>
          <w:lang w:val="en-US"/>
        </w:rPr>
        <w:t>136</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Pu</w:t>
      </w:r>
      <w:r w:rsidR="007D42FB" w:rsidRPr="0084570B">
        <w:rPr>
          <w:rFonts w:ascii="Times New Roman" w:eastAsia="Times New Roman" w:hAnsi="Times New Roman" w:cs="Times New Roman"/>
          <w:sz w:val="22"/>
          <w:szCs w:val="22"/>
          <w:lang w:val="en-US"/>
        </w:rPr>
        <w:t xml:space="preserve"> (and lower </w:t>
      </w:r>
      <w:r w:rsidR="007D42FB" w:rsidRPr="0084570B">
        <w:rPr>
          <w:rFonts w:ascii="Times New Roman" w:eastAsia="Times New Roman" w:hAnsi="Times New Roman" w:cs="Times New Roman"/>
          <w:sz w:val="22"/>
          <w:szCs w:val="22"/>
          <w:vertAlign w:val="superscript"/>
          <w:lang w:val="en-US"/>
        </w:rPr>
        <w:t>136</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Pu</w:t>
      </w:r>
      <w:r w:rsidR="007D42FB" w:rsidRPr="0084570B">
        <w:rPr>
          <w:rFonts w:ascii="Times New Roman" w:eastAsia="Times New Roman" w:hAnsi="Times New Roman" w:cs="Times New Roman"/>
          <w:sz w:val="22"/>
          <w:szCs w:val="22"/>
          <w:lang w:val="en-US"/>
        </w:rPr>
        <w:t>/</w:t>
      </w:r>
      <w:r w:rsidR="007D42FB" w:rsidRPr="0084570B">
        <w:rPr>
          <w:rFonts w:ascii="Times New Roman" w:eastAsia="Times New Roman" w:hAnsi="Times New Roman" w:cs="Times New Roman"/>
          <w:sz w:val="22"/>
          <w:vertAlign w:val="superscript"/>
          <w:lang w:val="en-US"/>
        </w:rPr>
        <w:t>136</w:t>
      </w:r>
      <w:r w:rsidR="007D42FB" w:rsidRPr="0084570B">
        <w:rPr>
          <w:rFonts w:ascii="Times New Roman" w:eastAsia="Times New Roman" w:hAnsi="Times New Roman" w:cs="Times New Roman"/>
          <w:sz w:val="22"/>
          <w:lang w:val="en-US"/>
        </w:rPr>
        <w:t>Xe</w:t>
      </w:r>
      <w:r w:rsidR="007D42FB" w:rsidRPr="0084570B">
        <w:rPr>
          <w:rFonts w:ascii="Times New Roman" w:eastAsia="Times New Roman" w:hAnsi="Times New Roman" w:cs="Times New Roman"/>
          <w:sz w:val="22"/>
          <w:vertAlign w:val="subscript"/>
          <w:lang w:val="en-US"/>
        </w:rPr>
        <w:t>TF</w:t>
      </w:r>
      <w:r w:rsidR="007D42FB" w:rsidRPr="0084570B">
        <w:rPr>
          <w:rFonts w:ascii="Times New Roman" w:eastAsia="Times New Roman" w:hAnsi="Times New Roman" w:cs="Times New Roman"/>
          <w:sz w:val="22"/>
          <w:lang w:val="en-US"/>
        </w:rPr>
        <w:t xml:space="preserve">) </w:t>
      </w:r>
      <w:r w:rsidR="007D42FB" w:rsidRPr="0084570B">
        <w:rPr>
          <w:rFonts w:ascii="Times New Roman" w:eastAsia="Times New Roman" w:hAnsi="Times New Roman" w:cs="Times New Roman"/>
          <w:sz w:val="22"/>
          <w:szCs w:val="22"/>
          <w:lang w:val="en-US"/>
        </w:rPr>
        <w:t xml:space="preserve">for the convecting mantle than </w:t>
      </w:r>
      <w:r w:rsidR="007D42FB" w:rsidRPr="0084570B">
        <w:rPr>
          <w:rFonts w:ascii="Times New Roman" w:eastAsia="Gungsuh" w:hAnsi="Times New Roman" w:cs="Times New Roman"/>
          <w:sz w:val="22"/>
          <w:szCs w:val="22"/>
          <w:lang w:val="en-US"/>
        </w:rPr>
        <w:t>previously thought</w:t>
      </w:r>
      <w:r w:rsidR="007D42FB" w:rsidRPr="0084570B">
        <w:rPr>
          <w:rFonts w:ascii="Times New Roman" w:eastAsia="Times New Roman" w:hAnsi="Times New Roman" w:cs="Times New Roman"/>
          <w:sz w:val="22"/>
          <w:szCs w:val="22"/>
          <w:lang w:val="en-US"/>
        </w:rPr>
        <w:t xml:space="preserve">. Based on our modeling results, these fundamental observations cannot be simply explained in the classical framework of our understanding of mantle Xe isotope evolution. One possibility is therefore that one or several previously unrecognized processes have affected the Pu/U of the Earth's mantle, thereby causing the ultimate </w:t>
      </w:r>
      <w:r w:rsidR="007D42FB" w:rsidRPr="0084570B">
        <w:rPr>
          <w:rFonts w:ascii="Times New Roman" w:eastAsia="Times New Roman" w:hAnsi="Times New Roman" w:cs="Times New Roman"/>
          <w:sz w:val="22"/>
          <w:szCs w:val="22"/>
          <w:vertAlign w:val="superscript"/>
          <w:lang w:val="en-US"/>
        </w:rPr>
        <w:t>129</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I</w:t>
      </w:r>
      <w:r w:rsidR="007D42FB" w:rsidRPr="0084570B">
        <w:rPr>
          <w:rFonts w:ascii="Times New Roman" w:eastAsia="Times New Roman" w:hAnsi="Times New Roman" w:cs="Times New Roman"/>
          <w:sz w:val="22"/>
          <w:szCs w:val="22"/>
          <w:lang w:val="en-US"/>
        </w:rPr>
        <w:t>/</w:t>
      </w:r>
      <w:r w:rsidR="007D42FB" w:rsidRPr="0084570B">
        <w:rPr>
          <w:rFonts w:ascii="Times New Roman" w:eastAsia="Times New Roman" w:hAnsi="Times New Roman" w:cs="Times New Roman"/>
          <w:sz w:val="22"/>
          <w:szCs w:val="22"/>
          <w:vertAlign w:val="superscript"/>
          <w:lang w:val="en-US"/>
        </w:rPr>
        <w:t>136</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Pu</w:t>
      </w:r>
      <w:r w:rsidR="007D42FB" w:rsidRPr="0084570B">
        <w:rPr>
          <w:rFonts w:ascii="Times New Roman" w:eastAsia="Times New Roman" w:hAnsi="Times New Roman" w:cs="Times New Roman"/>
          <w:sz w:val="22"/>
          <w:szCs w:val="22"/>
          <w:lang w:val="en-US"/>
        </w:rPr>
        <w:t xml:space="preserve"> and </w:t>
      </w:r>
      <w:r w:rsidR="007D42FB" w:rsidRPr="0084570B">
        <w:rPr>
          <w:rFonts w:ascii="Times New Roman" w:eastAsia="Times New Roman" w:hAnsi="Times New Roman" w:cs="Times New Roman"/>
          <w:sz w:val="22"/>
          <w:szCs w:val="22"/>
          <w:vertAlign w:val="superscript"/>
          <w:lang w:val="en-US"/>
        </w:rPr>
        <w:t>136</w:t>
      </w:r>
      <w:r w:rsidR="007D42FB" w:rsidRPr="0084570B">
        <w:rPr>
          <w:rFonts w:ascii="Times New Roman" w:eastAsia="Times New Roman" w:hAnsi="Times New Roman" w:cs="Times New Roman"/>
          <w:sz w:val="22"/>
          <w:szCs w:val="22"/>
          <w:lang w:val="en-US"/>
        </w:rPr>
        <w:t>Xe</w:t>
      </w:r>
      <w:r w:rsidR="007D42FB" w:rsidRPr="0084570B">
        <w:rPr>
          <w:rFonts w:ascii="Times New Roman" w:eastAsia="Times New Roman" w:hAnsi="Times New Roman" w:cs="Times New Roman"/>
          <w:sz w:val="22"/>
          <w:szCs w:val="22"/>
          <w:vertAlign w:val="subscript"/>
          <w:lang w:val="en-US"/>
        </w:rPr>
        <w:t>Pu</w:t>
      </w:r>
      <w:r w:rsidR="007D42FB" w:rsidRPr="0084570B">
        <w:rPr>
          <w:rFonts w:ascii="Times New Roman" w:eastAsia="Times New Roman" w:hAnsi="Times New Roman" w:cs="Times New Roman"/>
          <w:sz w:val="22"/>
          <w:szCs w:val="22"/>
          <w:lang w:val="en-US"/>
        </w:rPr>
        <w:t>/</w:t>
      </w:r>
      <w:r w:rsidR="007D42FB" w:rsidRPr="0084570B">
        <w:rPr>
          <w:rFonts w:ascii="Times New Roman" w:eastAsia="Times New Roman" w:hAnsi="Times New Roman" w:cs="Times New Roman"/>
          <w:sz w:val="22"/>
          <w:vertAlign w:val="superscript"/>
          <w:lang w:val="en-US"/>
        </w:rPr>
        <w:t>136</w:t>
      </w:r>
      <w:r w:rsidR="007D42FB" w:rsidRPr="0084570B">
        <w:rPr>
          <w:rFonts w:ascii="Times New Roman" w:eastAsia="Times New Roman" w:hAnsi="Times New Roman" w:cs="Times New Roman"/>
          <w:sz w:val="22"/>
          <w:lang w:val="en-US"/>
        </w:rPr>
        <w:t>Xe</w:t>
      </w:r>
      <w:r w:rsidR="007D42FB" w:rsidRPr="0084570B">
        <w:rPr>
          <w:rFonts w:ascii="Times New Roman" w:eastAsia="Times New Roman" w:hAnsi="Times New Roman" w:cs="Times New Roman"/>
          <w:sz w:val="22"/>
          <w:vertAlign w:val="subscript"/>
          <w:lang w:val="en-US"/>
        </w:rPr>
        <w:t>TF</w:t>
      </w:r>
      <w:r w:rsidR="007D42FB" w:rsidRPr="0084570B">
        <w:rPr>
          <w:rFonts w:ascii="Times New Roman" w:eastAsia="Times New Roman" w:hAnsi="Times New Roman" w:cs="Times New Roman"/>
          <w:sz w:val="22"/>
          <w:lang w:val="en-US"/>
        </w:rPr>
        <w:t xml:space="preserve"> of this reservoir to be greater and lower, respectively, than previously recognized. </w:t>
      </w:r>
    </w:p>
    <w:p w14:paraId="6D707E02" w14:textId="77777777" w:rsidR="008120DE" w:rsidRPr="0084570B" w:rsidRDefault="008120DE" w:rsidP="008120DE">
      <w:pPr>
        <w:pStyle w:val="Normal1"/>
        <w:spacing w:line="276" w:lineRule="auto"/>
        <w:jc w:val="both"/>
        <w:rPr>
          <w:rFonts w:ascii="Times New Roman" w:eastAsia="Times New Roman" w:hAnsi="Times New Roman" w:cs="Times New Roman"/>
          <w:sz w:val="22"/>
          <w:szCs w:val="22"/>
          <w:lang w:val="en-US"/>
        </w:rPr>
      </w:pPr>
    </w:p>
    <w:p w14:paraId="07AE409E" w14:textId="5124670E" w:rsidR="001F13CF" w:rsidRPr="0084570B" w:rsidRDefault="00FF748C" w:rsidP="001F13CF">
      <w:pPr>
        <w:spacing w:line="360" w:lineRule="auto"/>
        <w:jc w:val="both"/>
        <w:rPr>
          <w:rFonts w:ascii="Times New Roman" w:hAnsi="Times New Roman" w:cs="Times New Roman"/>
          <w:sz w:val="22"/>
          <w:szCs w:val="22"/>
          <w:lang w:val="en-US"/>
        </w:rPr>
      </w:pPr>
      <w:bookmarkStart w:id="10" w:name="_5z24j3qwdj3d" w:colFirst="0" w:colLast="0"/>
      <w:bookmarkEnd w:id="10"/>
      <w:r w:rsidRPr="0084570B">
        <w:rPr>
          <w:rFonts w:ascii="Times New Roman" w:eastAsia="Times New Roman" w:hAnsi="Times New Roman" w:cs="Times New Roman"/>
          <w:b/>
          <w:sz w:val="22"/>
          <w:szCs w:val="22"/>
          <w:lang w:val="en-US"/>
        </w:rPr>
        <w:t>Revising Pu/U systematics on the early Earth:</w:t>
      </w:r>
      <w:r w:rsidR="00964453"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sz w:val="22"/>
          <w:szCs w:val="22"/>
          <w:lang w:val="en-US"/>
        </w:rPr>
        <w:t xml:space="preserve"> </w:t>
      </w:r>
      <w:r w:rsidR="00964453" w:rsidRPr="0084570B">
        <w:rPr>
          <w:rFonts w:ascii="Times New Roman" w:hAnsi="Times New Roman" w:cs="Times New Roman"/>
          <w:sz w:val="22"/>
          <w:szCs w:val="22"/>
          <w:lang w:val="en-US"/>
        </w:rPr>
        <w:t>Initial Pu/U ratios (i.e., Pu/U corrected to the age of the solar system, hereafter (Pu/U)</w:t>
      </w:r>
      <w:r w:rsidR="00964453" w:rsidRPr="0084570B">
        <w:rPr>
          <w:rFonts w:ascii="Times New Roman" w:hAnsi="Times New Roman" w:cs="Times New Roman"/>
          <w:sz w:val="22"/>
          <w:szCs w:val="22"/>
          <w:vertAlign w:val="subscript"/>
          <w:lang w:val="en-US"/>
        </w:rPr>
        <w:t>0</w:t>
      </w:r>
      <w:r w:rsidR="00964453" w:rsidRPr="0084570B">
        <w:rPr>
          <w:rFonts w:ascii="Times New Roman" w:hAnsi="Times New Roman" w:cs="Times New Roman"/>
          <w:sz w:val="22"/>
          <w:szCs w:val="22"/>
          <w:lang w:val="en-US"/>
        </w:rPr>
        <w:t xml:space="preserve">) </w:t>
      </w:r>
      <w:r w:rsidR="005A392A" w:rsidRPr="0084570B">
        <w:rPr>
          <w:rFonts w:ascii="Times New Roman" w:hAnsi="Times New Roman" w:cs="Times New Roman"/>
          <w:sz w:val="22"/>
          <w:szCs w:val="22"/>
          <w:lang w:val="en-US"/>
        </w:rPr>
        <w:t xml:space="preserve">in &gt; 4 Ga terrestrial zircons span values </w:t>
      </w:r>
      <w:r w:rsidR="00964453" w:rsidRPr="0084570B">
        <w:rPr>
          <w:rFonts w:ascii="Times New Roman" w:hAnsi="Times New Roman" w:cs="Times New Roman"/>
          <w:sz w:val="22"/>
          <w:szCs w:val="22"/>
          <w:lang w:val="en-US"/>
        </w:rPr>
        <w:t xml:space="preserve">both above (up to 0.0012) and below (down to zero) the widely accepted initial solar system value (at </w:t>
      </w:r>
      <w:r w:rsidR="00964453" w:rsidRPr="0084570B">
        <w:rPr>
          <w:rFonts w:ascii="Times New Roman" w:eastAsia="Times New Roman" w:hAnsi="Times New Roman" w:cs="Times New Roman"/>
          <w:sz w:val="22"/>
          <w:szCs w:val="22"/>
          <w:lang w:val="en-US"/>
        </w:rPr>
        <w:t>0.0068</w:t>
      </w:r>
      <w:r w:rsidR="00964453"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{"citationItems":[{"id":"ITEM-1","itemData":{"author":[{"dropping-particle":"","family":"Hudson","given":"G. B.","non-dropping-particle":"","parse-names":false,"suffix":""},{"dropping-particle":"","family":"Kennedy","given":"B. M.","non-dropping-particle":"","parse-names":false,"suffix":""},{"dropping-particle":"","family":"Podosek","given":"F A","non-dropping-particle":"","parse-names":false,"suffix":""},{"dropping-particle":"","family":"Hohenberg","given":"C. M.","non-dropping-particle":"","parse-names":false,"suffix":""}],"container-title":"Proc. 19th Lunar and Planetary Science Conference 547–557 (Lunar and Planetary Institute)","id":"ITEM-1","issued":{"date-parts":[["1989"]]},"title":"The early solar system abundance of 244Pu as interred from the St. Severin chondrite","type":"paper-conference"},"uris":["http://www.mendeley.com/documents/?uuid=6caa7dfb-126c-4ab7-8c4b-74a80158f8ed"]}],"mendeley":{"formattedCitation":"&lt;sup&gt;34&lt;/sup&gt;","plainTextFormattedCitation":"34","previouslyFormattedCitation":"&lt;sup&gt;34&lt;/sup&gt;"},"properties":{"noteIndex":0},"schema":"https://github.com/citation-style-language/schema/raw/master/csl-citation.json"}</w:instrText>
      </w:r>
      <w:r w:rsidR="00964453"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34</w:t>
      </w:r>
      <w:r w:rsidR="00964453" w:rsidRPr="0084570B">
        <w:rPr>
          <w:rFonts w:ascii="Times New Roman" w:eastAsia="Times New Roman" w:hAnsi="Times New Roman" w:cs="Times New Roman"/>
          <w:sz w:val="22"/>
          <w:szCs w:val="22"/>
          <w:lang w:val="en-US"/>
        </w:rPr>
        <w:fldChar w:fldCharType="end"/>
      </w:r>
      <w:r w:rsidR="005A392A" w:rsidRPr="0084570B">
        <w:rPr>
          <w:rFonts w:ascii="Times New Roman" w:eastAsia="Times New Roman" w:hAnsi="Times New Roman" w:cs="Times New Roman"/>
          <w:sz w:val="22"/>
          <w:szCs w:val="22"/>
          <w:lang w:val="en-US"/>
        </w:rPr>
        <w:t xml:space="preserve">). </w:t>
      </w:r>
      <w:r w:rsidR="005A392A" w:rsidRPr="0084570B">
        <w:rPr>
          <w:rFonts w:ascii="Times New Roman" w:hAnsi="Times New Roman" w:cs="Times New Roman"/>
          <w:sz w:val="22"/>
          <w:szCs w:val="22"/>
          <w:lang w:val="en-US"/>
        </w:rPr>
        <w:t>As noted by Turner et al. (2007)</w:t>
      </w:r>
      <w:r w:rsidR="005A392A" w:rsidRPr="0084570B">
        <w:rPr>
          <w:rFonts w:ascii="Times New Roman" w:hAnsi="Times New Roman" w:cs="Times New Roman"/>
          <w:sz w:val="22"/>
          <w:szCs w:val="22"/>
          <w:lang w:val="en-US"/>
        </w:rPr>
        <w:fldChar w:fldCharType="begin" w:fldLock="1"/>
      </w:r>
      <w:r w:rsidR="005A392A" w:rsidRPr="0084570B">
        <w:rPr>
          <w:rFonts w:ascii="Times New Roman" w:hAnsi="Times New Roman" w:cs="Times New Roman"/>
          <w:sz w:val="22"/>
          <w:szCs w:val="22"/>
          <w:lang w:val="en-US"/>
        </w:rPr>
        <w:instrText xml:space="preserve">ADDIN CSL_CITATION {"citationItems":[{"id":"ITEM-1","itemData":{"DOI":"10.1016/j.epsl.2007.07.014","ISSN":"0012821X","abstract":"The presence of xenon isotopes from in-situ spontaneous fission of short-lived 244Pu has been confirmed in a suite of 16 Hadean detrital zircons from Western Australia. In order to investigate the effects of xenon loss on estimates of the inferred Pu/U ratio we have irradiated the zircons with thermal neutrons to generate Xe from 235U neutron fission. 131Xe/134Xe and 132Xe/134Xe ratios have been used to calculate the relative contributions from spontaneous fission of 244Pu and 238U and neutron fission of 235U and hence compare nominal Pu/U ratios and xenon retention ages. U-Xe ages are typically lower than the Pb-Pb ages, indicating that xenon loss is common. We show how the ternary mixing diagram can be used to place constraints on the timing and extent of this loss and to generate a corresponding Pu-U-Xe isochron. Although the zircons investigated in this study were extracted from the same metasedimentary unit, the timing of xenon loss is variable. This suggests that the loss may be the result of variable degrees of metamictization from grain to grain. Inferred (Pu/U)o ratios show a general decrease with the discordancy between Pb-Pb and U-Xe ages. For the least discordant samples we infer (Pu/U)o </w:instrText>
      </w:r>
      <w:r w:rsidR="005A392A" w:rsidRPr="0084570B">
        <w:rPr>
          <w:rFonts w:ascii="Cambria Math" w:hAnsi="Cambria Math" w:cs="Cambria Math"/>
          <w:sz w:val="22"/>
          <w:szCs w:val="22"/>
          <w:lang w:val="en-US"/>
        </w:rPr>
        <w:instrText>∼</w:instrText>
      </w:r>
      <w:r w:rsidR="005A392A" w:rsidRPr="0084570B">
        <w:rPr>
          <w:rFonts w:ascii="Times New Roman" w:hAnsi="Times New Roman" w:cs="Times New Roman"/>
          <w:sz w:val="22"/>
          <w:szCs w:val="22"/>
          <w:lang w:val="en-US"/>
        </w:rPr>
        <w:instrText xml:space="preserve"> 0.008 which is close to the widely adopted chondritic value. While we cannot completely exclude the effects of Pu/U fractionation in magmatic and other processes between formation of the Earth and crystallisation of the zircons we conclude that they have been relatively small (&lt; factor 2?) and reflect the compatible behaviour of Pu and U in the 4+ valence state. © 2007 Elsevier B.V. All rights reserved.","author":[{"dropping-particle":"","family":"Turner","given":"Grenville","non-dropping-particle":"","parse-names":false,"suffix":""},{"dropping-particle":"","family":"Busfield","given":"Alli","non-dropping-particle":"","parse-names":false,"suffix":""},{"dropping-particle":"","family":"Crowther","given":"Sarah A.","non-dropping-particle":"","parse-names":false,"suffix":""},{"dropping-particle":"","family":"Harrison","given":"Mark","non-dropping-particle":"","parse-names":false,"suffix":""},{"dropping-particle":"","family":"Mojzsis","given":"Stephen J.","non-dropping-particle":"","parse-names":false,"suffix":""},{"dropping-particle":"","family":"Gilmour","given":"Jamie","non-dropping-particle":"","parse-names":false,"suffix":""}],"container-title":"Earth and Planetary Science Letters","id":"ITEM-1","issue":"3-4","issued":{"date-parts":[["2007"]]},"page":"491-499","title":"Pu-Xe, U-Xe, U-Pb chronology and isotope systematics of ancient zircons from Western Australia","type":"article-journal","volume":"261"},"uris":["http://www.mendeley.com/documents/?uuid=1aaebed5-4ac5-40ae-a237-529a3578c786"]}],"mendeley":{"formattedCitation":"&lt;sup&gt;10&lt;/sup&gt;","plainTextFormattedCitation":"10","previouslyFormattedCitation":"&lt;sup&gt;10&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5A392A" w:rsidRPr="0084570B">
        <w:rPr>
          <w:rFonts w:ascii="Times New Roman" w:hAnsi="Times New Roman" w:cs="Times New Roman"/>
          <w:noProof/>
          <w:sz w:val="22"/>
          <w:szCs w:val="22"/>
          <w:vertAlign w:val="superscript"/>
          <w:lang w:val="en-US"/>
        </w:rPr>
        <w:t>10</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lang w:val="en-US"/>
        </w:rPr>
        <w:t>, the widely used chondritic value (representative of average solar system) is arguably less certain than the quoted experimental error. The bulk (Pu/U)</w:t>
      </w:r>
      <w:r w:rsidR="005A392A" w:rsidRPr="0084570B">
        <w:rPr>
          <w:rFonts w:ascii="Times New Roman" w:hAnsi="Times New Roman" w:cs="Times New Roman"/>
          <w:sz w:val="22"/>
          <w:szCs w:val="22"/>
          <w:vertAlign w:val="subscript"/>
          <w:lang w:val="en-US"/>
        </w:rPr>
        <w:t>0</w:t>
      </w:r>
      <w:r w:rsidR="005A392A" w:rsidRPr="0084570B">
        <w:rPr>
          <w:rFonts w:ascii="Times New Roman" w:hAnsi="Times New Roman" w:cs="Times New Roman"/>
          <w:sz w:val="22"/>
          <w:szCs w:val="22"/>
          <w:lang w:val="en-US"/>
        </w:rPr>
        <w:t>, inferred from two samples of the LL6 St Severin meteorite</w:t>
      </w:r>
      <w:r w:rsidR="005A392A"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{"citationItems":[{"id":"ITEM-1","itemData":{"author":[{"dropping-particle":"","family":"Hudson","given":"G. B.","non-dropping-particle":"","parse-names":false,"suffix":""},{"dropping-particle":"","family":"Kennedy","given":"B. M.","non-dropping-particle":"","parse-names":false,"suffix":""},{"dropping-particle":"","family":"Podosek","given":"F A","non-dropping-particle":"","parse-names":false,"suffix":""},{"dropping-particle":"","family":"Hohenberg","given":"C. M.","non-dropping-particle":"","parse-names":false,"suffix":""}],"container-title":"Proc. 19th Lunar and Planetary Science Conference 547–557 (Lunar and Planetary Institute)","id":"ITEM-1","issued":{"date-parts":[["1989"]]},"title":"The early solar system abundance of 244Pu as interred from the St. Severin chondrite","type":"paper-conference"},"uris":["http://www.mendeley.com/documents/?uuid=6caa7dfb-126c-4ab7-8c4b-74a80158f8ed"]}],"mendeley":{"formattedCitation":"&lt;sup&gt;34&lt;/sup&gt;","plainTextFormattedCitation":"34","previouslyFormattedCitation":"&lt;sup&gt;34&lt;/sup&gt;"},"properties":{"noteIndex":0},"schema":"https://github.com/citation-style-language/schema/raw/master/csl-citation.json"}</w:instrText>
      </w:r>
      <w:r w:rsidR="005A392A"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34</w:t>
      </w:r>
      <w:r w:rsidR="005A392A" w:rsidRPr="0084570B">
        <w:rPr>
          <w:rFonts w:ascii="Times New Roman" w:eastAsia="Times New Roman" w:hAnsi="Times New Roman" w:cs="Times New Roman"/>
          <w:sz w:val="22"/>
          <w:szCs w:val="22"/>
          <w:lang w:val="en-US"/>
        </w:rPr>
        <w:fldChar w:fldCharType="end"/>
      </w:r>
      <w:r w:rsidR="005A392A" w:rsidRPr="0084570B">
        <w:rPr>
          <w:rFonts w:ascii="Times New Roman" w:hAnsi="Times New Roman" w:cs="Times New Roman"/>
          <w:sz w:val="22"/>
          <w:szCs w:val="22"/>
          <w:lang w:val="en-US"/>
        </w:rPr>
        <w:t>, was derived by combining temperature steps exhibiting a factor 4 variation in Pu/U, and then applying decay corrections based on whole-rock I– Xe ages</w:t>
      </w:r>
      <w:r w:rsidR="005A392A" w:rsidRPr="0084570B">
        <w:rPr>
          <w:rFonts w:ascii="Times New Roman" w:hAnsi="Times New Roman" w:cs="Times New Roman"/>
          <w:sz w:val="22"/>
          <w:szCs w:val="22"/>
          <w:lang w:val="en-US"/>
        </w:rPr>
        <w:fldChar w:fldCharType="begin" w:fldLock="1"/>
      </w:r>
      <w:r w:rsidR="005A392A" w:rsidRPr="0084570B">
        <w:rPr>
          <w:rFonts w:ascii="Times New Roman" w:hAnsi="Times New Roman" w:cs="Times New Roman"/>
          <w:sz w:val="22"/>
          <w:szCs w:val="22"/>
          <w:lang w:val="en-US"/>
        </w:rPr>
        <w:instrText xml:space="preserve">ADDIN CSL_CITATION {"citationItems":[{"id":"ITEM-1","itemData":{"DOI":"10.1016/j.epsl.2007.07.014","ISSN":"0012821X","abstract":"The presence of xenon isotopes from in-situ spontaneous fission of short-lived 244Pu has been confirmed in a suite of 16 Hadean detrital zircons from Western Australia. In order to investigate the effects of xenon loss on estimates of the inferred Pu/U ratio we have irradiated the zircons with thermal neutrons to generate Xe from 235U neutron fission. 131Xe/134Xe and 132Xe/134Xe ratios have been used to calculate the relative contributions from spontaneous fission of 244Pu and 238U and neutron fission of 235U and hence compare nominal Pu/U ratios and xenon retention ages. U-Xe ages are typically lower than the Pb-Pb ages, indicating that xenon loss is common. We show how the ternary mixing diagram can be used to place constraints on the timing and extent of this loss and to generate a corresponding Pu-U-Xe isochron. Although the zircons investigated in this study were extracted from the same metasedimentary unit, the timing of xenon loss is variable. This suggests that the loss may be the result of variable degrees of metamictization from grain to grain. Inferred (Pu/U)o ratios show a general decrease with the discordancy between Pb-Pb and U-Xe ages. For the least discordant samples we infer (Pu/U)o </w:instrText>
      </w:r>
      <w:r w:rsidR="005A392A" w:rsidRPr="0084570B">
        <w:rPr>
          <w:rFonts w:ascii="Cambria Math" w:hAnsi="Cambria Math" w:cs="Cambria Math"/>
          <w:sz w:val="22"/>
          <w:szCs w:val="22"/>
          <w:lang w:val="en-US"/>
        </w:rPr>
        <w:instrText>∼</w:instrText>
      </w:r>
      <w:r w:rsidR="005A392A" w:rsidRPr="0084570B">
        <w:rPr>
          <w:rFonts w:ascii="Times New Roman" w:hAnsi="Times New Roman" w:cs="Times New Roman"/>
          <w:sz w:val="22"/>
          <w:szCs w:val="22"/>
          <w:lang w:val="en-US"/>
        </w:rPr>
        <w:instrText xml:space="preserve"> 0.008 which is close to the widely adopted chondritic value. While we cannot completely exclude the effects of Pu/U fractionation in magmatic and other processes between formation of the Earth and crystallisation of the zircons we conclude that they have been relatively small (&lt; factor 2?) and reflect the compatible behaviour of Pu and U in the 4+ valence state. © 2007 Elsevier B.V. All rights reserved.","author":[{"dropping-particle":"","family":"Turner","given":"Grenville","non-dropping-particle":"","parse-names":false,"suffix":""},{"dropping-particle":"","family":"Busfield","given":"Alli","non-dropping-particle":"","parse-names":false,"suffix":""},{"dropping-particle":"","family":"Crowther","given":"Sarah A.","non-dropping-particle":"","parse-names":false,"suffix":""},{"dropping-particle":"","family":"Harrison","given":"Mark","non-dropping-particle":"","parse-names":false,"suffix":""},{"dropping-particle":"","family":"Mojzsis","given":"Stephen J.","non-dropping-particle":"","parse-names":false,"suffix":""},{"dropping-particle":"","family":"Gilmour","given":"Jamie","non-dropping-particle":"","parse-names":false,"suffix":""}],"container-title":"Earth and Planetary Science Letters","id":"ITEM-1","issue":"3-4","issued":{"date-parts":[["2007"]]},"page":"491-499","title":"Pu-Xe, U-Xe, U-Pb chronology and isotope systematics of ancient zircons from Western Australia","type":"article-journal","volume":"261"},"uris":["http://www.mendeley.com/documents/?uuid=1aaebed5-4ac5-40ae-a237-529a3578c786"]}],"mendeley":{"formattedCitation":"&lt;sup&gt;10&lt;/sup&gt;","plainTextFormattedCitation":"10","previouslyFormattedCitation":"&lt;sup&gt;10&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5A392A" w:rsidRPr="0084570B">
        <w:rPr>
          <w:rFonts w:ascii="Times New Roman" w:hAnsi="Times New Roman" w:cs="Times New Roman"/>
          <w:noProof/>
          <w:sz w:val="22"/>
          <w:szCs w:val="22"/>
          <w:vertAlign w:val="superscript"/>
          <w:lang w:val="en-US"/>
        </w:rPr>
        <w:t>10</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lang w:val="en-US"/>
        </w:rPr>
        <w:t xml:space="preserve">. Thus, there is a strong case for revisiting the chondritic </w:t>
      </w:r>
      <w:r w:rsidR="005A392A" w:rsidRPr="0084570B">
        <w:rPr>
          <w:rFonts w:ascii="Times New Roman" w:eastAsia="Times New Roman" w:hAnsi="Times New Roman" w:cs="Times New Roman"/>
          <w:sz w:val="22"/>
          <w:szCs w:val="22"/>
          <w:lang w:val="en-US"/>
        </w:rPr>
        <w:t>(Pu/U)</w:t>
      </w:r>
      <w:r w:rsidR="005A392A" w:rsidRPr="0084570B">
        <w:rPr>
          <w:rFonts w:ascii="Times New Roman" w:eastAsia="Times New Roman" w:hAnsi="Times New Roman" w:cs="Times New Roman"/>
          <w:sz w:val="22"/>
          <w:szCs w:val="22"/>
          <w:vertAlign w:val="subscript"/>
          <w:lang w:val="en-US"/>
        </w:rPr>
        <w:t>0</w:t>
      </w:r>
      <w:r w:rsidR="005A392A" w:rsidRPr="0084570B">
        <w:rPr>
          <w:rFonts w:ascii="Times New Roman" w:eastAsia="Times New Roman" w:hAnsi="Times New Roman" w:cs="Times New Roman"/>
          <w:sz w:val="22"/>
          <w:szCs w:val="22"/>
          <w:lang w:val="en-US"/>
        </w:rPr>
        <w:t xml:space="preserve"> </w:t>
      </w:r>
      <w:r w:rsidR="005A392A" w:rsidRPr="0084570B">
        <w:rPr>
          <w:rFonts w:ascii="Times New Roman" w:hAnsi="Times New Roman" w:cs="Times New Roman"/>
          <w:sz w:val="22"/>
          <w:szCs w:val="22"/>
          <w:lang w:val="en-US"/>
        </w:rPr>
        <w:t>system</w:t>
      </w:r>
      <w:r w:rsidR="005A392A" w:rsidRPr="0084570B">
        <w:rPr>
          <w:rFonts w:ascii="Times New Roman" w:hAnsi="Times New Roman" w:cs="Times New Roman"/>
          <w:sz w:val="22"/>
          <w:szCs w:val="22"/>
          <w:lang w:val="en-US"/>
        </w:rPr>
        <w:fldChar w:fldCharType="begin" w:fldLock="1"/>
      </w:r>
      <w:r w:rsidR="005A392A" w:rsidRPr="0084570B">
        <w:rPr>
          <w:rFonts w:ascii="Times New Roman" w:hAnsi="Times New Roman" w:cs="Times New Roman"/>
          <w:sz w:val="22"/>
          <w:szCs w:val="22"/>
          <w:lang w:val="en-US"/>
        </w:rPr>
        <w:instrText xml:space="preserve">ADDIN CSL_CITATION {"citationItems":[{"id":"ITEM-1","itemData":{"DOI":"10.1016/j.epsl.2007.07.014","ISSN":"0012821X","abstract":"The presence of xenon isotopes from in-situ spontaneous fission of short-lived 244Pu has been confirmed in a suite of 16 Hadean detrital zircons from Western Australia. In order to investigate the effects of xenon loss on estimates of the inferred Pu/U ratio we have irradiated the zircons with thermal neutrons to generate Xe from 235U neutron fission. 131Xe/134Xe and 132Xe/134Xe ratios have been used to calculate the relative contributions from spontaneous fission of 244Pu and 238U and neutron fission of 235U and hence compare nominal Pu/U ratios and xenon retention ages. U-Xe ages are typically lower than the Pb-Pb ages, indicating that xenon loss is common. We show how the ternary mixing diagram can be used to place constraints on the timing and extent of this loss and to generate a corresponding Pu-U-Xe isochron. Although the zircons investigated in this study were extracted from the same metasedimentary unit, the timing of xenon loss is variable. This suggests that the loss may be the result of variable degrees of metamictization from grain to grain. Inferred (Pu/U)o ratios show a general decrease with the discordancy between Pb-Pb and U-Xe ages. For the least discordant samples we infer (Pu/U)o </w:instrText>
      </w:r>
      <w:r w:rsidR="005A392A" w:rsidRPr="0084570B">
        <w:rPr>
          <w:rFonts w:ascii="Cambria Math" w:hAnsi="Cambria Math" w:cs="Cambria Math"/>
          <w:sz w:val="22"/>
          <w:szCs w:val="22"/>
          <w:lang w:val="en-US"/>
        </w:rPr>
        <w:instrText>∼</w:instrText>
      </w:r>
      <w:r w:rsidR="005A392A" w:rsidRPr="0084570B">
        <w:rPr>
          <w:rFonts w:ascii="Times New Roman" w:hAnsi="Times New Roman" w:cs="Times New Roman"/>
          <w:sz w:val="22"/>
          <w:szCs w:val="22"/>
          <w:lang w:val="en-US"/>
        </w:rPr>
        <w:instrText xml:space="preserve"> 0.008 which is close to the widely adopted chondritic value. While we cannot completely exclude the effects of Pu/U fractionation in magmatic and other processes between formation of the Earth and crystallisation of the zircons we conclude that they have been relatively small (&lt; factor 2?) and reflect the compatible behaviour of Pu and U in the 4+ valence state. © 2007 Elsevier B.V. All rights reserved.","author":[{"dropping-particle":"","family":"Turner","given":"Grenville","non-dropping-particle":"","parse-names":false,"suffix":""},{"dropping-particle":"","family":"Busfield","given":"Alli","non-dropping-particle":"","parse-names":false,"suffix":""},{"dropping-particle":"","family":"Crowther","given":"Sarah A.","non-dropping-particle":"","parse-names":false,"suffix":""},{"dropping-particle":"","family":"Harrison","given":"Mark","non-dropping-particle":"","parse-names":false,"suffix":""},{"dropping-particle":"","family":"Mojzsis","given":"Stephen J.","non-dropping-particle":"","parse-names":false,"suffix":""},{"dropping-particle":"","family":"Gilmour","given":"Jamie","non-dropping-particle":"","parse-names":false,"suffix":""}],"container-title":"Earth and Planetary Science Letters","id":"ITEM-1","issue":"3-4","issued":{"date-parts":[["2007"]]},"page":"491-499","title":"Pu-Xe, U-Xe, U-Pb chronology and isotope systematics of ancient zircons from Western Australia","type":"article-journal","volume":"261"},"uris":["http://www.mendeley.com/documents/?uuid=1aaebed5-4ac5-40ae-a237-529a3578c786"]}],"mendeley":{"formattedCitation":"&lt;sup&gt;10&lt;/sup&gt;","plainTextFormattedCitation":"10","previouslyFormattedCitation":"&lt;sup&gt;10&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5A392A" w:rsidRPr="0084570B">
        <w:rPr>
          <w:rFonts w:ascii="Times New Roman" w:hAnsi="Times New Roman" w:cs="Times New Roman"/>
          <w:noProof/>
          <w:sz w:val="22"/>
          <w:szCs w:val="22"/>
          <w:vertAlign w:val="superscript"/>
          <w:lang w:val="en-US"/>
        </w:rPr>
        <w:t>10</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b/>
          <w:sz w:val="22"/>
          <w:szCs w:val="22"/>
          <w:lang w:val="en-US"/>
        </w:rPr>
        <w:t xml:space="preserve"> </w:t>
      </w:r>
      <w:r w:rsidR="005A392A" w:rsidRPr="0084570B">
        <w:rPr>
          <w:rFonts w:ascii="Times New Roman" w:hAnsi="Times New Roman" w:cs="Times New Roman"/>
          <w:sz w:val="22"/>
          <w:szCs w:val="22"/>
          <w:lang w:val="en-US"/>
        </w:rPr>
        <w:t xml:space="preserve">and improving our understanding of the internal and external variability of Pu/U in chondritic and planetary objects. </w:t>
      </w:r>
      <w:r w:rsidR="005A392A" w:rsidRPr="0084570B">
        <w:rPr>
          <w:rFonts w:ascii="Times New Roman" w:eastAsia="Times New Roman" w:hAnsi="Times New Roman" w:cs="Times New Roman"/>
          <w:sz w:val="22"/>
          <w:szCs w:val="22"/>
          <w:lang w:val="en-US"/>
        </w:rPr>
        <w:t>Xe</w:t>
      </w:r>
      <w:r w:rsidR="005A392A" w:rsidRPr="0084570B">
        <w:rPr>
          <w:rFonts w:ascii="Times New Roman" w:hAnsi="Times New Roman" w:cs="Times New Roman"/>
          <w:sz w:val="22"/>
          <w:szCs w:val="22"/>
          <w:lang w:val="en-US"/>
        </w:rPr>
        <w:t xml:space="preserve"> loss from zircons is an</w:t>
      </w:r>
      <w:r w:rsidR="005A392A" w:rsidRPr="0084570B">
        <w:rPr>
          <w:rFonts w:ascii="Times New Roman" w:eastAsia="Times New Roman" w:hAnsi="Times New Roman" w:cs="Times New Roman"/>
          <w:sz w:val="22"/>
          <w:szCs w:val="22"/>
          <w:lang w:val="en-US"/>
        </w:rPr>
        <w:t xml:space="preserve"> obvious potential cause for low apparent </w:t>
      </w:r>
      <w:r w:rsidR="005A392A" w:rsidRPr="0084570B">
        <w:rPr>
          <w:rFonts w:ascii="Times New Roman" w:hAnsi="Times New Roman" w:cs="Times New Roman"/>
          <w:sz w:val="22"/>
          <w:szCs w:val="22"/>
          <w:lang w:val="en-US"/>
        </w:rPr>
        <w:t>(Pu/U)</w:t>
      </w:r>
      <w:r w:rsidR="005A392A" w:rsidRPr="0084570B">
        <w:rPr>
          <w:rFonts w:ascii="Times New Roman" w:hAnsi="Times New Roman" w:cs="Times New Roman"/>
          <w:sz w:val="22"/>
          <w:szCs w:val="22"/>
          <w:vertAlign w:val="subscript"/>
          <w:lang w:val="en-US"/>
        </w:rPr>
        <w:t>0</w:t>
      </w:r>
      <w:r w:rsidR="001F13CF" w:rsidRPr="0084570B">
        <w:rPr>
          <w:rFonts w:ascii="Times New Roman" w:eastAsia="Times New Roman" w:hAnsi="Times New Roman" w:cs="Times New Roman"/>
          <w:sz w:val="22"/>
          <w:szCs w:val="22"/>
          <w:lang w:val="en-US"/>
        </w:rPr>
        <w:t xml:space="preserve">: </w:t>
      </w:r>
      <w:r w:rsidR="005A392A" w:rsidRPr="0084570B">
        <w:rPr>
          <w:rFonts w:ascii="Times New Roman" w:eastAsia="Times New Roman" w:hAnsi="Times New Roman" w:cs="Times New Roman"/>
          <w:sz w:val="22"/>
          <w:szCs w:val="22"/>
          <w:lang w:val="en-US"/>
        </w:rPr>
        <w:t xml:space="preserve">a total Xe loss from a zircon once Pu has become extinct would naturally produce </w:t>
      </w:r>
      <w:r w:rsidR="005A392A" w:rsidRPr="0084570B">
        <w:rPr>
          <w:rFonts w:ascii="Times New Roman" w:hAnsi="Times New Roman" w:cs="Times New Roman"/>
          <w:sz w:val="22"/>
          <w:szCs w:val="22"/>
          <w:lang w:val="en-US"/>
        </w:rPr>
        <w:t>(Pu/U)</w:t>
      </w:r>
      <w:r w:rsidR="005A392A" w:rsidRPr="0084570B">
        <w:rPr>
          <w:rFonts w:ascii="Times New Roman" w:hAnsi="Times New Roman" w:cs="Times New Roman"/>
          <w:sz w:val="22"/>
          <w:szCs w:val="22"/>
          <w:vertAlign w:val="subscript"/>
          <w:lang w:val="en-US"/>
        </w:rPr>
        <w:t xml:space="preserve">0 </w:t>
      </w:r>
      <w:r w:rsidR="005A392A" w:rsidRPr="0084570B">
        <w:rPr>
          <w:rFonts w:ascii="Times New Roman" w:eastAsia="Times New Roman" w:hAnsi="Times New Roman" w:cs="Times New Roman"/>
          <w:sz w:val="22"/>
          <w:szCs w:val="22"/>
          <w:lang w:val="en-US"/>
        </w:rPr>
        <w:t>~ 0, and uranium-xenon ages equal to the time of Xe loss. T</w:t>
      </w:r>
      <w:r w:rsidR="005A392A" w:rsidRPr="0084570B">
        <w:rPr>
          <w:rFonts w:ascii="Times New Roman" w:hAnsi="Times New Roman" w:cs="Times New Roman"/>
          <w:sz w:val="22"/>
          <w:szCs w:val="22"/>
          <w:lang w:val="en-US"/>
        </w:rPr>
        <w:t>he extent of apparent (Pu/U)</w:t>
      </w:r>
      <w:r w:rsidR="005A392A" w:rsidRPr="0084570B">
        <w:rPr>
          <w:rFonts w:ascii="Times New Roman" w:hAnsi="Times New Roman" w:cs="Times New Roman"/>
          <w:sz w:val="22"/>
          <w:szCs w:val="22"/>
          <w:vertAlign w:val="subscript"/>
          <w:lang w:val="en-US"/>
        </w:rPr>
        <w:t>0</w:t>
      </w:r>
      <w:r w:rsidR="005A392A" w:rsidRPr="0084570B">
        <w:rPr>
          <w:rFonts w:ascii="Times New Roman" w:hAnsi="Times New Roman" w:cs="Times New Roman"/>
          <w:sz w:val="22"/>
          <w:szCs w:val="22"/>
          <w:lang w:val="en-US"/>
        </w:rPr>
        <w:t xml:space="preserve"> lowering thus depends on the timing of Xe loss: while a recent loss would preserve the (Pu/U)</w:t>
      </w:r>
      <w:r w:rsidR="005A392A" w:rsidRPr="0084570B">
        <w:rPr>
          <w:rFonts w:ascii="Times New Roman" w:hAnsi="Times New Roman" w:cs="Times New Roman"/>
          <w:sz w:val="22"/>
          <w:szCs w:val="22"/>
          <w:vertAlign w:val="subscript"/>
          <w:lang w:val="en-US"/>
        </w:rPr>
        <w:t>0</w:t>
      </w:r>
      <w:r w:rsidR="005A392A" w:rsidRPr="0084570B">
        <w:rPr>
          <w:rFonts w:ascii="Times New Roman" w:hAnsi="Times New Roman" w:cs="Times New Roman"/>
          <w:sz w:val="22"/>
          <w:szCs w:val="22"/>
          <w:lang w:val="en-US"/>
        </w:rPr>
        <w:t xml:space="preserve"> information, ancient losses (within the first 500 Myr of terrestrial evolution) would lead to significant lowering of the apparent (Pu/U)</w:t>
      </w:r>
      <w:r w:rsidR="005A392A" w:rsidRPr="0084570B">
        <w:rPr>
          <w:rFonts w:ascii="Times New Roman" w:hAnsi="Times New Roman" w:cs="Times New Roman"/>
          <w:sz w:val="22"/>
          <w:szCs w:val="22"/>
          <w:vertAlign w:val="subscript"/>
          <w:lang w:val="en-US"/>
        </w:rPr>
        <w:t>0</w:t>
      </w:r>
      <w:r w:rsidR="005A392A" w:rsidRPr="0084570B">
        <w:rPr>
          <w:rFonts w:ascii="Times New Roman" w:hAnsi="Times New Roman" w:cs="Times New Roman"/>
          <w:sz w:val="22"/>
          <w:szCs w:val="22"/>
          <w:vertAlign w:val="subscript"/>
          <w:lang w:val="en-US"/>
        </w:rPr>
        <w:fldChar w:fldCharType="begin" w:fldLock="1"/>
      </w:r>
      <w:r w:rsidR="003376B3">
        <w:rPr>
          <w:rFonts w:ascii="Times New Roman" w:hAnsi="Times New Roman" w:cs="Times New Roman"/>
          <w:sz w:val="22"/>
          <w:szCs w:val="22"/>
          <w:vertAlign w:val="subscript"/>
          <w:lang w:val="en-US"/>
        </w:rPr>
        <w:instrText>ADDIN CSL_CITATION {"citationItems":[{"id":"ITEM-1","itemData":{"ISBN":"0036-8075","PMID":"224304000041","author":[{"dropping-particle":"","family":"Turner","given":"G","non-dropping-particle":"","parse-names":false,"suffix":""},{"dropping-particle":"","family":"Harrison","given":"T Mark","non-dropping-particle":"","parse-names":false,"suffix":""},{"dropping-particle":"","family":"Holland","given":"G","non-dropping-particle":"","parse-names":false,"suffix":""},{"dropping-particle":"","family":"Mojzsis","given":"S J","non-dropping-particle":"","parse-names":false,"suffix":""},{"dropping-particle":"","family":"Gilmour","given":"J","non-dropping-particle":"","parse-names":false,"suffix":""}],"container-title":"Science","id":"ITEM-1","issue":"5693","issued":{"date-parts":[["2004"]]},"page":"89-91","title":"Extinct Pu-244 in ancient zircons","type":"article-journal","volume":"306"},"uris":["http://www.mendeley.com/documents/?uuid=a10cad04-9ded-4aac-85b5-90d435951635"]}],"mendeley":{"formattedCitation":"&lt;sup&gt;134&lt;/sup&gt;","plainTextFormattedCitation":"134","previouslyFormattedCitation":"&lt;sup&gt;134&lt;/sup&gt;"},"properties":{"noteIndex":0},"schema":"https://github.com/citation-style-language/schema/raw/master/csl-citation.json"}</w:instrText>
      </w:r>
      <w:r w:rsidR="005A392A" w:rsidRPr="0084570B">
        <w:rPr>
          <w:rFonts w:ascii="Times New Roman" w:hAnsi="Times New Roman" w:cs="Times New Roman"/>
          <w:sz w:val="22"/>
          <w:szCs w:val="22"/>
          <w:vertAlign w:val="subscript"/>
          <w:lang w:val="en-US"/>
        </w:rPr>
        <w:fldChar w:fldCharType="separate"/>
      </w:r>
      <w:r w:rsidR="00253A47" w:rsidRPr="00253A47">
        <w:rPr>
          <w:rFonts w:ascii="Times New Roman" w:hAnsi="Times New Roman" w:cs="Times New Roman"/>
          <w:noProof/>
          <w:sz w:val="22"/>
          <w:szCs w:val="22"/>
          <w:vertAlign w:val="superscript"/>
          <w:lang w:val="en-US"/>
        </w:rPr>
        <w:t>134</w:t>
      </w:r>
      <w:r w:rsidR="005A392A" w:rsidRPr="0084570B">
        <w:rPr>
          <w:rFonts w:ascii="Times New Roman" w:hAnsi="Times New Roman" w:cs="Times New Roman"/>
          <w:sz w:val="22"/>
          <w:szCs w:val="22"/>
          <w:vertAlign w:val="subscript"/>
          <w:lang w:val="en-US"/>
        </w:rPr>
        <w:fldChar w:fldCharType="end"/>
      </w:r>
      <w:r w:rsidR="005A392A" w:rsidRPr="0084570B">
        <w:rPr>
          <w:rFonts w:ascii="Times New Roman" w:hAnsi="Times New Roman" w:cs="Times New Roman"/>
          <w:sz w:val="22"/>
          <w:szCs w:val="22"/>
          <w:lang w:val="en-US"/>
        </w:rPr>
        <w:t>.</w:t>
      </w:r>
      <w:r w:rsidR="001F13CF" w:rsidRPr="0084570B">
        <w:rPr>
          <w:rFonts w:ascii="Times New Roman" w:hAnsi="Times New Roman" w:cs="Times New Roman"/>
          <w:sz w:val="22"/>
          <w:szCs w:val="22"/>
          <w:lang w:val="en-US"/>
        </w:rPr>
        <w:t xml:space="preserve"> Overall, available (Pu/U)</w:t>
      </w:r>
      <w:r w:rsidR="001F13CF" w:rsidRPr="0084570B">
        <w:rPr>
          <w:rFonts w:ascii="Times New Roman" w:hAnsi="Times New Roman" w:cs="Times New Roman"/>
          <w:sz w:val="22"/>
          <w:szCs w:val="22"/>
          <w:vertAlign w:val="subscript"/>
          <w:lang w:val="en-US"/>
        </w:rPr>
        <w:t>0</w:t>
      </w:r>
      <w:r w:rsidR="001F13CF" w:rsidRPr="0084570B">
        <w:rPr>
          <w:rFonts w:ascii="Times New Roman" w:hAnsi="Times New Roman" w:cs="Times New Roman"/>
          <w:sz w:val="22"/>
          <w:szCs w:val="22"/>
          <w:lang w:val="en-US"/>
        </w:rPr>
        <w:t xml:space="preserve"> data from Hadean zircons suggest that Pu/U fractionation during magmatic and/or aqueous processes between </w:t>
      </w:r>
      <w:r w:rsidR="001F13CF" w:rsidRPr="0084570B">
        <w:rPr>
          <w:rFonts w:ascii="Times New Roman" w:hAnsi="Times New Roman" w:cs="Times New Roman"/>
          <w:sz w:val="22"/>
          <w:szCs w:val="22"/>
          <w:lang w:val="en-US"/>
        </w:rPr>
        <w:lastRenderedPageBreak/>
        <w:t>Earth's formation and crystallization of the zircons was relatively small (&lt; factor 2)</w:t>
      </w:r>
      <w:r w:rsidR="001F13CF" w:rsidRPr="0084570B">
        <w:rPr>
          <w:rFonts w:ascii="Times New Roman" w:hAnsi="Times New Roman" w:cs="Times New Roman"/>
          <w:sz w:val="22"/>
          <w:szCs w:val="22"/>
          <w:lang w:val="en-US"/>
        </w:rPr>
        <w:fldChar w:fldCharType="begin" w:fldLock="1"/>
      </w:r>
      <w:r w:rsidR="001F13CF" w:rsidRPr="0084570B">
        <w:rPr>
          <w:rFonts w:ascii="Times New Roman" w:hAnsi="Times New Roman" w:cs="Times New Roman"/>
          <w:sz w:val="22"/>
          <w:szCs w:val="22"/>
          <w:lang w:val="en-US"/>
        </w:rPr>
        <w:instrText xml:space="preserve">ADDIN CSL_CITATION {"citationItems":[{"id":"ITEM-1","itemData":{"DOI":"10.1016/j.epsl.2007.07.014","ISSN":"0012821X","abstract":"The presence of xenon isotopes from in-situ spontaneous fission of short-lived 244Pu has been confirmed in a suite of 16 Hadean detrital zircons from Western Australia. In order to investigate the effects of xenon loss on estimates of the inferred Pu/U ratio we have irradiated the zircons with thermal neutrons to generate Xe from 235U neutron fission. 131Xe/134Xe and 132Xe/134Xe ratios have been used to calculate the relative contributions from spontaneous fission of 244Pu and 238U and neutron fission of 235U and hence compare nominal Pu/U ratios and xenon retention ages. U-Xe ages are typically lower than the Pb-Pb ages, indicating that xenon loss is common. We show how the ternary mixing diagram can be used to place constraints on the timing and extent of this loss and to generate a corresponding Pu-U-Xe isochron. Although the zircons investigated in this study were extracted from the same metasedimentary unit, the timing of xenon loss is variable. This suggests that the loss may be the result of variable degrees of metamictization from grain to grain. Inferred (Pu/U)o ratios show a general decrease with the discordancy between Pb-Pb and U-Xe ages. For the least discordant samples we infer (Pu/U)o </w:instrText>
      </w:r>
      <w:r w:rsidR="001F13CF" w:rsidRPr="0084570B">
        <w:rPr>
          <w:rFonts w:ascii="Cambria Math" w:hAnsi="Cambria Math" w:cs="Cambria Math"/>
          <w:sz w:val="22"/>
          <w:szCs w:val="22"/>
          <w:lang w:val="en-US"/>
        </w:rPr>
        <w:instrText>∼</w:instrText>
      </w:r>
      <w:r w:rsidR="001F13CF" w:rsidRPr="0084570B">
        <w:rPr>
          <w:rFonts w:ascii="Times New Roman" w:hAnsi="Times New Roman" w:cs="Times New Roman"/>
          <w:sz w:val="22"/>
          <w:szCs w:val="22"/>
          <w:lang w:val="en-US"/>
        </w:rPr>
        <w:instrText xml:space="preserve"> 0.008 which is close to the widely adopted chondritic value. While we cannot completely exclude the effects of Pu/U fractionation in magmatic and other processes between formation of the Earth and crystallisation of the zircons we conclude that they have been relatively small (&lt; factor 2?) and reflect the compatible behaviour of Pu and U in the 4+ valence state. © 2007 Elsevier B.V. All rights reserved.","author":[{"dropping-particle":"","family":"Turner","given":"Grenville","non-dropping-particle":"","parse-names":false,"suffix":""},{"dropping-particle":"","family":"Busfield","given":"Alli","non-dropping-particle":"","parse-names":false,"suffix":""},{"dropping-particle":"","family":"Crowther","given":"Sarah A.","non-dropping-particle":"","parse-names":false,"suffix":""},{"dropping-particle":"","family":"Harrison","given":"Mark","non-dropping-particle":"","parse-names":false,"suffix":""},{"dropping-particle":"","family":"Mojzsis","given":"Stephen J.","non-dropping-particle":"","parse-names":false,"suffix":""},{"dropping-particle":"","family":"Gilmour","given":"Jamie","non-dropping-particle":"","parse-names":false,"suffix":""}],"container-title":"Earth and Planetary Science Letters","id":"ITEM-1","issue":"3-4","issued":{"date-parts":[["2007"]]},"page":"491-499","title":"Pu-Xe, U-Xe, U-Pb chronology and isotope systematics of ancient zircons from Western Australia","type":"article-journal","volume":"261"},"uris":["http://www.mendeley.com/documents/?uuid=1aaebed5-4ac5-40ae-a237-529a3578c786"]}],"mendeley":{"formattedCitation":"&lt;sup&gt;10&lt;/sup&gt;","plainTextFormattedCitation":"10","previouslyFormattedCitation":"&lt;sup&gt;10&lt;/sup&gt;"},"properties":{"noteIndex":0},"schema":"https://github.com/citation-style-language/schema/raw/master/csl-citation.json"}</w:instrText>
      </w:r>
      <w:r w:rsidR="001F13CF" w:rsidRPr="0084570B">
        <w:rPr>
          <w:rFonts w:ascii="Times New Roman" w:hAnsi="Times New Roman" w:cs="Times New Roman"/>
          <w:sz w:val="22"/>
          <w:szCs w:val="22"/>
          <w:lang w:val="en-US"/>
        </w:rPr>
        <w:fldChar w:fldCharType="separate"/>
      </w:r>
      <w:r w:rsidR="001F13CF" w:rsidRPr="0084570B">
        <w:rPr>
          <w:rFonts w:ascii="Times New Roman" w:hAnsi="Times New Roman" w:cs="Times New Roman"/>
          <w:noProof/>
          <w:sz w:val="22"/>
          <w:szCs w:val="22"/>
          <w:vertAlign w:val="superscript"/>
          <w:lang w:val="en-US"/>
        </w:rPr>
        <w:t>10</w:t>
      </w:r>
      <w:r w:rsidR="001F13CF" w:rsidRPr="0084570B">
        <w:rPr>
          <w:rFonts w:ascii="Times New Roman" w:hAnsi="Times New Roman" w:cs="Times New Roman"/>
          <w:sz w:val="22"/>
          <w:szCs w:val="22"/>
          <w:lang w:val="en-US"/>
        </w:rPr>
        <w:fldChar w:fldCharType="end"/>
      </w:r>
      <w:r w:rsidR="001F13CF" w:rsidRPr="0084570B">
        <w:rPr>
          <w:rFonts w:ascii="Times New Roman" w:hAnsi="Times New Roman" w:cs="Times New Roman"/>
          <w:sz w:val="22"/>
          <w:szCs w:val="22"/>
          <w:lang w:val="en-US"/>
        </w:rPr>
        <w:t>. In studies of both meteorites</w:t>
      </w:r>
      <w:r w:rsidR="001F13CF"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{"citationItems":[{"id":"ITEM-1","itemData":{"DOI":"10.1016/0012-821X(77)90131-5","ISSN":"0012821X","abstract":"We have studied SmNd systematics in pyroxene and phosphate mineral separates of Angra dos Reis. A pyroxene-phosphate internal isochron age of T2 = 4.55 ± 0.04 AE is obtained, in excellent agreement with reported Pb-Pb ages. 142Nd/144Nd ratios in pyroxene samples are systematically larger than those in phosphates by 6 parts in 105. This variation is tentatively assigned to a radiogenic contribution from extinct 146Sm. Fission xenon components in pyroxene and phosphate separates are characterized by discrete ratios of fission/spallation and evidence is presented for a third ratio in celsian. It is shown that this characteristic is due to a close association of 244Pu with the light REE. Computed ratios 244Pu/Nd are the same in pyroxene and phosphate separates, but 244Pu/238U and 244Pu/232Th ratios are not. Taking the fission xenon retention age to be 4.55 AE, we obtain an abundance ratio 244Pu/Nd = 1.5 × 10-4 (or an atomic ratio 244Pu/150Nd = 1.6 × 10-3) at this time and in the region of the solar system where the Angra dos Reis parent body formed. The exposure age of Angra dos Reis, as obtained by the 81Kr-83Kr method is 55.5 ± 1.2 m.y. Neutron capture during the 55.5-m.y. exposure to cosmic rays increased the ratio 150Sm/149Sm in Angra dos Reis by 6 parts in 104. © 1977.","author":[{"dropping-particle":"","family":"Lugmair","given":"G. W.","non-dropping-particle":"","parse-names":false,"suffix":""},{"dropping-particle":"","family":"Marti","given":"K.","non-dropping-particle":"","parse-names":false,"suffix":""}],"container-title":"Earth and Planetary Science Letters","id":"ITEM-1","issue":"2","issued":{"date-parts":[["1977"]]},"page":"273-284","title":"SmNdPu timepieces in the Angra dos Reis meteorite","type":"article-journal","volume":"35"},"uris":["http://www.mendeley.com/documents/?uuid=49d2511a-44c9-4bdd-8686-da8f86e80953"]}],"mendeley":{"formattedCitation":"&lt;sup&gt;135&lt;/sup&gt;","plainTextFormattedCitation":"135","previouslyFormattedCitation":"&lt;sup&gt;135&lt;/sup&gt;"},"properties":{"noteIndex":0},"schema":"https://github.com/citation-style-language/schema/raw/master/csl-citation.json"}</w:instrText>
      </w:r>
      <w:r w:rsidR="001F13CF"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135</w:t>
      </w:r>
      <w:r w:rsidR="001F13CF" w:rsidRPr="0084570B">
        <w:rPr>
          <w:rFonts w:ascii="Times New Roman" w:hAnsi="Times New Roman" w:cs="Times New Roman"/>
          <w:sz w:val="22"/>
          <w:szCs w:val="22"/>
          <w:lang w:val="en-US"/>
        </w:rPr>
        <w:fldChar w:fldCharType="end"/>
      </w:r>
      <w:r w:rsidR="001F13CF" w:rsidRPr="0084570B">
        <w:rPr>
          <w:rFonts w:ascii="Times New Roman" w:hAnsi="Times New Roman" w:cs="Times New Roman"/>
          <w:sz w:val="22"/>
          <w:szCs w:val="22"/>
          <w:vertAlign w:val="superscript"/>
          <w:lang w:val="en-US"/>
        </w:rPr>
        <w:t>,</w:t>
      </w:r>
      <w:r w:rsidR="001F13CF" w:rsidRPr="0084570B">
        <w:rPr>
          <w:rFonts w:ascii="Times New Roman" w:hAnsi="Times New Roman" w:cs="Times New Roman"/>
          <w:sz w:val="22"/>
          <w:szCs w:val="22"/>
          <w:vertAlign w:val="superscript"/>
          <w:lang w:val="en-US"/>
        </w:rPr>
        <w:fldChar w:fldCharType="begin" w:fldLock="1"/>
      </w:r>
      <w:r w:rsidR="003376B3">
        <w:rPr>
          <w:rFonts w:ascii="Times New Roman" w:hAnsi="Times New Roman" w:cs="Times New Roman"/>
          <w:sz w:val="22"/>
          <w:szCs w:val="22"/>
          <w:vertAlign w:val="superscript"/>
          <w:lang w:val="en-US"/>
        </w:rPr>
        <w:instrText>ADDIN CSL_CITATION {"citationItems":[{"id":"ITEM-1","itemData":{"author":[{"dropping-particle":"","family":"Wasserburg","given":"G.J.","non-dropping-particle":"","parse-names":false,"suffix":""},{"dropping-particle":"","family":"Tera","given":"Fouad","non-dropping-particle":"","parse-names":false,"suffix":""},{"dropping-particle":"","family":"Papanastassiou","given":"D.A.","non-dropping-particle":"","parse-names":false,"suffix":""},{"dropping-particle":"","family":"Huneke","given":"J.C.","non-dropping-particle":"","parse-names":false,"suffix":""}],"container-title":"Earth and Planetary Science Letters","id":"ITEM-1","issued":{"date-parts":[["1977"]]},"page":"294-316","title":"Isotopic and chemical investigations on Angra Dos Reis","type":"article-journal","volume":"35"},"uris":["http://www.mendeley.com/documents/?uuid=1358abc9-5110-42f3-a2c6-2067bb592551"]}],"mendeley":{"formattedCitation":"&lt;sup&gt;136&lt;/sup&gt;","plainTextFormattedCitation":"136","previouslyFormattedCitation":"&lt;sup&gt;136&lt;/sup&gt;"},"properties":{"noteIndex":0},"schema":"https://github.com/citation-style-language/schema/raw/master/csl-citation.json"}</w:instrText>
      </w:r>
      <w:r w:rsidR="001F13CF" w:rsidRPr="0084570B">
        <w:rPr>
          <w:rFonts w:ascii="Times New Roman" w:hAnsi="Times New Roman" w:cs="Times New Roman"/>
          <w:sz w:val="22"/>
          <w:szCs w:val="22"/>
          <w:vertAlign w:val="superscript"/>
          <w:lang w:val="en-US"/>
        </w:rPr>
        <w:fldChar w:fldCharType="separate"/>
      </w:r>
      <w:r w:rsidR="00253A47" w:rsidRPr="00253A47">
        <w:rPr>
          <w:rFonts w:ascii="Times New Roman" w:hAnsi="Times New Roman" w:cs="Times New Roman"/>
          <w:noProof/>
          <w:sz w:val="22"/>
          <w:szCs w:val="22"/>
          <w:vertAlign w:val="superscript"/>
          <w:lang w:val="en-US"/>
        </w:rPr>
        <w:t>136</w:t>
      </w:r>
      <w:r w:rsidR="001F13CF" w:rsidRPr="0084570B">
        <w:rPr>
          <w:rFonts w:ascii="Times New Roman" w:hAnsi="Times New Roman" w:cs="Times New Roman"/>
          <w:sz w:val="22"/>
          <w:szCs w:val="22"/>
          <w:vertAlign w:val="superscript"/>
          <w:lang w:val="en-US"/>
        </w:rPr>
        <w:fldChar w:fldCharType="end"/>
      </w:r>
      <w:r w:rsidR="001F13CF" w:rsidRPr="0084570B">
        <w:rPr>
          <w:rFonts w:ascii="Times New Roman" w:hAnsi="Times New Roman" w:cs="Times New Roman"/>
          <w:sz w:val="22"/>
          <w:szCs w:val="22"/>
          <w:lang w:val="en-US"/>
        </w:rPr>
        <w:t xml:space="preserve"> and nuclear materials</w:t>
      </w:r>
      <w:r w:rsidR="001F13CF"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{"citationItems":[{"id":"ITEM-1","itemData":{"author":[{"dropping-particle":"","family":"Koelling","given":"D. D.","non-dropping-particle":"","parse-names":false,"suffix":""}],"container-title":"Physica B+ C","id":"ITEM-1","issued":{"date-parts":[["1985"]]},"title":"Cerium compounds in the fashion of the light actinides.","type":"article-journal","volume":"130(1-3),"},"uris":["http://www.mendeley.com/documents/?uuid=fe0fd6e1-fc28-4b1c-94cc-b31b825db4bc"]}],"mendeley":{"formattedCitation":"&lt;sup&gt;137&lt;/sup&gt;","plainTextFormattedCitation":"137","previouslyFormattedCitation":"&lt;sup&gt;137&lt;/sup&gt;"},"properties":{"noteIndex":0},"schema":"https://github.com/citation-style-language/schema/raw/master/csl-citation.json"}</w:instrText>
      </w:r>
      <w:r w:rsidR="001F13CF"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137</w:t>
      </w:r>
      <w:r w:rsidR="001F13CF" w:rsidRPr="0084570B">
        <w:rPr>
          <w:rFonts w:ascii="Times New Roman" w:hAnsi="Times New Roman" w:cs="Times New Roman"/>
          <w:sz w:val="22"/>
          <w:szCs w:val="22"/>
          <w:lang w:val="en-US"/>
        </w:rPr>
        <w:fldChar w:fldCharType="end"/>
      </w:r>
      <w:r w:rsidR="001F13CF" w:rsidRPr="0084570B">
        <w:rPr>
          <w:rFonts w:ascii="Times New Roman" w:hAnsi="Times New Roman" w:cs="Times New Roman"/>
          <w:sz w:val="22"/>
          <w:szCs w:val="22"/>
          <w:lang w:val="en-US"/>
        </w:rPr>
        <w:t>, Pu is commonly considered similar in chemistry to the light rare earth elements</w:t>
      </w:r>
      <w:r w:rsidR="001F13CF"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{"citationItems":[{"id":"ITEM-1","itemData":{"DOI":"10.1016/0016-7037(87)90091-3","ISSN":"00167037","abstract":"The partitioning of Pu and Sm between diopside/liquid and whitlockite/liquid has been investigated experimentally to evaluate the geochemical coherence of Pu and the light REEs. PuDSmD is 2̃ for both diopsidic pyroxene and whitlockite. This small amount of fractionation would be decreased further if Pu were compared to Ce or Nd. Our experimental results thus validate the suggestion that Pu behaves as a LREE during igneous processes in reducing environments. Our data and the data of Ray et al. (1983) indicate that temperature rather than melt composition is the most important control on elemental partitioning. This is true even though we demonstrate that additions of only 1-2 wt.% of P2O5 to the diopside-anorthite-albite system change PuDcpx by a factor of two. Our data suggest that P2O5 in aluminosilicate melts serves as a complexing agent for the actinides and lanthanides. © 1987.","author":[{"dropping-particle":"","family":"Jones","given":"John H.","non-dropping-particle":"","parse-names":false,"suffix":""},{"dropping-particle":"","family":"Burnett","given":"Donald S.","non-dropping-particle":"","parse-names":false,"suffix":""}],"container-title":"Geochimica et Cosmochimica Acta","id":"ITEM-1","issue":"4","issued":{"date-parts":[["1987"]]},"page":"769-782","title":"Experimental geochemistry of Pu and Sm and the thermodynamics of trace element partitioning","type":"article-journal","volume":"51"},"uris":["http://www.mendeley.com/documents/?uuid=1e3fef2b-4384-4bd3-9dc2-1c7b32ecb2f4"]}],"mendeley":{"formattedCitation":"&lt;sup&gt;138&lt;/sup&gt;","plainTextFormattedCitation":"138","previouslyFormattedCitation":"&lt;sup&gt;138&lt;/sup&gt;"},"properties":{"noteIndex":0},"schema":"https://github.com/citation-style-language/schema/raw/master/csl-citation.json"}</w:instrText>
      </w:r>
      <w:r w:rsidR="001F13CF"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138</w:t>
      </w:r>
      <w:r w:rsidR="001F13CF" w:rsidRPr="0084570B">
        <w:rPr>
          <w:rFonts w:ascii="Times New Roman" w:hAnsi="Times New Roman" w:cs="Times New Roman"/>
          <w:sz w:val="22"/>
          <w:szCs w:val="22"/>
          <w:lang w:val="en-US"/>
        </w:rPr>
        <w:fldChar w:fldCharType="end"/>
      </w:r>
      <w:r w:rsidR="001F13CF" w:rsidRPr="0084570B">
        <w:rPr>
          <w:rFonts w:ascii="Times New Roman" w:hAnsi="Times New Roman" w:cs="Times New Roman"/>
          <w:sz w:val="22"/>
          <w:szCs w:val="22"/>
          <w:lang w:val="en-US"/>
        </w:rPr>
        <w:t xml:space="preserve">. </w:t>
      </w:r>
      <w:r w:rsidR="005A392A" w:rsidRPr="0084570B">
        <w:rPr>
          <w:rFonts w:ascii="Times New Roman" w:hAnsi="Times New Roman" w:cs="Times New Roman"/>
          <w:sz w:val="22"/>
          <w:szCs w:val="22"/>
          <w:lang w:val="en-US"/>
        </w:rPr>
        <w:t xml:space="preserve">However, our understanding of the geochemical behaviour of Pu in terrestrial settings, and the potential for significant fractionation of the Pu/U during aqueous and magmatic processes associated with the formation and evolution of the Hadean crust, </w:t>
      </w:r>
      <w:r w:rsidR="001F13CF" w:rsidRPr="0084570B">
        <w:rPr>
          <w:rFonts w:ascii="Times New Roman" w:hAnsi="Times New Roman" w:cs="Times New Roman"/>
          <w:sz w:val="22"/>
          <w:szCs w:val="22"/>
          <w:lang w:val="en-US"/>
        </w:rPr>
        <w:t>is</w:t>
      </w:r>
      <w:r w:rsidR="005A392A" w:rsidRPr="0084570B">
        <w:rPr>
          <w:rFonts w:ascii="Times New Roman" w:hAnsi="Times New Roman" w:cs="Times New Roman"/>
          <w:sz w:val="22"/>
          <w:szCs w:val="22"/>
          <w:lang w:val="en-US"/>
        </w:rPr>
        <w:t xml:space="preserve"> greatly hampered by the lack of extant natural Pu since about 4 Gyr.</w:t>
      </w:r>
      <w:r w:rsidR="005A392A" w:rsidRPr="0084570B">
        <w:rPr>
          <w:rFonts w:ascii="Times New Roman" w:hAnsi="Times New Roman" w:cs="Times New Roman"/>
          <w:sz w:val="23"/>
          <w:szCs w:val="23"/>
          <w:lang w:val="en-US"/>
        </w:rPr>
        <w:t xml:space="preserve"> </w:t>
      </w:r>
      <w:r w:rsidR="005A392A" w:rsidRPr="0084570B">
        <w:rPr>
          <w:rFonts w:ascii="Times New Roman" w:hAnsi="Times New Roman" w:cs="Times New Roman"/>
          <w:sz w:val="22"/>
          <w:szCs w:val="22"/>
          <w:lang w:val="en-US"/>
        </w:rPr>
        <w:t xml:space="preserve">For example, </w:t>
      </w:r>
      <w:r w:rsidR="005A392A" w:rsidRPr="0084570B">
        <w:rPr>
          <w:rFonts w:ascii="Times New Roman" w:eastAsia="Times New Roman" w:hAnsi="Times New Roman" w:cs="Times New Roman"/>
          <w:sz w:val="22"/>
          <w:szCs w:val="22"/>
          <w:lang w:val="en-US"/>
        </w:rPr>
        <w:t>in a scenario involving wet magma ocean(s) during the Earth’s differentiation (as proposed to account for the halogen budget of the mantle</w:t>
      </w:r>
      <w:r w:rsidR="005A392A"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{"citationItems":[{"id":"ITEM-1","itemData":{"DOI":"10.1016/j.gca.2015.10.017","ISSN":"00167037","abstract":"We have monitored iodine degassing from a melt to a water vapor during decompression (i.e. magma ascent). Experiments have been performed by combining diamond anvil cells experiments with synchrotron X-rays fluorescence analysis. Partition coefficients DIfluid/melt measured for a pressure and temperature range of 0.1-1.8GPa and 500-900°C, range from 41 to 1.92, values for room conditions DIfluid/glass (quenched samples) are equal to or higher than 350. We show that iodine degassing with water is earlier and much more efficient than for lighter halogen elements, Cl and Br. Iodine is totally degassed from the silicate melt at room conditions. By applying these results to modern volcanology, we calculate an annual iodine flux for subduction related volcanism of 0.16-2.4ktyr-1. We suggest that the natural iodine degassing may be underestimated, having possible consequences on the Earth's ozone destruction cycle. By applying this results to the Early Earth, we propose a process that may explain the contrasted signature of I, Br and Cl, strongly depleted in the bulk silicate Earth, the most depleted being iodine, whereas fluorine is almost enriched. The Earth may have lost heavy halogen elements during an early water degassing process from the magma ocean.","author":[{"dropping-particle":"","family":"Bureau","given":"H.","non-dropping-particle":"","parse-names":false,"suffix":""},{"dropping-particle":"","family":"Auzende","given":"A. L.","non-dropping-particle":"","parse-names":false,"suffix":""},{"dropping-particle":"","family":"Marocchi","given":"M.","non-dropping-particle":"","parse-names":false,"suffix":""},{"dropping-particle":"","family":"Raepsaet","given":"C.","non-dropping-particle":"","parse-names":false,"suffix":""},{"dropping-particle":"","family":"Munsch","given":"P.","non-dropping-particle":"","parse-names":false,"suffix":""},{"dropping-particle":"","family":"Testemale","given":"D.","non-dropping-particle":"","parse-names":false,"suffix":""},{"dropping-particle":"","family":"Mézouar","given":"M.","non-dropping-particle":"","parse-names":false,"suffix":""},{"dropping-particle":"","family":"Kubsky","given":"S.","non-dropping-particle":"","parse-names":false,"suffix":""},{"dropping-particle":"","family":"Carrière","given":"M.","non-dropping-particle":"","parse-names":false,"suffix":""},{"dropping-particle":"","family":"Ricolleau","given":"A.","non-dropping-particle":"","parse-names":false,"suffix":""},{"dropping-particle":"","family":"Fiquet","given":"G.","non-dropping-particle":"","parse-names":false,"suffix":""}],"container-title":"Geochimica et Cosmochimica Acta","id":"ITEM-1","issued":{"date-parts":[["2016"]]},"page":"114-125","title":"Modern and past volcanic degassing of iodine","type":"article-journal","volume":"173"},"uris":["http://www.mendeley.com/documents/?uuid=a736c05a-84c5-4af9-8140-bc074e21dcb5"]}],"mendeley":{"formattedCitation":"&lt;sup&gt;139&lt;/sup&gt;","plainTextFormattedCitation":"139","previouslyFormattedCitation":"&lt;sup&gt;139&lt;/sup&gt;"},"properties":{"noteIndex":0},"schema":"https://github.com/citation-style-language/schema/raw/master/csl-citation.json"}</w:instrText>
      </w:r>
      <w:r w:rsidR="005A392A"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139</w:t>
      </w:r>
      <w:r w:rsidR="005A392A" w:rsidRPr="0084570B">
        <w:rPr>
          <w:rFonts w:ascii="Times New Roman" w:eastAsia="Times New Roman" w:hAnsi="Times New Roman" w:cs="Times New Roman"/>
          <w:sz w:val="22"/>
          <w:szCs w:val="22"/>
          <w:lang w:val="en-US"/>
        </w:rPr>
        <w:fldChar w:fldCharType="end"/>
      </w:r>
      <w:r w:rsidR="005A392A" w:rsidRPr="0084570B">
        <w:rPr>
          <w:rFonts w:ascii="Times New Roman" w:eastAsia="Times New Roman" w:hAnsi="Times New Roman" w:cs="Times New Roman"/>
          <w:sz w:val="22"/>
          <w:szCs w:val="22"/>
          <w:lang w:val="en-US"/>
        </w:rPr>
        <w:t xml:space="preserve">), the geochemical behaviours of U and Pu could have been mostly controlled by water behavior at the very early stages of Earth’s history. </w:t>
      </w:r>
      <w:r w:rsidR="005A392A" w:rsidRPr="0084570B">
        <w:rPr>
          <w:rFonts w:ascii="Times New Roman" w:hAnsi="Times New Roman" w:cs="Times New Roman"/>
          <w:sz w:val="22"/>
          <w:szCs w:val="22"/>
          <w:lang w:val="en-US"/>
        </w:rPr>
        <w:t>The difference in solubility between Pu</w:t>
      </w:r>
      <w:r w:rsidR="005A392A" w:rsidRPr="0084570B">
        <w:rPr>
          <w:rFonts w:ascii="Times New Roman" w:hAnsi="Times New Roman" w:cs="Times New Roman"/>
          <w:sz w:val="22"/>
          <w:szCs w:val="22"/>
          <w:vertAlign w:val="superscript"/>
          <w:lang w:val="en-US"/>
        </w:rPr>
        <w:t>4+</w:t>
      </w:r>
      <w:r w:rsidR="005A392A" w:rsidRPr="0084570B">
        <w:rPr>
          <w:rFonts w:ascii="Times New Roman" w:hAnsi="Times New Roman" w:cs="Times New Roman"/>
          <w:sz w:val="22"/>
          <w:szCs w:val="22"/>
          <w:lang w:val="en-US"/>
        </w:rPr>
        <w:t xml:space="preserve"> and the uranyl ion UO</w:t>
      </w:r>
      <w:r w:rsidR="005A392A" w:rsidRPr="0084570B">
        <w:rPr>
          <w:rFonts w:ascii="Times New Roman" w:hAnsi="Times New Roman" w:cs="Times New Roman"/>
          <w:sz w:val="22"/>
          <w:szCs w:val="22"/>
          <w:vertAlign w:val="subscript"/>
          <w:lang w:val="en-US"/>
        </w:rPr>
        <w:t>2</w:t>
      </w:r>
      <w:r w:rsidR="005A392A" w:rsidRPr="0084570B">
        <w:rPr>
          <w:rFonts w:ascii="Times New Roman" w:hAnsi="Times New Roman" w:cs="Times New Roman"/>
          <w:sz w:val="22"/>
          <w:szCs w:val="22"/>
          <w:vertAlign w:val="superscript"/>
          <w:lang w:val="en-US"/>
        </w:rPr>
        <w:t>2+</w:t>
      </w:r>
      <w:r w:rsidR="005A392A" w:rsidRPr="0084570B">
        <w:rPr>
          <w:rFonts w:ascii="Times New Roman" w:hAnsi="Times New Roman" w:cs="Times New Roman"/>
          <w:sz w:val="22"/>
          <w:szCs w:val="22"/>
          <w:lang w:val="en-US"/>
        </w:rPr>
        <w:t xml:space="preserve"> under most crustal oxidation conditions </w:t>
      </w:r>
      <w:r w:rsidR="001F13CF" w:rsidRPr="0084570B">
        <w:rPr>
          <w:rFonts w:ascii="Times New Roman" w:hAnsi="Times New Roman" w:cs="Times New Roman"/>
          <w:sz w:val="22"/>
          <w:szCs w:val="22"/>
          <w:lang w:val="en-US"/>
        </w:rPr>
        <w:t>could have permitted</w:t>
      </w:r>
      <w:r w:rsidR="005A392A" w:rsidRPr="0084570B">
        <w:rPr>
          <w:rFonts w:ascii="Times New Roman" w:hAnsi="Times New Roman" w:cs="Times New Roman"/>
          <w:sz w:val="22"/>
          <w:szCs w:val="22"/>
          <w:lang w:val="en-US"/>
        </w:rPr>
        <w:t xml:space="preserve"> fractionation of U from Pu in aqueous systems</w:t>
      </w:r>
      <w:r w:rsidR="005A392A"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{"citationItems":[{"id":"ITEM-1","itemData":{"DOI":"10.1016/0016-7037(78)90001-7","ISSN":"00167037","abstract":"Gibbs free energies, enthalpies and entropies of 42 dissolved uranium species and 30 uranium-bearing solid phases have been critically evaluated from the literature and estimated when necessary for 25°C. Application of the data shows that the uranium in natural waters is usually complexed. At typical concentrations of chloride, fluoride, phosphate and sulfate, uranous (U4+) fluoride complexes are important in anoxic waters below pH 3-4. An intermediate Ehs (between about +0.2 and -0.1 V) and pH values 1-7, UO2+ ion may predominate. In oxidized waters, uranyl (U22+) fluoride complexes and uranyl ion predominate below pH 5; from about pH 4 to 7.5, UO2(HPO4)22- is the principal species; while at higher pHs, UO2CO30 and the di- and tri-carbonate complexes predominate. Uraninite [UO2-UO2.25], α-U3O8 and schoepite are the stable uranium oxides and hydroxides in water at 25°C. Coffinite, USiO4 (c), is probably stable relative to UO2(c) when dissolved silica exceeds about 60 ppm (as SiO2). At low Ehs and pH 4-6, the solubilities of stoichiometric crystalline uraninite and coffinite are below roughly 10-4 ppb. But at intermediate Ehs and neutral to alkaline pHs in the presence of phosphate or carbonate, the formation of uranyl phosphate or carbonate complexes can increase the solubilities of these minerals by several orders of magnitude. The uranyl minerals carnotite, tyuyamunite, autunite, potassium autunite and uranophane are least soluble at pHs in the range 5-8.5 and, in the case of carnotite and tyuyamunite, have solubilities as low as 0.2 and 1 ppb uranium, respectively. The autunites and uranophane are usually several orders of magnitude more soluble than this, consistent with their natural occurrences. Sorption of uranyl on to natural materials is maximal in the same pH range of 5-8.5. © 1978.","author":[{"dropping-particle":"","family":"Langmuir","given":"Donald","non-dropping-particle":"","parse-names":false,"suffix":""}],"container-title":"Geochimica et Cosmochimica Acta","id":"ITEM-1","issue":"6 PART A","issued":{"date-parts":[["1978"]]},"page":"547-569","title":"Uranium solution-mineral equilibria at low temperatures with applications to sedimentary ore deposits","type":"article-journal","volume":"42"},"uris":["http://www.mendeley.com/documents/?uuid=d2a7477d-99d4-4ce2-9268-c49c3ab10d21"]}],"mendeley":{"formattedCitation":"&lt;sup&gt;140&lt;/sup&gt;","plainTextFormattedCitation":"140","previouslyFormattedCitation":"&lt;sup&gt;140&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140</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lang w:val="en-US"/>
        </w:rPr>
        <w:t>. Notably, uranium displays different geochemical behavior from the other light actinides under even mildly oxidizing aqueous conditions: it oxidizes to form the water-soluble uranyl ion (UO</w:t>
      </w:r>
      <w:r w:rsidR="005A392A" w:rsidRPr="0084570B">
        <w:rPr>
          <w:rFonts w:ascii="Times New Roman" w:hAnsi="Times New Roman" w:cs="Times New Roman"/>
          <w:sz w:val="22"/>
          <w:szCs w:val="22"/>
          <w:vertAlign w:val="subscript"/>
          <w:lang w:val="en-US"/>
        </w:rPr>
        <w:t>2</w:t>
      </w:r>
      <w:r w:rsidR="005A392A" w:rsidRPr="0084570B">
        <w:rPr>
          <w:rFonts w:ascii="Times New Roman" w:hAnsi="Times New Roman" w:cs="Times New Roman"/>
          <w:sz w:val="22"/>
          <w:szCs w:val="22"/>
          <w:vertAlign w:val="superscript"/>
          <w:lang w:val="en-US"/>
        </w:rPr>
        <w:t>2+</w:t>
      </w:r>
      <w:r w:rsidR="005A392A" w:rsidRPr="0084570B">
        <w:rPr>
          <w:rFonts w:ascii="Times New Roman" w:hAnsi="Times New Roman" w:cs="Times New Roman"/>
          <w:sz w:val="22"/>
          <w:szCs w:val="22"/>
          <w:lang w:val="en-US"/>
        </w:rPr>
        <w:t>)</w:t>
      </w:r>
      <w:r w:rsidR="005A392A"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 xml:space="preserve">ADDIN CSL_CITATION {"citationItems":[{"id":"ITEM-1","itemData":{"DOI":"10.2113/gselements.6.1.31","ISSN":"18115217","abstract":"Before the Great Oxidation Event (GOE), at </w:instrText>
      </w:r>
      <w:r w:rsidR="003376B3">
        <w:rPr>
          <w:rFonts w:ascii="Cambria Math" w:hAnsi="Cambria Math" w:cs="Cambria Math"/>
          <w:sz w:val="22"/>
          <w:szCs w:val="22"/>
          <w:lang w:val="en-US"/>
        </w:rPr>
        <w:instrText>∼</w:instrText>
      </w:r>
      <w:r w:rsidR="003376B3">
        <w:rPr>
          <w:rFonts w:ascii="Times New Roman" w:hAnsi="Times New Roman" w:cs="Times New Roman"/>
          <w:sz w:val="22"/>
          <w:szCs w:val="22"/>
          <w:lang w:val="en-US"/>
        </w:rPr>
        <w:instrText>2.4 Ga, the mineralogical record of the near-surface continental environment indicates a low partial pressure of oxygen during weathering, which restricted many elements to a low oxidation state and limited the number of possible minerals formed from these elements. Calculations show that local pulses in the production of O2 by photosynthesis could mobilize some metals (e.g. Mo and Re, but not U), but this O2 would be completely consumed. After the GOE, many elements could occur in one or more oxidized forms in minerals in the near-surface environment. This development resulted in an explosive growth in the diversification of minerals.","author":[{"dropping-particle":"","family":"Sverjensky","given":"Dimitri A.","non-dropping-particle":"","parse-names":false,"suffix":""},{"dropping-particle":"","family":"Lee","given":"Namhey","non-dropping-particle":"","parse-names":false,"suffix":""}],"container-title":"Elements","id":"ITEM-1","issue":"1","issued":{"date-parts":[["2010"]]},"page":"31-36","title":"The great oxidation event and mineral diversification","type":"article-journal","volume":"6"},"uris":["http://www.mendeley.com/documents/?uuid=4ef9ecd6-46fa-48e8-82fb-3a6ccd255144"]}],"mendeley":{"formattedCitation":"&lt;sup&gt;141&lt;/sup&gt;","plainTextFormattedCitation":"141","previouslyFormattedCitation":"&lt;sup&gt;141&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141</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lang w:val="en-US"/>
        </w:rPr>
        <w:t xml:space="preserve"> while Pu and Th remain in non-soluble tetravalent form</w:t>
      </w:r>
      <w:r w:rsidR="005A392A"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{"citationItems":[{"id":"ITEM-1","itemData":{"DOI":"10.1016/0016-7037(78)90001-7","ISSN":"00167037","abstract":"Gibbs free energies, enthalpies and entropies of 42 dissolved uranium species and 30 uranium-bearing solid phases have been critically evaluated from the literature and estimated when necessary for 25°C. Application of the data shows that the uranium in natural waters is usually complexed. At typical concentrations of chloride, fluoride, phosphate and sulfate, uranous (U4+) fluoride complexes are important in anoxic waters below pH 3-4. An intermediate Ehs (between about +0.2 and -0.1 V) and pH values 1-7, UO2+ ion may predominate. In oxidized waters, uranyl (U22+) fluoride complexes and uranyl ion predominate below pH 5; from about pH 4 to 7.5, UO2(HPO4)22- is the principal species; while at higher pHs, UO2CO30 and the di- and tri-carbonate complexes predominate. Uraninite [UO2-UO2.25], α-U3O8 and schoepite are the stable uranium oxides and hydroxides in water at 25°C. Coffinite, USiO4 (c), is probably stable relative to UO2(c) when dissolved silica exceeds about 60 ppm (as SiO2). At low Ehs and pH 4-6, the solubilities of stoichiometric crystalline uraninite and coffinite are below roughly 10-4 ppb. But at intermediate Ehs and neutral to alkaline pHs in the presence of phosphate or carbonate, the formation of uranyl phosphate or carbonate complexes can increase the solubilities of these minerals by several orders of magnitude. The uranyl minerals carnotite, tyuyamunite, autunite, potassium autunite and uranophane are least soluble at pHs in the range 5-8.5 and, in the case of carnotite and tyuyamunite, have solubilities as low as 0.2 and 1 ppb uranium, respectively. The autunites and uranophane are usually several orders of magnitude more soluble than this, consistent with their natural occurrences. Sorption of uranyl on to natural materials is maximal in the same pH range of 5-8.5. © 1978.","author":[{"dropping-particle":"","family":"Langmuir","given":"Donald","non-dropping-particle":"","parse-names":false,"suffix":""}],"container-title":"Geochimica et Cosmochimica Acta","id":"ITEM-1","issue":"6 PART A","issued":{"date-parts":[["1978"]]},"page":"547-569","title":"Uranium solution-mineral equilibria at low temperatures with applications to sedimentary ore deposits","type":"article-journal","volume":"42"},"uris":["http://www.mendeley.com/documents/?uuid=d2a7477d-99d4-4ce2-9268-c49c3ab10d21"]}],"mendeley":{"formattedCitation":"&lt;sup&gt;140&lt;/sup&gt;","plainTextFormattedCitation":"140","previouslyFormattedCitation":"&lt;sup&gt;140&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140</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vertAlign w:val="superscript"/>
          <w:lang w:val="en-US"/>
        </w:rPr>
        <w:t>,</w:t>
      </w:r>
      <w:r w:rsidR="005A392A"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{"citationItems":[{"id":"ITEM-1","itemData":{"DOI":"10.1038/16231","ISSN":"00280836","abstract":"Mobile colloids - suspended particles in the submicrometre size range - are known to occur naturally in ground water and have the potential to enhance transport of non-soluble contaminants through sorption. The possible implications of this transport mechanism are of particular concern in the context of radionuclide transport. Significant quantities of the element plutonium have been introduced into the environment as a result of nuclear weapons testing and production, and nuclear power-plant accidents. Moreover, many countries anticipate storing nuclear waste underground. It has been argued that plutonium introduced into the subsurface environment is relatively immobile owing to its low solubility in ground water and strong sorption onto rocks. Nonetheless, colloid-facilitated transport of radionuclides has been implicated in field observations, but unequivocal evidence of subsurface transport is lacking. Moreover, colloid filtration models predict transport over a limited distance resulting in a discrepancy between observed and modelled behaviour. Here we report that the radionuclides observed in groundwater samples from aquifers at the Nevada Test Site, where hundreds of underground nuclear tests were conducted, are associated with the colloidal fraction of the ground water. The 240Pu/239Pu isotope ratio of the samples establishes that an underground nuclear test 1.3 km north of the sample site is the origin of the plutonium. We argue that colloidal groundwater migration must have played an important role in transporting the plutonium. Models that either predict limited transport or do not allow for colloid-facilitated transport may thus significantly under-estimate the extent of radionuclide migration.","author":[{"dropping-particle":"","family":"Kersting","given":"A. B.","non-dropping-particle":"","parse-names":false,"suffix":""},{"dropping-particle":"","family":"Efurd","given":"D. W.","non-dropping-particle":"","parse-names":false,"suffix":""},{"dropping-particle":"","family":"Finnegan","given":"D. L.","non-dropping-particle":"","parse-names":false,"suffix":""},{"dropping-particle":"","family":"Rokop","given":"D. J.","non-dropping-particle":"","parse-names":false,"suffix":""},{"dropping-particle":"","family":"Smith","given":"D. K.","non-dropping-particle":"","parse-names":false,"suffix":""},{"dropping-particle":"","family":"Thompson","given":"J. L.","non-dropping-particle":"","parse-names":false,"suffix":""}],"container-title":"Nature","id":"ITEM-1","issue":"6714","issued":{"date-parts":[["1999"]]},"page":"56-59","title":"Migration of plutonium in ground water at the Nevada Test Site","type":"article-journal","volume":"397"},"uris":["http://www.mendeley.com/documents/?uuid=9cb65578-edcd-4abc-96e4-e86b1d6555ae"]}],"mendeley":{"formattedCitation":"&lt;sup&gt;142&lt;/sup&gt;","plainTextFormattedCitation":"142","previouslyFormattedCitation":"&lt;sup&gt;142&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142</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vertAlign w:val="superscript"/>
          <w:lang w:val="en-US"/>
        </w:rPr>
        <w:t>,</w:t>
      </w:r>
      <w:r w:rsidR="005A392A" w:rsidRPr="0084570B">
        <w:rPr>
          <w:rFonts w:ascii="Times New Roman" w:hAnsi="Times New Roman" w:cs="Times New Roman"/>
          <w:sz w:val="22"/>
          <w:szCs w:val="22"/>
          <w:lang w:val="en-US"/>
        </w:rPr>
        <w:t>). B</w:t>
      </w:r>
      <w:r w:rsidR="005A392A" w:rsidRPr="0084570B">
        <w:rPr>
          <w:rFonts w:ascii="Times New Roman" w:hAnsi="Times New Roman" w:cs="Times New Roman"/>
          <w:color w:val="000000"/>
          <w:sz w:val="22"/>
          <w:szCs w:val="22"/>
          <w:lang w:val="en-US"/>
        </w:rPr>
        <w:t>oth Th and Pu indeed tend to occur in nature as water-insoluble tetravalent cations, in part because Pu</w:t>
      </w:r>
      <w:r w:rsidR="005A392A" w:rsidRPr="0084570B">
        <w:rPr>
          <w:rFonts w:ascii="Times New Roman" w:hAnsi="Times New Roman" w:cs="Times New Roman"/>
          <w:color w:val="000000"/>
          <w:sz w:val="22"/>
          <w:szCs w:val="22"/>
          <w:vertAlign w:val="superscript"/>
          <w:lang w:val="en-US"/>
        </w:rPr>
        <w:t>4+</w:t>
      </w:r>
      <w:r w:rsidR="005A392A" w:rsidRPr="0084570B">
        <w:rPr>
          <w:rFonts w:ascii="Times New Roman" w:hAnsi="Times New Roman" w:cs="Times New Roman"/>
          <w:color w:val="000000"/>
          <w:sz w:val="22"/>
          <w:szCs w:val="22"/>
          <w:lang w:val="en-US"/>
        </w:rPr>
        <w:t xml:space="preserve"> reacts quickly with </w:t>
      </w:r>
      <w:r w:rsidR="005A392A" w:rsidRPr="0084570B">
        <w:rPr>
          <w:rFonts w:ascii="Times New Roman" w:hAnsi="Times New Roman" w:cs="Times New Roman"/>
          <w:sz w:val="22"/>
          <w:szCs w:val="22"/>
          <w:lang w:val="en-US"/>
        </w:rPr>
        <w:t>solid surfaces to form essentially insoluble Pu</w:t>
      </w:r>
      <w:r w:rsidR="005A392A" w:rsidRPr="0084570B">
        <w:rPr>
          <w:rFonts w:ascii="Times New Roman" w:hAnsi="Times New Roman" w:cs="Times New Roman"/>
          <w:sz w:val="22"/>
          <w:szCs w:val="22"/>
          <w:vertAlign w:val="superscript"/>
          <w:lang w:val="en-US"/>
        </w:rPr>
        <w:t>3+</w:t>
      </w:r>
      <w:r w:rsidR="005A392A" w:rsidRPr="0084570B">
        <w:rPr>
          <w:rFonts w:ascii="Times New Roman" w:hAnsi="Times New Roman" w:cs="Times New Roman"/>
          <w:sz w:val="22"/>
          <w:szCs w:val="22"/>
          <w:lang w:val="en-US"/>
        </w:rPr>
        <w:t xml:space="preserve"> (ref</w:t>
      </w:r>
      <w:r w:rsidR="005A392A" w:rsidRPr="0084570B">
        <w:rPr>
          <w:rFonts w:ascii="Times New Roman" w:hAnsi="Times New Roman" w:cs="Times New Roman"/>
          <w:sz w:val="22"/>
          <w:szCs w:val="22"/>
          <w:lang w:val="en-US"/>
        </w:rPr>
        <w:fldChar w:fldCharType="begin" w:fldLock="1"/>
      </w:r>
      <w:r w:rsidR="003376B3">
        <w:rPr>
          <w:rFonts w:ascii="Times New Roman" w:hAnsi="Times New Roman" w:cs="Times New Roman"/>
          <w:sz w:val="22"/>
          <w:szCs w:val="22"/>
          <w:lang w:val="en-US"/>
        </w:rPr>
        <w:instrText>ADDIN CSL_CITATION {"citationItems":[{"id":"ITEM-1","itemData":{"DOI":"10.1038/16231","ISSN":"00280836","abstract":"Mobile colloids - suspended particles in the submicrometre size range - are known to occur naturally in ground water and have the potential to enhance transport of non-soluble contaminants through sorption. The possible implications of this transport mechanism are of particular concern in the context of radionuclide transport. Significant quantities of the element plutonium have been introduced into the environment as a result of nuclear weapons testing and production, and nuclear power-plant accidents. Moreover, many countries anticipate storing nuclear waste underground. It has been argued that plutonium introduced into the subsurface environment is relatively immobile owing to its low solubility in ground water and strong sorption onto rocks. Nonetheless, colloid-facilitated transport of radionuclides has been implicated in field observations, but unequivocal evidence of subsurface transport is lacking. Moreover, colloid filtration models predict transport over a limited distance resulting in a discrepancy between observed and modelled behaviour. Here we report that the radionuclides observed in groundwater samples from aquifers at the Nevada Test Site, where hundreds of underground nuclear tests were conducted, are associated with the colloidal fraction of the ground water. The 240Pu/239Pu isotope ratio of the samples establishes that an underground nuclear test 1.3 km north of the sample site is the origin of the plutonium. We argue that colloidal groundwater migration must have played an important role in transporting the plutonium. Models that either predict limited transport or do not allow for colloid-facilitated transport may thus significantly under-estimate the extent of radionuclide migration.","author":[{"dropping-particle":"","family":"Kersting","given":"A. B.","non-dropping-particle":"","parse-names":false,"suffix":""},{"dropping-particle":"","family":"Efurd","given":"D. W.","non-dropping-particle":"","parse-names":false,"suffix":""},{"dropping-particle":"","family":"Finnegan","given":"D. L.","non-dropping-particle":"","parse-names":false,"suffix":""},{"dropping-particle":"","family":"Rokop","given":"D. J.","non-dropping-particle":"","parse-names":false,"suffix":""},{"dropping-particle":"","family":"Smith","given":"D. K.","non-dropping-particle":"","parse-names":false,"suffix":""},{"dropping-particle":"","family":"Thompson","given":"J. L.","non-dropping-particle":"","parse-names":false,"suffix":""}],"container-title":"Nature","id":"ITEM-1","issue":"6714","issued":{"date-parts":[["1999"]]},"page":"56-59","title":"Migration of plutonium in ground water at the Nevada Test Site","type":"article-journal","volume":"397"},"uris":["http://www.mendeley.com/documents/?uuid=9cb65578-edcd-4abc-96e4-e86b1d6555ae"]}],"mendeley":{"formattedCitation":"&lt;sup&gt;142&lt;/sup&gt;","plainTextFormattedCitation":"142","previouslyFormattedCitation":"&lt;sup&gt;142&lt;/sup&gt;"},"properties":{"noteIndex":0},"schema":"https://github.com/citation-style-language/schema/raw/master/csl-citation.json"}</w:instrText>
      </w:r>
      <w:r w:rsidR="005A392A" w:rsidRPr="0084570B">
        <w:rPr>
          <w:rFonts w:ascii="Times New Roman" w:hAnsi="Times New Roman" w:cs="Times New Roman"/>
          <w:sz w:val="22"/>
          <w:szCs w:val="22"/>
          <w:lang w:val="en-US"/>
        </w:rPr>
        <w:fldChar w:fldCharType="separate"/>
      </w:r>
      <w:r w:rsidR="00253A47" w:rsidRPr="00253A47">
        <w:rPr>
          <w:rFonts w:ascii="Times New Roman" w:hAnsi="Times New Roman" w:cs="Times New Roman"/>
          <w:noProof/>
          <w:sz w:val="22"/>
          <w:szCs w:val="22"/>
          <w:vertAlign w:val="superscript"/>
          <w:lang w:val="en-US"/>
        </w:rPr>
        <w:t>142</w:t>
      </w:r>
      <w:r w:rsidR="005A392A" w:rsidRPr="0084570B">
        <w:rPr>
          <w:rFonts w:ascii="Times New Roman" w:hAnsi="Times New Roman" w:cs="Times New Roman"/>
          <w:sz w:val="22"/>
          <w:szCs w:val="22"/>
          <w:lang w:val="en-US"/>
        </w:rPr>
        <w:fldChar w:fldCharType="end"/>
      </w:r>
      <w:r w:rsidR="005A392A" w:rsidRPr="0084570B">
        <w:rPr>
          <w:rFonts w:ascii="Times New Roman" w:hAnsi="Times New Roman" w:cs="Times New Roman"/>
          <w:sz w:val="22"/>
          <w:szCs w:val="22"/>
          <w:lang w:val="en-US"/>
        </w:rPr>
        <w:t>). Because of this differing behavior, substantial Th/U and Pu/U fractionation may occur in aqueous systems, offering a possible mechanism for generating both super- and sub-chondritic Pu/U ratios.</w:t>
      </w:r>
      <w:r w:rsidR="001F13CF" w:rsidRPr="0084570B">
        <w:rPr>
          <w:rFonts w:ascii="Times New Roman" w:hAnsi="Times New Roman" w:cs="Times New Roman"/>
          <w:sz w:val="22"/>
          <w:szCs w:val="22"/>
          <w:lang w:val="en-US"/>
        </w:rPr>
        <w:t xml:space="preserve"> In summary, the strong case for revisiting the chondritic </w:t>
      </w:r>
      <w:r w:rsidR="001F13CF" w:rsidRPr="0084570B">
        <w:rPr>
          <w:rFonts w:ascii="Times New Roman" w:eastAsia="Times New Roman" w:hAnsi="Times New Roman" w:cs="Times New Roman"/>
          <w:sz w:val="22"/>
          <w:szCs w:val="22"/>
          <w:lang w:val="en-US"/>
        </w:rPr>
        <w:t>(Pu/U)</w:t>
      </w:r>
      <w:r w:rsidR="001F13CF" w:rsidRPr="0084570B">
        <w:rPr>
          <w:rFonts w:ascii="Times New Roman" w:eastAsia="Times New Roman" w:hAnsi="Times New Roman" w:cs="Times New Roman"/>
          <w:sz w:val="22"/>
          <w:szCs w:val="22"/>
          <w:vertAlign w:val="subscript"/>
          <w:lang w:val="en-US"/>
        </w:rPr>
        <w:t>0</w:t>
      </w:r>
      <w:r w:rsidR="001F13CF" w:rsidRPr="0084570B">
        <w:rPr>
          <w:rFonts w:ascii="Times New Roman" w:eastAsia="Times New Roman" w:hAnsi="Times New Roman" w:cs="Times New Roman"/>
          <w:sz w:val="22"/>
          <w:szCs w:val="22"/>
          <w:lang w:val="en-US"/>
        </w:rPr>
        <w:t xml:space="preserve"> </w:t>
      </w:r>
      <w:r w:rsidR="001F13CF" w:rsidRPr="0084570B">
        <w:rPr>
          <w:rFonts w:ascii="Times New Roman" w:hAnsi="Times New Roman" w:cs="Times New Roman"/>
          <w:sz w:val="22"/>
          <w:szCs w:val="22"/>
          <w:lang w:val="en-US"/>
        </w:rPr>
        <w:t>system</w:t>
      </w:r>
      <w:r w:rsidR="001F13CF" w:rsidRPr="0084570B">
        <w:rPr>
          <w:rFonts w:ascii="Times New Roman" w:hAnsi="Times New Roman" w:cs="Times New Roman"/>
          <w:sz w:val="22"/>
          <w:szCs w:val="22"/>
          <w:lang w:val="en-US"/>
        </w:rPr>
        <w:fldChar w:fldCharType="begin" w:fldLock="1"/>
      </w:r>
      <w:r w:rsidR="001F13CF" w:rsidRPr="0084570B">
        <w:rPr>
          <w:rFonts w:ascii="Times New Roman" w:hAnsi="Times New Roman" w:cs="Times New Roman"/>
          <w:sz w:val="22"/>
          <w:szCs w:val="22"/>
          <w:lang w:val="en-US"/>
        </w:rPr>
        <w:instrText xml:space="preserve">ADDIN CSL_CITATION {"citationItems":[{"id":"ITEM-1","itemData":{"DOI":"10.1016/j.epsl.2007.07.014","ISSN":"0012821X","abstract":"The presence of xenon isotopes from in-situ spontaneous fission of short-lived 244Pu has been confirmed in a suite of 16 Hadean detrital zircons from Western Australia. In order to investigate the effects of xenon loss on estimates of the inferred Pu/U ratio we have irradiated the zircons with thermal neutrons to generate Xe from 235U neutron fission. 131Xe/134Xe and 132Xe/134Xe ratios have been used to calculate the relative contributions from spontaneous fission of 244Pu and 238U and neutron fission of 235U and hence compare nominal Pu/U ratios and xenon retention ages. U-Xe ages are typically lower than the Pb-Pb ages, indicating that xenon loss is common. We show how the ternary mixing diagram can be used to place constraints on the timing and extent of this loss and to generate a corresponding Pu-U-Xe isochron. Although the zircons investigated in this study were extracted from the same metasedimentary unit, the timing of xenon loss is variable. This suggests that the loss may be the result of variable degrees of metamictization from grain to grain. Inferred (Pu/U)o ratios show a general decrease with the discordancy between Pb-Pb and U-Xe ages. For the least discordant samples we infer (Pu/U)o </w:instrText>
      </w:r>
      <w:r w:rsidR="001F13CF" w:rsidRPr="0084570B">
        <w:rPr>
          <w:rFonts w:ascii="Cambria Math" w:hAnsi="Cambria Math" w:cs="Cambria Math"/>
          <w:sz w:val="22"/>
          <w:szCs w:val="22"/>
          <w:lang w:val="en-US"/>
        </w:rPr>
        <w:instrText>∼</w:instrText>
      </w:r>
      <w:r w:rsidR="001F13CF" w:rsidRPr="0084570B">
        <w:rPr>
          <w:rFonts w:ascii="Times New Roman" w:hAnsi="Times New Roman" w:cs="Times New Roman"/>
          <w:sz w:val="22"/>
          <w:szCs w:val="22"/>
          <w:lang w:val="en-US"/>
        </w:rPr>
        <w:instrText xml:space="preserve"> 0.008 which is close to the widely adopted chondritic value. While we cannot completely exclude the effects of Pu/U fractionation in magmatic and other processes between formation of the Earth and crystallisation of the zircons we conclude that they have been relatively small (&lt; factor 2?) and reflect the compatible behaviour of Pu and U in the 4+ valence state. © 2007 Elsevier B.V. All rights reserved.","author":[{"dropping-particle":"","family":"Turner","given":"Grenville","non-dropping-particle":"","parse-names":false,"suffix":""},{"dropping-particle":"","family":"Busfield","given":"Alli","non-dropping-particle":"","parse-names":false,"suffix":""},{"dropping-particle":"","family":"Crowther","given":"Sarah A.","non-dropping-particle":"","parse-names":false,"suffix":""},{"dropping-particle":"","family":"Harrison","given":"Mark","non-dropping-particle":"","parse-names":false,"suffix":""},{"dropping-particle":"","family":"Mojzsis","given":"Stephen J.","non-dropping-particle":"","parse-names":false,"suffix":""},{"dropping-particle":"","family":"Gilmour","given":"Jamie","non-dropping-particle":"","parse-names":false,"suffix":""}],"container-title":"Earth and Planetary Science Letters","id":"ITEM-1","issue":"3-4","issued":{"date-parts":[["2007"]]},"page":"491-499","title":"Pu-Xe, U-Xe, U-Pb chronology and isotope systematics of ancient zircons from Western Australia","type":"article-journal","volume":"261"},"uris":["http://www.mendeley.com/documents/?uuid=1aaebed5-4ac5-40ae-a237-529a3578c786"]}],"mendeley":{"formattedCitation":"&lt;sup&gt;10&lt;/sup&gt;","plainTextFormattedCitation":"10","previouslyFormattedCitation":"&lt;sup&gt;10&lt;/sup&gt;"},"properties":{"noteIndex":0},"schema":"https://github.com/citation-style-language/schema/raw/master/csl-citation.json"}</w:instrText>
      </w:r>
      <w:r w:rsidR="001F13CF" w:rsidRPr="0084570B">
        <w:rPr>
          <w:rFonts w:ascii="Times New Roman" w:hAnsi="Times New Roman" w:cs="Times New Roman"/>
          <w:sz w:val="22"/>
          <w:szCs w:val="22"/>
          <w:lang w:val="en-US"/>
        </w:rPr>
        <w:fldChar w:fldCharType="separate"/>
      </w:r>
      <w:r w:rsidR="001F13CF" w:rsidRPr="0084570B">
        <w:rPr>
          <w:rFonts w:ascii="Times New Roman" w:hAnsi="Times New Roman" w:cs="Times New Roman"/>
          <w:noProof/>
          <w:sz w:val="22"/>
          <w:szCs w:val="22"/>
          <w:vertAlign w:val="superscript"/>
          <w:lang w:val="en-US"/>
        </w:rPr>
        <w:t>10</w:t>
      </w:r>
      <w:r w:rsidR="001F13CF" w:rsidRPr="0084570B">
        <w:rPr>
          <w:rFonts w:ascii="Times New Roman" w:hAnsi="Times New Roman" w:cs="Times New Roman"/>
          <w:sz w:val="22"/>
          <w:szCs w:val="22"/>
          <w:lang w:val="en-US"/>
        </w:rPr>
        <w:fldChar w:fldCharType="end"/>
      </w:r>
      <w:r w:rsidR="001F13CF" w:rsidRPr="0084570B">
        <w:rPr>
          <w:rFonts w:ascii="Times New Roman" w:hAnsi="Times New Roman" w:cs="Times New Roman"/>
          <w:sz w:val="22"/>
          <w:szCs w:val="22"/>
          <w:lang w:val="en-US"/>
        </w:rPr>
        <w:t xml:space="preserve"> and the possibility for some fractionation of the Pu/U to have occurred during aqueous and magmatic processes on the early Earth could both contribute to explaining the low abundance of Xe</w:t>
      </w:r>
      <w:r w:rsidR="001F13CF" w:rsidRPr="0084570B">
        <w:rPr>
          <w:rFonts w:ascii="Times New Roman" w:hAnsi="Times New Roman" w:cs="Times New Roman"/>
          <w:sz w:val="22"/>
          <w:szCs w:val="22"/>
          <w:vertAlign w:val="subscript"/>
          <w:lang w:val="en-US"/>
        </w:rPr>
        <w:t>Pu</w:t>
      </w:r>
      <w:r w:rsidR="001F13CF" w:rsidRPr="0084570B">
        <w:rPr>
          <w:rFonts w:ascii="Times New Roman" w:hAnsi="Times New Roman" w:cs="Times New Roman"/>
          <w:sz w:val="22"/>
          <w:szCs w:val="22"/>
          <w:lang w:val="en-US"/>
        </w:rPr>
        <w:t xml:space="preserve"> found in this study (</w:t>
      </w:r>
      <w:r w:rsidR="00832649" w:rsidRPr="0084570B">
        <w:rPr>
          <w:rFonts w:ascii="Times New Roman" w:eastAsia="Times New Roman" w:hAnsi="Times New Roman" w:cs="Times New Roman"/>
          <w:b/>
          <w:sz w:val="22"/>
          <w:szCs w:val="22"/>
          <w:lang w:val="en-US"/>
        </w:rPr>
        <w:t>Figure 20</w:t>
      </w:r>
      <w:r w:rsidR="00C23F45" w:rsidRPr="0084570B">
        <w:rPr>
          <w:rFonts w:ascii="Times New Roman" w:eastAsia="Times New Roman" w:hAnsi="Times New Roman" w:cs="Times New Roman"/>
          <w:b/>
          <w:sz w:val="22"/>
          <w:szCs w:val="22"/>
          <w:lang w:val="en-US"/>
        </w:rPr>
        <w:t>; Table S4</w:t>
      </w:r>
      <w:r w:rsidR="001F13CF" w:rsidRPr="0084570B">
        <w:rPr>
          <w:rFonts w:ascii="Times New Roman" w:hAnsi="Times New Roman" w:cs="Times New Roman"/>
          <w:sz w:val="22"/>
          <w:szCs w:val="22"/>
          <w:lang w:val="en-US"/>
        </w:rPr>
        <w:t xml:space="preserve">), with far reaching implications for our understanding of mantle volatile evolution. </w:t>
      </w:r>
    </w:p>
    <w:p w14:paraId="35C76ED3" w14:textId="73A23136" w:rsidR="00964453" w:rsidRPr="0084570B" w:rsidRDefault="00964453" w:rsidP="00964453">
      <w:pPr>
        <w:rPr>
          <w:rFonts w:ascii="Times New Roman" w:eastAsia="Times New Roman" w:hAnsi="Times New Roman" w:cs="Times New Roman"/>
          <w:b/>
          <w:sz w:val="22"/>
          <w:szCs w:val="22"/>
          <w:lang w:val="en-US"/>
        </w:rPr>
      </w:pPr>
    </w:p>
    <w:p w14:paraId="7616100E" w14:textId="12B7CF3B" w:rsidR="00964453" w:rsidRPr="0084570B" w:rsidRDefault="009E398D" w:rsidP="009E398D">
      <w:pPr>
        <w:pStyle w:val="Normal1"/>
        <w:spacing w:line="360" w:lineRule="auto"/>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drawing>
          <wp:inline distT="0" distB="0" distL="0" distR="0" wp14:anchorId="32D33B41" wp14:editId="2BA9CB13">
            <wp:extent cx="3794332" cy="2278839"/>
            <wp:effectExtent l="0" t="0" r="0" b="7620"/>
            <wp:docPr id="52"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9">
                      <a:extLst>
                        <a:ext uri="{28A0092B-C50C-407E-A947-70E740481C1C}">
                          <a14:useLocalDpi xmlns:a14="http://schemas.microsoft.com/office/drawing/2010/main" val="0"/>
                        </a:ext>
                      </a:extLst>
                    </a:blip>
                    <a:srcRect t="9942"/>
                    <a:stretch/>
                  </pic:blipFill>
                  <pic:spPr bwMode="auto">
                    <a:xfrm>
                      <a:off x="0" y="0"/>
                      <a:ext cx="3795626" cy="2279616"/>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pic:spPr>
                </pic:pic>
              </a:graphicData>
            </a:graphic>
          </wp:inline>
        </w:drawing>
      </w:r>
    </w:p>
    <w:p w14:paraId="4772F294" w14:textId="77777777" w:rsidR="00964453" w:rsidRPr="0084570B" w:rsidRDefault="00964453" w:rsidP="00964453">
      <w:pPr>
        <w:pStyle w:val="Normal1"/>
        <w:spacing w:line="360" w:lineRule="auto"/>
        <w:jc w:val="both"/>
        <w:rPr>
          <w:rFonts w:ascii="Times New Roman" w:eastAsia="Times New Roman" w:hAnsi="Times New Roman" w:cs="Times New Roman"/>
          <w:b/>
          <w:sz w:val="22"/>
          <w:szCs w:val="22"/>
          <w:lang w:val="en-US"/>
        </w:rPr>
      </w:pPr>
    </w:p>
    <w:p w14:paraId="0F2A9A48" w14:textId="1BE67021" w:rsidR="00964453" w:rsidRPr="0084570B" w:rsidRDefault="00832649" w:rsidP="0058139C">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Figure S20</w:t>
      </w:r>
      <w:r w:rsidR="00964453" w:rsidRPr="0084570B">
        <w:rPr>
          <w:rFonts w:ascii="Times New Roman" w:eastAsia="Times New Roman" w:hAnsi="Times New Roman" w:cs="Times New Roman"/>
          <w:b/>
          <w:sz w:val="22"/>
          <w:szCs w:val="22"/>
          <w:lang w:val="en-US"/>
        </w:rPr>
        <w:t xml:space="preserve">. </w:t>
      </w:r>
      <w:r w:rsidR="003A44C5" w:rsidRPr="0084570B">
        <w:rPr>
          <w:rFonts w:ascii="Times New Roman" w:eastAsia="Times New Roman" w:hAnsi="Times New Roman" w:cs="Times New Roman"/>
          <w:b/>
          <w:sz w:val="22"/>
          <w:szCs w:val="22"/>
          <w:lang w:val="en-US"/>
        </w:rPr>
        <w:t>Effect of varying the (Pu/U)</w:t>
      </w:r>
      <w:r w:rsidR="003A44C5" w:rsidRPr="0084570B">
        <w:rPr>
          <w:rFonts w:ascii="Times New Roman" w:eastAsia="Times New Roman" w:hAnsi="Times New Roman" w:cs="Times New Roman"/>
          <w:b/>
          <w:sz w:val="22"/>
          <w:szCs w:val="22"/>
          <w:vertAlign w:val="subscript"/>
          <w:lang w:val="en-US"/>
        </w:rPr>
        <w:t>0</w:t>
      </w:r>
      <w:r w:rsidR="003A44C5" w:rsidRPr="0084570B">
        <w:rPr>
          <w:rFonts w:ascii="Times New Roman" w:eastAsia="Times New Roman" w:hAnsi="Times New Roman" w:cs="Times New Roman"/>
          <w:b/>
          <w:sz w:val="22"/>
          <w:szCs w:val="22"/>
          <w:lang w:val="en-US"/>
        </w:rPr>
        <w:t xml:space="preserve"> on the ultimate </w:t>
      </w:r>
      <w:r w:rsidR="0058139C" w:rsidRPr="0084570B">
        <w:rPr>
          <w:rFonts w:ascii="Times New Roman" w:eastAsia="Times New Roman" w:hAnsi="Times New Roman" w:cs="Times New Roman"/>
          <w:b/>
          <w:sz w:val="22"/>
          <w:szCs w:val="22"/>
          <w:lang w:val="en-US"/>
        </w:rPr>
        <w:t>Xe</w:t>
      </w:r>
      <w:r w:rsidR="0058139C" w:rsidRPr="0084570B">
        <w:rPr>
          <w:rFonts w:ascii="Times New Roman" w:eastAsia="Times New Roman" w:hAnsi="Times New Roman" w:cs="Times New Roman"/>
          <w:b/>
          <w:sz w:val="22"/>
          <w:szCs w:val="22"/>
          <w:vertAlign w:val="subscript"/>
          <w:lang w:val="en-US"/>
        </w:rPr>
        <w:t>Pu</w:t>
      </w:r>
      <w:r w:rsidR="0058139C" w:rsidRPr="0084570B">
        <w:rPr>
          <w:rFonts w:ascii="Times New Roman" w:eastAsia="Times New Roman" w:hAnsi="Times New Roman" w:cs="Times New Roman"/>
          <w:b/>
          <w:sz w:val="22"/>
          <w:szCs w:val="22"/>
          <w:lang w:val="en-US"/>
        </w:rPr>
        <w:t>/Xe</w:t>
      </w:r>
      <w:r w:rsidR="0058139C" w:rsidRPr="0084570B">
        <w:rPr>
          <w:rFonts w:ascii="Times New Roman" w:eastAsia="Times New Roman" w:hAnsi="Times New Roman" w:cs="Times New Roman"/>
          <w:b/>
          <w:sz w:val="22"/>
          <w:szCs w:val="22"/>
          <w:vertAlign w:val="subscript"/>
          <w:lang w:val="en-US"/>
        </w:rPr>
        <w:t>TF</w:t>
      </w:r>
      <w:r w:rsidR="0058139C" w:rsidRPr="0084570B">
        <w:rPr>
          <w:rFonts w:ascii="Times New Roman" w:eastAsia="Times New Roman" w:hAnsi="Times New Roman" w:cs="Times New Roman"/>
          <w:b/>
          <w:sz w:val="22"/>
          <w:szCs w:val="22"/>
          <w:lang w:val="en-US"/>
        </w:rPr>
        <w:t xml:space="preserve"> of the upper mantle. </w:t>
      </w:r>
      <w:r w:rsidR="0058139C" w:rsidRPr="0084570B">
        <w:rPr>
          <w:rFonts w:ascii="Times New Roman" w:eastAsia="Times New Roman" w:hAnsi="Times New Roman" w:cs="Times New Roman"/>
          <w:sz w:val="22"/>
          <w:szCs w:val="22"/>
          <w:lang w:val="en-US"/>
        </w:rPr>
        <w:t>For this exercise, the gradient descent technique was used to find the combination of input parameters that provides the best fit to the MORB</w:t>
      </w:r>
      <w:r w:rsidR="0058139C" w:rsidRPr="0084570B">
        <w:rPr>
          <w:rFonts w:ascii="Times New Roman" w:eastAsia="Times New Roman" w:hAnsi="Times New Roman" w:cs="Times New Roman"/>
          <w:sz w:val="22"/>
          <w:szCs w:val="22"/>
          <w:lang w:val="en-US"/>
        </w:rPr>
        <w:fldChar w:fldCharType="begin" w:fldLock="1"/>
      </w:r>
      <w:r w:rsidR="004D5F86" w:rsidRPr="0084570B">
        <w:rPr>
          <w:rFonts w:ascii="Times New Roman" w:eastAsia="Times New Roman" w:hAnsi="Times New Roman" w:cs="Times New Roman"/>
          <w:sz w:val="22"/>
          <w:szCs w:val="22"/>
          <w:lang w:val="en-US"/>
        </w:rPr>
        <w:instrText>ADDIN CSL_CITATION {"citationItems":[{"id":"ITEM-1","itemData":{"DOI":"10.1016/j.gca.2020.11.011","ISSN":"00167037","abstract":"Heavy noble gas (Ne, Ar, Xe) isotopic compositions provide powerful constraints on the nature of mantle heterogeneities. The North Atlantic popping rock sample 2ΠD43 is unusually gas-rich and has long formed the basis of our understanding of the noble gas composition of the mid-ocean ridge basalt (MORB) mantle source. Here we present new high-precision He, Ne, Ar and Xe isotopic compositions as well as He, Ne, Ar and Xe abundances measured in a split of the 2ΠD43 sample. After correcting the measured values for syn- to post-eruptive atmospheric contamination, we estimate a mantle source 21Ne/22Ne of 0.0590 ± 0.0002, 40Ar/36Ar of 23,900 ± 100 and 129Xe/130Xe of 7.41 ± 0.02 for 2ΠD43. Significant regassing of atmospheric Xe into the North Atlantic popping rock mantle source is evident, though differential regassing cannot explain systematic variations between MORB and plume-derived signatures. Rather, the fissiogenic Xe isotope signature of the 2ΠD43 mantle source indicates a greater extent of long-term degassing of the upper mantle relative to the plume mantle to explain heavy noble gas isotopic variations. The popping rock data also add to growing evidence that the MORB mantle differentiated from the reservoir supplying noble gases to plume sources within the first 100 Myr of Earth history, and that the two reservoirs have not been homogenized though 4.45 Ga of mantle convection.","author":[{"dropping-particle":"","family":"Parai","given":"Rita","non-dropping-particle":"","parse-names":false,"suffix":""},{"dropping-particle":"","family":"Mukhopadhyay","given":"Sujoy","non-dropping-particle":"","parse-names":false,"suffix":""}],"container-title":"Geochimica et Cosmochimica Acta","id":"ITEM-1","issued":{"date-parts":[["2021"]]},"page":"89-105","publisher":"Elsevier Ltd","title":"Heavy noble gas signatures of the North Atlantic Popping Rock 2ΠD43: Implications for mantle noble gas heterogeneity","type":"article-journal","volume":"294"},"uris":["http://www.mendeley.com/documents/?uuid=014db72f-4d6e-4f95-87db-8d7998723868"]}],"mendeley":{"formattedCitation":"&lt;sup&gt;6&lt;/sup&gt;","plainTextFormattedCitation":"6","previouslyFormattedCitation":"&lt;sup&gt;6&lt;/sup&gt;"},"properties":{"noteIndex":0},"schema":"https://github.com/citation-style-language/schema/raw/master/csl-citation.json"}</w:instrText>
      </w:r>
      <w:r w:rsidR="0058139C" w:rsidRPr="0084570B">
        <w:rPr>
          <w:rFonts w:ascii="Times New Roman" w:eastAsia="Times New Roman" w:hAnsi="Times New Roman" w:cs="Times New Roman"/>
          <w:sz w:val="22"/>
          <w:szCs w:val="22"/>
          <w:lang w:val="en-US"/>
        </w:rPr>
        <w:fldChar w:fldCharType="separate"/>
      </w:r>
      <w:r w:rsidR="0058139C" w:rsidRPr="0084570B">
        <w:rPr>
          <w:rFonts w:ascii="Times New Roman" w:eastAsia="Times New Roman" w:hAnsi="Times New Roman" w:cs="Times New Roman"/>
          <w:noProof/>
          <w:sz w:val="22"/>
          <w:szCs w:val="22"/>
          <w:vertAlign w:val="superscript"/>
          <w:lang w:val="en-US"/>
        </w:rPr>
        <w:t>6</w:t>
      </w:r>
      <w:r w:rsidR="0058139C" w:rsidRPr="0084570B">
        <w:rPr>
          <w:rFonts w:ascii="Times New Roman" w:eastAsia="Times New Roman" w:hAnsi="Times New Roman" w:cs="Times New Roman"/>
          <w:sz w:val="22"/>
          <w:szCs w:val="22"/>
          <w:lang w:val="en-US"/>
        </w:rPr>
        <w:fldChar w:fldCharType="end"/>
      </w:r>
      <w:r w:rsidR="0058139C" w:rsidRPr="0084570B">
        <w:rPr>
          <w:rFonts w:ascii="Times New Roman" w:eastAsia="Times New Roman" w:hAnsi="Times New Roman" w:cs="Times New Roman"/>
          <w:sz w:val="22"/>
          <w:szCs w:val="22"/>
          <w:lang w:val="en-US"/>
        </w:rPr>
        <w:t xml:space="preserve"> target composition, using a (Pu/U)</w:t>
      </w:r>
      <w:r w:rsidR="0058139C" w:rsidRPr="0084570B">
        <w:rPr>
          <w:rFonts w:ascii="Times New Roman" w:eastAsia="Times New Roman" w:hAnsi="Times New Roman" w:cs="Times New Roman"/>
          <w:sz w:val="22"/>
          <w:szCs w:val="22"/>
          <w:vertAlign w:val="subscript"/>
          <w:lang w:val="en-US"/>
        </w:rPr>
        <w:t>0</w:t>
      </w:r>
      <w:r w:rsidR="0058139C" w:rsidRPr="0084570B">
        <w:rPr>
          <w:rFonts w:ascii="Times New Roman" w:eastAsia="Times New Roman" w:hAnsi="Times New Roman" w:cs="Times New Roman"/>
          <w:sz w:val="22"/>
          <w:szCs w:val="22"/>
          <w:lang w:val="en-US"/>
        </w:rPr>
        <w:t xml:space="preserve"> of 0.0068</w:t>
      </w:r>
      <w:r w:rsidR="0058139C"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{"citationItems":[{"id":"ITEM-1","itemData":{"author":[{"dropping-particle":"","family":"Hudson","given":"G. B.","non-dropping-particle":"","parse-names":false,"suffix":""},{"dropping-particle":"","family":"Kennedy","given":"B. M.","non-dropping-particle":"","parse-names":false,"suffix":""},{"dropping-particle":"","family":"Podosek","given":"F A","non-dropping-particle":"","parse-names":false,"suffix":""},{"dropping-particle":"","family":"Hohenberg","given":"C. M.","non-dropping-particle":"","parse-names":false,"suffix":""}],"container-title":"Proc. 19th Lunar and Planetary Science Conference 547–557 (Lunar and Planetary Institute)","id":"ITEM-1","issued":{"date-parts":[["1989"]]},"title":"The early solar system abundance of 244Pu as interred from the St. Severin chondrite","type":"paper-conference"},"uris":["http://www.mendeley.com/documents/?uuid=6caa7dfb-126c-4ab7-8c4b-74a80158f8ed"]}],"mendeley":{"formattedCitation":"&lt;sup&gt;34&lt;/sup&gt;","plainTextFormattedCitation":"34","previouslyFormattedCitation":"&lt;sup&gt;34&lt;/sup&gt;"},"properties":{"noteIndex":0},"schema":"https://github.com/citation-style-language/schema/raw/master/csl-citation.json"}</w:instrText>
      </w:r>
      <w:r w:rsidR="0058139C"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34</w:t>
      </w:r>
      <w:r w:rsidR="0058139C" w:rsidRPr="0084570B">
        <w:rPr>
          <w:rFonts w:ascii="Times New Roman" w:eastAsia="Times New Roman" w:hAnsi="Times New Roman" w:cs="Times New Roman"/>
          <w:sz w:val="22"/>
          <w:szCs w:val="22"/>
          <w:lang w:val="en-US"/>
        </w:rPr>
        <w:fldChar w:fldCharType="end"/>
      </w:r>
      <w:r w:rsidR="0058139C" w:rsidRPr="0084570B">
        <w:rPr>
          <w:rFonts w:ascii="Times New Roman" w:eastAsia="Times New Roman" w:hAnsi="Times New Roman" w:cs="Times New Roman"/>
          <w:sz w:val="22"/>
          <w:szCs w:val="22"/>
          <w:lang w:val="en-US"/>
        </w:rPr>
        <w:t>. The (Pu/U)</w:t>
      </w:r>
      <w:r w:rsidR="0058139C" w:rsidRPr="0084570B">
        <w:rPr>
          <w:rFonts w:ascii="Times New Roman" w:eastAsia="Times New Roman" w:hAnsi="Times New Roman" w:cs="Times New Roman"/>
          <w:sz w:val="22"/>
          <w:szCs w:val="22"/>
          <w:vertAlign w:val="subscript"/>
          <w:lang w:val="en-US"/>
        </w:rPr>
        <w:t>0</w:t>
      </w:r>
      <w:r w:rsidR="0058139C" w:rsidRPr="0084570B">
        <w:rPr>
          <w:rFonts w:ascii="Times New Roman" w:eastAsia="Times New Roman" w:hAnsi="Times New Roman" w:cs="Times New Roman"/>
          <w:sz w:val="22"/>
          <w:szCs w:val="22"/>
          <w:lang w:val="en-US"/>
        </w:rPr>
        <w:t xml:space="preserve"> was then varied (with all other input parameters kept constant) to explore the effect of uniquely varying the (Pu/U)</w:t>
      </w:r>
      <w:r w:rsidR="0058139C" w:rsidRPr="0084570B">
        <w:rPr>
          <w:rFonts w:ascii="Times New Roman" w:eastAsia="Times New Roman" w:hAnsi="Times New Roman" w:cs="Times New Roman"/>
          <w:sz w:val="22"/>
          <w:szCs w:val="22"/>
          <w:vertAlign w:val="subscript"/>
          <w:lang w:val="en-US"/>
        </w:rPr>
        <w:t>0</w:t>
      </w:r>
      <w:r w:rsidR="0058139C" w:rsidRPr="0084570B">
        <w:rPr>
          <w:rFonts w:ascii="Times New Roman" w:eastAsia="Times New Roman" w:hAnsi="Times New Roman" w:cs="Times New Roman"/>
          <w:sz w:val="22"/>
          <w:szCs w:val="22"/>
          <w:lang w:val="en-US"/>
        </w:rPr>
        <w:t xml:space="preserve"> on the ultimate Xe</w:t>
      </w:r>
      <w:r w:rsidR="0058139C" w:rsidRPr="0084570B">
        <w:rPr>
          <w:rFonts w:ascii="Times New Roman" w:eastAsia="Times New Roman" w:hAnsi="Times New Roman" w:cs="Times New Roman"/>
          <w:sz w:val="22"/>
          <w:szCs w:val="22"/>
          <w:vertAlign w:val="subscript"/>
          <w:lang w:val="en-US"/>
        </w:rPr>
        <w:t>Pu</w:t>
      </w:r>
      <w:r w:rsidR="0058139C" w:rsidRPr="0084570B">
        <w:rPr>
          <w:rFonts w:ascii="Times New Roman" w:eastAsia="Times New Roman" w:hAnsi="Times New Roman" w:cs="Times New Roman"/>
          <w:sz w:val="22"/>
          <w:szCs w:val="22"/>
          <w:lang w:val="en-US"/>
        </w:rPr>
        <w:t>/Xe</w:t>
      </w:r>
      <w:r w:rsidR="0058139C" w:rsidRPr="0084570B">
        <w:rPr>
          <w:rFonts w:ascii="Times New Roman" w:eastAsia="Times New Roman" w:hAnsi="Times New Roman" w:cs="Times New Roman"/>
          <w:sz w:val="22"/>
          <w:szCs w:val="22"/>
          <w:vertAlign w:val="subscript"/>
          <w:lang w:val="en-US"/>
        </w:rPr>
        <w:t>TF</w:t>
      </w:r>
      <w:r w:rsidR="0058139C" w:rsidRPr="0084570B">
        <w:rPr>
          <w:rFonts w:ascii="Times New Roman" w:eastAsia="Times New Roman" w:hAnsi="Times New Roman" w:cs="Times New Roman"/>
          <w:sz w:val="22"/>
          <w:szCs w:val="22"/>
          <w:lang w:val="en-US"/>
        </w:rPr>
        <w:t xml:space="preserve"> of the upper mantle.</w:t>
      </w:r>
    </w:p>
    <w:tbl>
      <w:tblPr>
        <w:tblStyle w:val="a2"/>
        <w:tblW w:w="6270" w:type="dxa"/>
        <w:jc w:val="center"/>
        <w:tblInd w:w="0" w:type="dxa"/>
        <w:tblLayout w:type="fixed"/>
        <w:tblLook w:val="0600" w:firstRow="0" w:lastRow="0" w:firstColumn="0" w:lastColumn="0" w:noHBand="1" w:noVBand="1"/>
      </w:tblPr>
      <w:tblGrid>
        <w:gridCol w:w="1056"/>
        <w:gridCol w:w="1738"/>
        <w:gridCol w:w="1738"/>
        <w:gridCol w:w="1738"/>
      </w:tblGrid>
      <w:tr w:rsidR="00964453" w:rsidRPr="0084570B" w14:paraId="4E0B4E8D" w14:textId="77777777" w:rsidTr="00A00C27">
        <w:trPr>
          <w:trHeight w:val="57"/>
          <w:jc w:val="center"/>
        </w:trPr>
        <w:tc>
          <w:tcPr>
            <w:tcW w:w="1056" w:type="dxa"/>
            <w:tcMar>
              <w:top w:w="100" w:type="dxa"/>
              <w:left w:w="100" w:type="dxa"/>
              <w:bottom w:w="100" w:type="dxa"/>
              <w:right w:w="100" w:type="dxa"/>
            </w:tcMar>
            <w:vAlign w:val="center"/>
          </w:tcPr>
          <w:p w14:paraId="33C1D01B"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tcMar>
              <w:top w:w="100" w:type="dxa"/>
              <w:left w:w="100" w:type="dxa"/>
              <w:bottom w:w="100" w:type="dxa"/>
              <w:right w:w="100" w:type="dxa"/>
            </w:tcMar>
            <w:vAlign w:val="center"/>
          </w:tcPr>
          <w:p w14:paraId="2D597E0B"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vAlign w:val="center"/>
          </w:tcPr>
          <w:p w14:paraId="5D45247E"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(Pu/U)</w:t>
            </w:r>
            <w:r w:rsidRPr="0084570B">
              <w:rPr>
                <w:rFonts w:ascii="Times New Roman" w:eastAsia="Times New Roman" w:hAnsi="Times New Roman" w:cs="Times New Roman"/>
                <w:b/>
                <w:sz w:val="20"/>
                <w:szCs w:val="22"/>
                <w:vertAlign w:val="subscript"/>
                <w:lang w:val="en-US"/>
              </w:rPr>
              <w:t>0</w:t>
            </w:r>
            <w:r w:rsidRPr="0084570B">
              <w:rPr>
                <w:rFonts w:ascii="Times New Roman" w:eastAsia="Times New Roman" w:hAnsi="Times New Roman" w:cs="Times New Roman"/>
                <w:b/>
                <w:sz w:val="20"/>
                <w:szCs w:val="22"/>
                <w:lang w:val="en-US"/>
              </w:rPr>
              <w:t xml:space="preserve"> = 0.0068</w:t>
            </w:r>
          </w:p>
        </w:tc>
        <w:tc>
          <w:tcPr>
            <w:tcW w:w="1738" w:type="dxa"/>
            <w:tcMar>
              <w:top w:w="100" w:type="dxa"/>
              <w:left w:w="100" w:type="dxa"/>
              <w:bottom w:w="100" w:type="dxa"/>
              <w:right w:w="100" w:type="dxa"/>
            </w:tcMar>
            <w:vAlign w:val="center"/>
          </w:tcPr>
          <w:p w14:paraId="4095CDF7"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(Pu/U)</w:t>
            </w:r>
            <w:r w:rsidRPr="0084570B">
              <w:rPr>
                <w:rFonts w:ascii="Times New Roman" w:eastAsia="Times New Roman" w:hAnsi="Times New Roman" w:cs="Times New Roman"/>
                <w:b/>
                <w:sz w:val="20"/>
                <w:szCs w:val="22"/>
                <w:vertAlign w:val="subscript"/>
                <w:lang w:val="en-US"/>
              </w:rPr>
              <w:t>0</w:t>
            </w:r>
            <w:r w:rsidRPr="0084570B">
              <w:rPr>
                <w:rFonts w:ascii="Times New Roman" w:eastAsia="Times New Roman" w:hAnsi="Times New Roman" w:cs="Times New Roman"/>
                <w:b/>
                <w:sz w:val="20"/>
                <w:szCs w:val="22"/>
                <w:lang w:val="en-US"/>
              </w:rPr>
              <w:t xml:space="preserve"> = 0.0034</w:t>
            </w:r>
          </w:p>
        </w:tc>
      </w:tr>
      <w:tr w:rsidR="00964453" w:rsidRPr="0084570B" w14:paraId="6172CC0D" w14:textId="77777777" w:rsidTr="00A00C27">
        <w:trPr>
          <w:trHeight w:val="57"/>
          <w:jc w:val="center"/>
        </w:trPr>
        <w:tc>
          <w:tcPr>
            <w:tcW w:w="1056" w:type="dxa"/>
            <w:vMerge w:val="restart"/>
            <w:tcMar>
              <w:top w:w="100" w:type="dxa"/>
              <w:left w:w="100" w:type="dxa"/>
              <w:bottom w:w="100" w:type="dxa"/>
              <w:right w:w="100" w:type="dxa"/>
            </w:tcMar>
            <w:vAlign w:val="center"/>
          </w:tcPr>
          <w:p w14:paraId="22D15E8D"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MORB</w:t>
            </w:r>
          </w:p>
          <w:p w14:paraId="55250D34"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(no giant impact)</w:t>
            </w:r>
          </w:p>
        </w:tc>
        <w:tc>
          <w:tcPr>
            <w:tcW w:w="1738" w:type="dxa"/>
            <w:tcMar>
              <w:top w:w="100" w:type="dxa"/>
              <w:left w:w="100" w:type="dxa"/>
              <w:bottom w:w="100" w:type="dxa"/>
              <w:right w:w="100" w:type="dxa"/>
            </w:tcMar>
            <w:vAlign w:val="center"/>
          </w:tcPr>
          <w:p w14:paraId="097876C2"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m:oMathPara>
              <m:oMath>
                <m:r>
                  <w:rPr>
                    <w:rFonts w:ascii="Cambria Math" w:hAnsi="Cambria Math" w:cs="Times New Roman"/>
                    <w:sz w:val="20"/>
                    <w:szCs w:val="22"/>
                    <w:lang w:val="en-US"/>
                  </w:rPr>
                  <m:t>η</m:t>
                </m:r>
              </m:oMath>
            </m:oMathPara>
          </w:p>
        </w:tc>
        <w:tc>
          <w:tcPr>
            <w:tcW w:w="1738" w:type="dxa"/>
            <w:vAlign w:val="center"/>
          </w:tcPr>
          <w:p w14:paraId="6D70B568"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7.22 x10</w:t>
            </w:r>
            <w:r w:rsidRPr="0084570B">
              <w:rPr>
                <w:rFonts w:ascii="Times New Roman" w:eastAsia="Times New Roman" w:hAnsi="Times New Roman" w:cs="Times New Roman"/>
                <w:sz w:val="20"/>
                <w:szCs w:val="22"/>
                <w:vertAlign w:val="superscript"/>
                <w:lang w:val="en-US"/>
              </w:rPr>
              <w:t>-10</w:t>
            </w:r>
          </w:p>
        </w:tc>
        <w:tc>
          <w:tcPr>
            <w:tcW w:w="1738" w:type="dxa"/>
            <w:tcMar>
              <w:top w:w="100" w:type="dxa"/>
              <w:left w:w="100" w:type="dxa"/>
              <w:bottom w:w="100" w:type="dxa"/>
              <w:right w:w="100" w:type="dxa"/>
            </w:tcMar>
            <w:vAlign w:val="center"/>
          </w:tcPr>
          <w:p w14:paraId="17EC5B2F"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sz w:val="20"/>
                <w:szCs w:val="22"/>
                <w:lang w:val="en-US"/>
              </w:rPr>
              <w:t>6.74 x10</w:t>
            </w:r>
            <w:r w:rsidRPr="0084570B">
              <w:rPr>
                <w:rFonts w:ascii="Times New Roman" w:eastAsia="Times New Roman" w:hAnsi="Times New Roman" w:cs="Times New Roman"/>
                <w:sz w:val="20"/>
                <w:szCs w:val="22"/>
                <w:vertAlign w:val="superscript"/>
                <w:lang w:val="en-US"/>
              </w:rPr>
              <w:t>-10</w:t>
            </w:r>
          </w:p>
        </w:tc>
      </w:tr>
      <w:tr w:rsidR="00964453" w:rsidRPr="0084570B" w14:paraId="3E709269" w14:textId="77777777" w:rsidTr="00A00C27">
        <w:trPr>
          <w:trHeight w:val="57"/>
          <w:jc w:val="center"/>
        </w:trPr>
        <w:tc>
          <w:tcPr>
            <w:tcW w:w="1056" w:type="dxa"/>
            <w:vMerge/>
            <w:tcMar>
              <w:top w:w="100" w:type="dxa"/>
              <w:left w:w="100" w:type="dxa"/>
              <w:bottom w:w="100" w:type="dxa"/>
              <w:right w:w="100" w:type="dxa"/>
            </w:tcMar>
            <w:vAlign w:val="center"/>
          </w:tcPr>
          <w:p w14:paraId="0C0AEE7C"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tcMar>
              <w:top w:w="100" w:type="dxa"/>
              <w:left w:w="100" w:type="dxa"/>
              <w:bottom w:w="100" w:type="dxa"/>
              <w:right w:w="100" w:type="dxa"/>
            </w:tcMar>
            <w:vAlign w:val="center"/>
          </w:tcPr>
          <w:p w14:paraId="1A6BC3C5"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[I]</w:t>
            </w:r>
            <w:r w:rsidRPr="0084570B">
              <w:rPr>
                <w:rFonts w:ascii="Times New Roman" w:eastAsia="Times New Roman" w:hAnsi="Times New Roman" w:cs="Times New Roman"/>
                <w:b/>
                <w:sz w:val="20"/>
                <w:szCs w:val="22"/>
                <w:vertAlign w:val="subscript"/>
                <w:lang w:val="en-US"/>
              </w:rPr>
              <w:t>init.</w:t>
            </w:r>
          </w:p>
        </w:tc>
        <w:tc>
          <w:tcPr>
            <w:tcW w:w="1738" w:type="dxa"/>
            <w:vAlign w:val="center"/>
          </w:tcPr>
          <w:p w14:paraId="3342234D"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1.90</w:t>
            </w:r>
          </w:p>
        </w:tc>
        <w:tc>
          <w:tcPr>
            <w:tcW w:w="1738" w:type="dxa"/>
            <w:tcMar>
              <w:top w:w="100" w:type="dxa"/>
              <w:left w:w="100" w:type="dxa"/>
              <w:bottom w:w="100" w:type="dxa"/>
              <w:right w:w="100" w:type="dxa"/>
            </w:tcMar>
            <w:vAlign w:val="center"/>
          </w:tcPr>
          <w:p w14:paraId="0B51066F"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sz w:val="20"/>
                <w:szCs w:val="22"/>
                <w:lang w:val="en-US"/>
              </w:rPr>
              <w:t>0.84</w:t>
            </w:r>
          </w:p>
        </w:tc>
      </w:tr>
      <w:tr w:rsidR="00964453" w:rsidRPr="0084570B" w14:paraId="148B7C8C" w14:textId="77777777" w:rsidTr="00A00C27">
        <w:trPr>
          <w:trHeight w:val="57"/>
          <w:jc w:val="center"/>
        </w:trPr>
        <w:tc>
          <w:tcPr>
            <w:tcW w:w="1056" w:type="dxa"/>
            <w:vMerge/>
            <w:tcMar>
              <w:top w:w="100" w:type="dxa"/>
              <w:left w:w="100" w:type="dxa"/>
              <w:bottom w:w="100" w:type="dxa"/>
              <w:right w:w="100" w:type="dxa"/>
            </w:tcMar>
            <w:vAlign w:val="center"/>
          </w:tcPr>
          <w:p w14:paraId="7FADA7EC"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tcMar>
              <w:top w:w="100" w:type="dxa"/>
              <w:left w:w="100" w:type="dxa"/>
              <w:bottom w:w="100" w:type="dxa"/>
              <w:right w:w="100" w:type="dxa"/>
            </w:tcMar>
            <w:vAlign w:val="center"/>
          </w:tcPr>
          <w:p w14:paraId="44100A83"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w:t>
            </w:r>
            <w:r w:rsidRPr="0084570B">
              <w:rPr>
                <w:rFonts w:ascii="Times New Roman" w:eastAsia="Times New Roman" w:hAnsi="Times New Roman" w:cs="Times New Roman"/>
                <w:b/>
                <w:sz w:val="20"/>
                <w:szCs w:val="22"/>
                <w:vertAlign w:val="superscript"/>
                <w:lang w:val="en-US"/>
              </w:rPr>
              <w:t>130</w:t>
            </w:r>
            <w:r w:rsidRPr="0084570B">
              <w:rPr>
                <w:rFonts w:ascii="Times New Roman" w:eastAsia="Times New Roman" w:hAnsi="Times New Roman" w:cs="Times New Roman"/>
                <w:b/>
                <w:sz w:val="20"/>
                <w:szCs w:val="22"/>
                <w:lang w:val="en-US"/>
              </w:rPr>
              <w:t>Xe]</w:t>
            </w:r>
            <w:r w:rsidRPr="0084570B">
              <w:rPr>
                <w:rFonts w:ascii="Times New Roman" w:eastAsia="Times New Roman" w:hAnsi="Times New Roman" w:cs="Times New Roman"/>
                <w:b/>
                <w:sz w:val="20"/>
                <w:szCs w:val="22"/>
                <w:vertAlign w:val="subscript"/>
                <w:lang w:val="en-US"/>
              </w:rPr>
              <w:t>pres.</w:t>
            </w:r>
          </w:p>
        </w:tc>
        <w:tc>
          <w:tcPr>
            <w:tcW w:w="1738" w:type="dxa"/>
            <w:vAlign w:val="center"/>
          </w:tcPr>
          <w:p w14:paraId="36700E25"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4.30 x10</w:t>
            </w:r>
            <w:r w:rsidRPr="0084570B">
              <w:rPr>
                <w:rFonts w:ascii="Times New Roman" w:eastAsia="Times New Roman" w:hAnsi="Times New Roman" w:cs="Times New Roman"/>
                <w:sz w:val="20"/>
                <w:szCs w:val="22"/>
                <w:vertAlign w:val="superscript"/>
                <w:lang w:val="en-US"/>
              </w:rPr>
              <w:t>-18</w:t>
            </w:r>
          </w:p>
        </w:tc>
        <w:tc>
          <w:tcPr>
            <w:tcW w:w="1738" w:type="dxa"/>
            <w:tcMar>
              <w:top w:w="100" w:type="dxa"/>
              <w:left w:w="100" w:type="dxa"/>
              <w:bottom w:w="100" w:type="dxa"/>
              <w:right w:w="100" w:type="dxa"/>
            </w:tcMar>
            <w:vAlign w:val="center"/>
          </w:tcPr>
          <w:p w14:paraId="03DB7105"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sz w:val="20"/>
                <w:szCs w:val="22"/>
                <w:lang w:val="en-US"/>
              </w:rPr>
              <w:t>4.51 x10</w:t>
            </w:r>
            <w:r w:rsidRPr="0084570B">
              <w:rPr>
                <w:rFonts w:ascii="Times New Roman" w:eastAsia="Times New Roman" w:hAnsi="Times New Roman" w:cs="Times New Roman"/>
                <w:sz w:val="20"/>
                <w:szCs w:val="22"/>
                <w:vertAlign w:val="superscript"/>
                <w:lang w:val="en-US"/>
              </w:rPr>
              <w:t>-18</w:t>
            </w:r>
          </w:p>
        </w:tc>
      </w:tr>
      <w:tr w:rsidR="00964453" w:rsidRPr="0084570B" w14:paraId="6EB9BD1D" w14:textId="77777777" w:rsidTr="00A00C27">
        <w:trPr>
          <w:trHeight w:val="57"/>
          <w:jc w:val="center"/>
        </w:trPr>
        <w:tc>
          <w:tcPr>
            <w:tcW w:w="1056" w:type="dxa"/>
            <w:vMerge/>
            <w:tcMar>
              <w:top w:w="100" w:type="dxa"/>
              <w:left w:w="100" w:type="dxa"/>
              <w:bottom w:w="100" w:type="dxa"/>
              <w:right w:w="100" w:type="dxa"/>
            </w:tcMar>
            <w:vAlign w:val="center"/>
          </w:tcPr>
          <w:p w14:paraId="4635D562"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tcMar>
              <w:top w:w="100" w:type="dxa"/>
              <w:left w:w="100" w:type="dxa"/>
              <w:bottom w:w="100" w:type="dxa"/>
              <w:right w:w="100" w:type="dxa"/>
            </w:tcMar>
            <w:vAlign w:val="center"/>
          </w:tcPr>
          <w:p w14:paraId="1A47F83B"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f</w:t>
            </w:r>
            <w:r w:rsidRPr="0084570B">
              <w:rPr>
                <w:rFonts w:ascii="Times New Roman" w:eastAsia="Times New Roman" w:hAnsi="Times New Roman" w:cs="Times New Roman"/>
                <w:b/>
                <w:sz w:val="20"/>
                <w:szCs w:val="22"/>
                <w:vertAlign w:val="subscript"/>
                <w:lang w:val="en-US"/>
              </w:rPr>
              <w:t>exp</w:t>
            </w:r>
          </w:p>
        </w:tc>
        <w:tc>
          <w:tcPr>
            <w:tcW w:w="1738" w:type="dxa"/>
            <w:vAlign w:val="center"/>
          </w:tcPr>
          <w:p w14:paraId="560AAAED"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1.00</w:t>
            </w:r>
          </w:p>
        </w:tc>
        <w:tc>
          <w:tcPr>
            <w:tcW w:w="1738" w:type="dxa"/>
            <w:tcMar>
              <w:top w:w="100" w:type="dxa"/>
              <w:left w:w="100" w:type="dxa"/>
              <w:bottom w:w="100" w:type="dxa"/>
              <w:right w:w="100" w:type="dxa"/>
            </w:tcMar>
            <w:vAlign w:val="center"/>
          </w:tcPr>
          <w:p w14:paraId="724C287A"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sz w:val="20"/>
                <w:szCs w:val="22"/>
                <w:lang w:val="en-US"/>
              </w:rPr>
              <w:t>1.00</w:t>
            </w:r>
          </w:p>
        </w:tc>
      </w:tr>
      <w:tr w:rsidR="00964453" w:rsidRPr="0084570B" w14:paraId="596F0891" w14:textId="77777777" w:rsidTr="00A00C27">
        <w:trPr>
          <w:trHeight w:val="57"/>
          <w:jc w:val="center"/>
        </w:trPr>
        <w:tc>
          <w:tcPr>
            <w:tcW w:w="1056" w:type="dxa"/>
            <w:tcMar>
              <w:top w:w="100" w:type="dxa"/>
              <w:left w:w="100" w:type="dxa"/>
              <w:bottom w:w="100" w:type="dxa"/>
              <w:right w:w="100" w:type="dxa"/>
            </w:tcMar>
            <w:vAlign w:val="center"/>
          </w:tcPr>
          <w:p w14:paraId="6698F7D8"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tcMar>
              <w:top w:w="100" w:type="dxa"/>
              <w:left w:w="100" w:type="dxa"/>
              <w:bottom w:w="100" w:type="dxa"/>
              <w:right w:w="100" w:type="dxa"/>
            </w:tcMar>
            <w:vAlign w:val="center"/>
          </w:tcPr>
          <w:p w14:paraId="1569127B"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vAlign w:val="center"/>
          </w:tcPr>
          <w:p w14:paraId="7AF6B991"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tcMar>
              <w:top w:w="100" w:type="dxa"/>
              <w:left w:w="100" w:type="dxa"/>
              <w:bottom w:w="100" w:type="dxa"/>
              <w:right w:w="100" w:type="dxa"/>
            </w:tcMar>
            <w:vAlign w:val="center"/>
          </w:tcPr>
          <w:p w14:paraId="6639FB6A"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r>
      <w:tr w:rsidR="00964453" w:rsidRPr="0084570B" w14:paraId="79291FE8" w14:textId="77777777" w:rsidTr="00A00C27">
        <w:trPr>
          <w:trHeight w:val="57"/>
          <w:jc w:val="center"/>
        </w:trPr>
        <w:tc>
          <w:tcPr>
            <w:tcW w:w="1056" w:type="dxa"/>
            <w:vMerge w:val="restart"/>
            <w:tcMar>
              <w:top w:w="100" w:type="dxa"/>
              <w:left w:w="100" w:type="dxa"/>
              <w:bottom w:w="100" w:type="dxa"/>
              <w:right w:w="100" w:type="dxa"/>
            </w:tcMar>
            <w:vAlign w:val="center"/>
          </w:tcPr>
          <w:p w14:paraId="13A89492"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Mt. Etna</w:t>
            </w:r>
          </w:p>
        </w:tc>
        <w:tc>
          <w:tcPr>
            <w:tcW w:w="1738" w:type="dxa"/>
            <w:tcMar>
              <w:top w:w="100" w:type="dxa"/>
              <w:left w:w="100" w:type="dxa"/>
              <w:bottom w:w="100" w:type="dxa"/>
              <w:right w:w="100" w:type="dxa"/>
            </w:tcMar>
            <w:vAlign w:val="center"/>
          </w:tcPr>
          <w:p w14:paraId="45585C1D"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m:oMathPara>
              <m:oMath>
                <m:r>
                  <w:rPr>
                    <w:rFonts w:ascii="Cambria Math" w:hAnsi="Cambria Math" w:cs="Times New Roman"/>
                    <w:sz w:val="20"/>
                    <w:szCs w:val="22"/>
                    <w:lang w:val="en-US"/>
                  </w:rPr>
                  <m:t>η</m:t>
                </m:r>
              </m:oMath>
            </m:oMathPara>
          </w:p>
        </w:tc>
        <w:tc>
          <w:tcPr>
            <w:tcW w:w="1738" w:type="dxa"/>
            <w:vAlign w:val="center"/>
          </w:tcPr>
          <w:p w14:paraId="69D28B6A"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8.29 x10</w:t>
            </w:r>
            <w:r w:rsidRPr="0084570B">
              <w:rPr>
                <w:rFonts w:ascii="Times New Roman" w:eastAsia="Times New Roman" w:hAnsi="Times New Roman" w:cs="Times New Roman"/>
                <w:sz w:val="20"/>
                <w:szCs w:val="22"/>
                <w:vertAlign w:val="superscript"/>
                <w:lang w:val="en-US"/>
              </w:rPr>
              <w:t>-10</w:t>
            </w:r>
          </w:p>
        </w:tc>
        <w:tc>
          <w:tcPr>
            <w:tcW w:w="1738" w:type="dxa"/>
            <w:tcMar>
              <w:top w:w="100" w:type="dxa"/>
              <w:left w:w="100" w:type="dxa"/>
              <w:bottom w:w="100" w:type="dxa"/>
              <w:right w:w="100" w:type="dxa"/>
            </w:tcMar>
            <w:vAlign w:val="center"/>
          </w:tcPr>
          <w:p w14:paraId="4D3B5B44"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8.00 x10</w:t>
            </w:r>
            <w:r w:rsidRPr="0084570B">
              <w:rPr>
                <w:rFonts w:ascii="Times New Roman" w:eastAsia="Times New Roman" w:hAnsi="Times New Roman" w:cs="Times New Roman"/>
                <w:sz w:val="20"/>
                <w:szCs w:val="22"/>
                <w:vertAlign w:val="superscript"/>
                <w:lang w:val="en-US"/>
              </w:rPr>
              <w:t>-10</w:t>
            </w:r>
          </w:p>
        </w:tc>
      </w:tr>
      <w:tr w:rsidR="00964453" w:rsidRPr="0084570B" w14:paraId="6BE53603" w14:textId="77777777" w:rsidTr="00A00C27">
        <w:trPr>
          <w:trHeight w:val="57"/>
          <w:jc w:val="center"/>
        </w:trPr>
        <w:tc>
          <w:tcPr>
            <w:tcW w:w="1056" w:type="dxa"/>
            <w:vMerge/>
            <w:shd w:val="clear" w:color="auto" w:fill="auto"/>
            <w:tcMar>
              <w:top w:w="100" w:type="dxa"/>
              <w:left w:w="100" w:type="dxa"/>
              <w:bottom w:w="100" w:type="dxa"/>
              <w:right w:w="100" w:type="dxa"/>
            </w:tcMar>
            <w:vAlign w:val="center"/>
          </w:tcPr>
          <w:p w14:paraId="39BA102D"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shd w:val="clear" w:color="auto" w:fill="auto"/>
            <w:tcMar>
              <w:top w:w="100" w:type="dxa"/>
              <w:left w:w="100" w:type="dxa"/>
              <w:bottom w:w="100" w:type="dxa"/>
              <w:right w:w="100" w:type="dxa"/>
            </w:tcMar>
            <w:vAlign w:val="center"/>
          </w:tcPr>
          <w:p w14:paraId="320B62CB" w14:textId="77777777" w:rsidR="00964453" w:rsidRPr="0084570B" w:rsidRDefault="00964453" w:rsidP="00A00C27">
            <w:pPr>
              <w:pStyle w:val="Normal1"/>
              <w:jc w:val="center"/>
              <w:rPr>
                <w:rFonts w:ascii="Times New Roman" w:eastAsia="Times New Roman" w:hAnsi="Times New Roman" w:cs="Times New Roman"/>
                <w:b/>
                <w:sz w:val="20"/>
                <w:szCs w:val="22"/>
                <w:vertAlign w:val="subscript"/>
                <w:lang w:val="en-US"/>
              </w:rPr>
            </w:pPr>
            <w:r w:rsidRPr="0084570B">
              <w:rPr>
                <w:rFonts w:ascii="Times New Roman" w:eastAsia="Times New Roman" w:hAnsi="Times New Roman" w:cs="Times New Roman"/>
                <w:b/>
                <w:sz w:val="20"/>
                <w:szCs w:val="22"/>
                <w:lang w:val="en-US"/>
              </w:rPr>
              <w:t>[I]</w:t>
            </w:r>
            <w:r w:rsidRPr="0084570B">
              <w:rPr>
                <w:rFonts w:ascii="Times New Roman" w:eastAsia="Times New Roman" w:hAnsi="Times New Roman" w:cs="Times New Roman"/>
                <w:b/>
                <w:sz w:val="20"/>
                <w:szCs w:val="22"/>
                <w:vertAlign w:val="subscript"/>
                <w:lang w:val="en-US"/>
              </w:rPr>
              <w:t>init.</w:t>
            </w:r>
          </w:p>
        </w:tc>
        <w:tc>
          <w:tcPr>
            <w:tcW w:w="1738" w:type="dxa"/>
            <w:vAlign w:val="center"/>
          </w:tcPr>
          <w:p w14:paraId="79D9D46B"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12.8</w:t>
            </w:r>
          </w:p>
        </w:tc>
        <w:tc>
          <w:tcPr>
            <w:tcW w:w="1738" w:type="dxa"/>
            <w:shd w:val="clear" w:color="auto" w:fill="auto"/>
            <w:tcMar>
              <w:top w:w="100" w:type="dxa"/>
              <w:left w:w="100" w:type="dxa"/>
              <w:bottom w:w="100" w:type="dxa"/>
              <w:right w:w="100" w:type="dxa"/>
            </w:tcMar>
            <w:vAlign w:val="center"/>
          </w:tcPr>
          <w:p w14:paraId="34B7026F"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6.13</w:t>
            </w:r>
          </w:p>
        </w:tc>
      </w:tr>
      <w:tr w:rsidR="00964453" w:rsidRPr="0084570B" w14:paraId="7E156C12" w14:textId="77777777" w:rsidTr="00A00C27">
        <w:trPr>
          <w:trHeight w:val="57"/>
          <w:jc w:val="center"/>
        </w:trPr>
        <w:tc>
          <w:tcPr>
            <w:tcW w:w="1056" w:type="dxa"/>
            <w:vMerge/>
            <w:shd w:val="clear" w:color="auto" w:fill="auto"/>
            <w:tcMar>
              <w:top w:w="100" w:type="dxa"/>
              <w:left w:w="100" w:type="dxa"/>
              <w:bottom w:w="100" w:type="dxa"/>
              <w:right w:w="100" w:type="dxa"/>
            </w:tcMar>
            <w:vAlign w:val="center"/>
          </w:tcPr>
          <w:p w14:paraId="5355FB30"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shd w:val="clear" w:color="auto" w:fill="auto"/>
            <w:tcMar>
              <w:top w:w="100" w:type="dxa"/>
              <w:left w:w="100" w:type="dxa"/>
              <w:bottom w:w="100" w:type="dxa"/>
              <w:right w:w="100" w:type="dxa"/>
            </w:tcMar>
            <w:vAlign w:val="center"/>
          </w:tcPr>
          <w:p w14:paraId="24924212" w14:textId="77777777" w:rsidR="00964453" w:rsidRPr="0084570B" w:rsidRDefault="00964453" w:rsidP="00A00C27">
            <w:pPr>
              <w:pStyle w:val="Normal1"/>
              <w:jc w:val="center"/>
              <w:rPr>
                <w:rFonts w:ascii="Times New Roman" w:eastAsia="Times New Roman" w:hAnsi="Times New Roman" w:cs="Times New Roman"/>
                <w:b/>
                <w:sz w:val="20"/>
                <w:szCs w:val="22"/>
                <w:vertAlign w:val="subscript"/>
                <w:lang w:val="en-US"/>
              </w:rPr>
            </w:pPr>
            <w:r w:rsidRPr="0084570B">
              <w:rPr>
                <w:rFonts w:ascii="Times New Roman" w:eastAsia="Times New Roman" w:hAnsi="Times New Roman" w:cs="Times New Roman"/>
                <w:b/>
                <w:sz w:val="20"/>
                <w:szCs w:val="22"/>
                <w:lang w:val="en-US"/>
              </w:rPr>
              <w:t>[</w:t>
            </w:r>
            <w:r w:rsidRPr="0084570B">
              <w:rPr>
                <w:rFonts w:ascii="Times New Roman" w:eastAsia="Times New Roman" w:hAnsi="Times New Roman" w:cs="Times New Roman"/>
                <w:b/>
                <w:sz w:val="20"/>
                <w:szCs w:val="22"/>
                <w:vertAlign w:val="superscript"/>
                <w:lang w:val="en-US"/>
              </w:rPr>
              <w:t>130</w:t>
            </w:r>
            <w:r w:rsidRPr="0084570B">
              <w:rPr>
                <w:rFonts w:ascii="Times New Roman" w:eastAsia="Times New Roman" w:hAnsi="Times New Roman" w:cs="Times New Roman"/>
                <w:b/>
                <w:sz w:val="20"/>
                <w:szCs w:val="22"/>
                <w:lang w:val="en-US"/>
              </w:rPr>
              <w:t>Xe]</w:t>
            </w:r>
            <w:r w:rsidRPr="0084570B">
              <w:rPr>
                <w:rFonts w:ascii="Times New Roman" w:eastAsia="Times New Roman" w:hAnsi="Times New Roman" w:cs="Times New Roman"/>
                <w:b/>
                <w:sz w:val="20"/>
                <w:szCs w:val="22"/>
                <w:vertAlign w:val="subscript"/>
                <w:lang w:val="en-US"/>
              </w:rPr>
              <w:t>pres.</w:t>
            </w:r>
          </w:p>
        </w:tc>
        <w:tc>
          <w:tcPr>
            <w:tcW w:w="1738" w:type="dxa"/>
            <w:vAlign w:val="center"/>
          </w:tcPr>
          <w:p w14:paraId="19FD7A04"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1.93 x10</w:t>
            </w:r>
            <w:r w:rsidRPr="0084570B">
              <w:rPr>
                <w:rFonts w:ascii="Times New Roman" w:eastAsia="Times New Roman" w:hAnsi="Times New Roman" w:cs="Times New Roman"/>
                <w:sz w:val="20"/>
                <w:szCs w:val="22"/>
                <w:vertAlign w:val="superscript"/>
                <w:lang w:val="en-US"/>
              </w:rPr>
              <w:t>-18</w:t>
            </w:r>
          </w:p>
        </w:tc>
        <w:tc>
          <w:tcPr>
            <w:tcW w:w="1738" w:type="dxa"/>
            <w:shd w:val="clear" w:color="auto" w:fill="auto"/>
            <w:tcMar>
              <w:top w:w="100" w:type="dxa"/>
              <w:left w:w="100" w:type="dxa"/>
              <w:bottom w:w="100" w:type="dxa"/>
              <w:right w:w="100" w:type="dxa"/>
            </w:tcMar>
            <w:vAlign w:val="center"/>
          </w:tcPr>
          <w:p w14:paraId="2C3EBE40"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2.06 x10</w:t>
            </w:r>
            <w:r w:rsidRPr="0084570B">
              <w:rPr>
                <w:rFonts w:ascii="Times New Roman" w:eastAsia="Times New Roman" w:hAnsi="Times New Roman" w:cs="Times New Roman"/>
                <w:sz w:val="20"/>
                <w:szCs w:val="22"/>
                <w:vertAlign w:val="superscript"/>
                <w:lang w:val="en-US"/>
              </w:rPr>
              <w:t>-18</w:t>
            </w:r>
          </w:p>
        </w:tc>
      </w:tr>
      <w:tr w:rsidR="00964453" w:rsidRPr="0084570B" w14:paraId="13E5FE42" w14:textId="77777777" w:rsidTr="00A00C27">
        <w:trPr>
          <w:trHeight w:val="57"/>
          <w:jc w:val="center"/>
        </w:trPr>
        <w:tc>
          <w:tcPr>
            <w:tcW w:w="1056" w:type="dxa"/>
            <w:vMerge/>
            <w:shd w:val="clear" w:color="auto" w:fill="auto"/>
            <w:tcMar>
              <w:top w:w="100" w:type="dxa"/>
              <w:left w:w="100" w:type="dxa"/>
              <w:bottom w:w="100" w:type="dxa"/>
              <w:right w:w="100" w:type="dxa"/>
            </w:tcMar>
            <w:vAlign w:val="center"/>
          </w:tcPr>
          <w:p w14:paraId="16DFF20B"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p>
        </w:tc>
        <w:tc>
          <w:tcPr>
            <w:tcW w:w="1738" w:type="dxa"/>
            <w:shd w:val="clear" w:color="auto" w:fill="auto"/>
            <w:tcMar>
              <w:top w:w="100" w:type="dxa"/>
              <w:left w:w="100" w:type="dxa"/>
              <w:bottom w:w="100" w:type="dxa"/>
              <w:right w:w="100" w:type="dxa"/>
            </w:tcMar>
            <w:vAlign w:val="center"/>
          </w:tcPr>
          <w:p w14:paraId="28553B15" w14:textId="77777777" w:rsidR="00964453" w:rsidRPr="0084570B" w:rsidRDefault="00964453" w:rsidP="00A00C27">
            <w:pPr>
              <w:pStyle w:val="Normal1"/>
              <w:jc w:val="center"/>
              <w:rPr>
                <w:rFonts w:ascii="Times New Roman" w:eastAsia="Times New Roman" w:hAnsi="Times New Roman" w:cs="Times New Roman"/>
                <w:b/>
                <w:sz w:val="20"/>
                <w:szCs w:val="22"/>
                <w:lang w:val="en-US"/>
              </w:rPr>
            </w:pPr>
            <w:r w:rsidRPr="0084570B">
              <w:rPr>
                <w:rFonts w:ascii="Times New Roman" w:eastAsia="Times New Roman" w:hAnsi="Times New Roman" w:cs="Times New Roman"/>
                <w:b/>
                <w:sz w:val="20"/>
                <w:szCs w:val="22"/>
                <w:lang w:val="en-US"/>
              </w:rPr>
              <w:t>f</w:t>
            </w:r>
            <w:r w:rsidRPr="0084570B">
              <w:rPr>
                <w:rFonts w:ascii="Times New Roman" w:eastAsia="Times New Roman" w:hAnsi="Times New Roman" w:cs="Times New Roman"/>
                <w:b/>
                <w:sz w:val="20"/>
                <w:szCs w:val="22"/>
                <w:vertAlign w:val="subscript"/>
                <w:lang w:val="en-US"/>
              </w:rPr>
              <w:t>exp</w:t>
            </w:r>
          </w:p>
        </w:tc>
        <w:tc>
          <w:tcPr>
            <w:tcW w:w="1738" w:type="dxa"/>
            <w:vAlign w:val="center"/>
          </w:tcPr>
          <w:p w14:paraId="68C8591C"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0.01</w:t>
            </w:r>
          </w:p>
        </w:tc>
        <w:tc>
          <w:tcPr>
            <w:tcW w:w="1738" w:type="dxa"/>
            <w:shd w:val="clear" w:color="auto" w:fill="auto"/>
            <w:tcMar>
              <w:top w:w="100" w:type="dxa"/>
              <w:left w:w="100" w:type="dxa"/>
              <w:bottom w:w="100" w:type="dxa"/>
              <w:right w:w="100" w:type="dxa"/>
            </w:tcMar>
            <w:vAlign w:val="center"/>
          </w:tcPr>
          <w:p w14:paraId="690F881F" w14:textId="77777777" w:rsidR="00964453" w:rsidRPr="0084570B" w:rsidRDefault="00964453" w:rsidP="00A00C27">
            <w:pPr>
              <w:pStyle w:val="Normal1"/>
              <w:jc w:val="center"/>
              <w:rPr>
                <w:rFonts w:ascii="Times New Roman" w:eastAsia="Times New Roman" w:hAnsi="Times New Roman" w:cs="Times New Roman"/>
                <w:sz w:val="20"/>
                <w:szCs w:val="22"/>
                <w:lang w:val="en-US"/>
              </w:rPr>
            </w:pPr>
            <w:r w:rsidRPr="0084570B">
              <w:rPr>
                <w:rFonts w:ascii="Times New Roman" w:eastAsia="Times New Roman" w:hAnsi="Times New Roman" w:cs="Times New Roman"/>
                <w:sz w:val="20"/>
                <w:szCs w:val="22"/>
                <w:lang w:val="en-US"/>
              </w:rPr>
              <w:t>0.04</w:t>
            </w:r>
          </w:p>
        </w:tc>
      </w:tr>
    </w:tbl>
    <w:p w14:paraId="7957DA27" w14:textId="77777777" w:rsidR="00964453" w:rsidRPr="0084570B" w:rsidRDefault="00964453" w:rsidP="00964453">
      <w:pPr>
        <w:pStyle w:val="Normal1"/>
        <w:jc w:val="center"/>
        <w:rPr>
          <w:rFonts w:ascii="Times New Roman" w:eastAsia="Times New Roman" w:hAnsi="Times New Roman" w:cs="Times New Roman"/>
          <w:sz w:val="20"/>
          <w:szCs w:val="20"/>
          <w:lang w:val="en-US"/>
        </w:rPr>
      </w:pPr>
    </w:p>
    <w:p w14:paraId="3A590281" w14:textId="77777777" w:rsidR="00964453" w:rsidRPr="0084570B" w:rsidRDefault="00964453" w:rsidP="00964453">
      <w:pPr>
        <w:pStyle w:val="Normal1"/>
        <w:spacing w:line="276" w:lineRule="auto"/>
        <w:jc w:val="both"/>
        <w:rPr>
          <w:rFonts w:ascii="Times New Roman" w:eastAsia="Times New Roman" w:hAnsi="Times New Roman" w:cs="Times New Roman"/>
          <w:sz w:val="22"/>
          <w:szCs w:val="22"/>
          <w:lang w:val="en-US"/>
        </w:rPr>
      </w:pPr>
      <w:r w:rsidRPr="0084570B">
        <w:rPr>
          <w:rFonts w:ascii="Times New Roman" w:eastAsia="Times New Roman" w:hAnsi="Times New Roman" w:cs="Times New Roman"/>
          <w:b/>
          <w:sz w:val="22"/>
          <w:szCs w:val="22"/>
          <w:lang w:val="en-US"/>
        </w:rPr>
        <w:t>Table S4.</w:t>
      </w:r>
      <w:r w:rsidRPr="0084570B">
        <w:rPr>
          <w:rFonts w:ascii="Times New Roman" w:eastAsia="Times New Roman" w:hAnsi="Times New Roman" w:cs="Times New Roman"/>
          <w:sz w:val="22"/>
          <w:szCs w:val="22"/>
          <w:lang w:val="en-US"/>
        </w:rPr>
        <w:t xml:space="preserve"> </w:t>
      </w:r>
      <w:r w:rsidRPr="0084570B">
        <w:rPr>
          <w:rFonts w:ascii="Times New Roman" w:eastAsia="Times New Roman" w:hAnsi="Times New Roman" w:cs="Times New Roman"/>
          <w:b/>
          <w:sz w:val="22"/>
          <w:szCs w:val="22"/>
          <w:lang w:val="en-US"/>
        </w:rPr>
        <w:t>Input parameter combinations that provide the best fit to Mt. Etna and MORB target compositions for different (Pu/U)</w:t>
      </w:r>
      <w:r w:rsidRPr="0084570B">
        <w:rPr>
          <w:rFonts w:ascii="Times New Roman" w:eastAsia="Times New Roman" w:hAnsi="Times New Roman" w:cs="Times New Roman"/>
          <w:b/>
          <w:sz w:val="22"/>
          <w:szCs w:val="22"/>
          <w:vertAlign w:val="subscript"/>
          <w:lang w:val="en-US"/>
        </w:rPr>
        <w:t>0</w:t>
      </w:r>
      <w:r w:rsidRPr="0084570B">
        <w:rPr>
          <w:rFonts w:ascii="Times New Roman" w:eastAsia="Times New Roman" w:hAnsi="Times New Roman" w:cs="Times New Roman"/>
          <w:b/>
          <w:sz w:val="22"/>
          <w:szCs w:val="22"/>
          <w:lang w:val="en-US"/>
        </w:rPr>
        <w:t>, generated using the gradient descent technique.</w:t>
      </w:r>
      <w:r w:rsidRPr="0084570B">
        <w:rPr>
          <w:rFonts w:ascii="Times New Roman" w:eastAsia="Times New Roman" w:hAnsi="Times New Roman" w:cs="Times New Roman"/>
          <w:sz w:val="22"/>
          <w:szCs w:val="22"/>
          <w:lang w:val="en-US"/>
        </w:rPr>
        <w:t xml:space="preserve"> </w:t>
      </w:r>
    </w:p>
    <w:p w14:paraId="03C1DDEB" w14:textId="77777777" w:rsidR="00964453" w:rsidRPr="0084570B" w:rsidRDefault="00964453" w:rsidP="00964453">
      <w:pPr>
        <w:pStyle w:val="Normal1"/>
        <w:spacing w:line="360" w:lineRule="auto"/>
        <w:jc w:val="both"/>
        <w:rPr>
          <w:rFonts w:ascii="Times New Roman" w:hAnsi="Times New Roman" w:cs="Times New Roman"/>
          <w:sz w:val="22"/>
          <w:szCs w:val="22"/>
          <w:lang w:val="en-US"/>
        </w:rPr>
      </w:pPr>
    </w:p>
    <w:p w14:paraId="3F6B25B0" w14:textId="77777777" w:rsidR="00964453" w:rsidRPr="0084570B" w:rsidRDefault="00964453" w:rsidP="00964453">
      <w:pPr>
        <w:pStyle w:val="Normal1"/>
        <w:spacing w:line="276" w:lineRule="auto"/>
        <w:jc w:val="center"/>
        <w:rPr>
          <w:rFonts w:ascii="Times New Roman" w:eastAsia="Times New Roman" w:hAnsi="Times New Roman" w:cs="Times New Roman"/>
          <w:b/>
          <w:sz w:val="22"/>
          <w:szCs w:val="22"/>
          <w:lang w:val="en-US"/>
        </w:rPr>
      </w:pPr>
    </w:p>
    <w:p w14:paraId="0C9195F3" w14:textId="77777777" w:rsidR="00964453" w:rsidRPr="0084570B" w:rsidRDefault="00964453" w:rsidP="00964453">
      <w:pPr>
        <w:pStyle w:val="Normal1"/>
        <w:spacing w:line="360" w:lineRule="auto"/>
        <w:jc w:val="both"/>
        <w:rPr>
          <w:rFonts w:ascii="Times New Roman" w:hAnsi="Times New Roman" w:cs="Times New Roman"/>
          <w:sz w:val="22"/>
          <w:szCs w:val="22"/>
          <w:lang w:val="en-US"/>
        </w:rPr>
      </w:pPr>
    </w:p>
    <w:p w14:paraId="483249EB" w14:textId="77777777" w:rsidR="00964453" w:rsidRPr="0084570B" w:rsidRDefault="00964453" w:rsidP="00964453">
      <w:pPr>
        <w:rPr>
          <w:rFonts w:ascii="Times New Roman" w:eastAsia="Times New Roman" w:hAnsi="Times New Roman" w:cs="Times New Roman"/>
          <w:b/>
          <w:sz w:val="28"/>
          <w:szCs w:val="28"/>
          <w:lang w:val="en-US"/>
        </w:rPr>
      </w:pPr>
      <w:bookmarkStart w:id="11" w:name="_eognvu8jaetv" w:colFirst="0" w:colLast="0"/>
      <w:bookmarkStart w:id="12" w:name="_nm8308vbsx6t" w:colFirst="0" w:colLast="0"/>
      <w:bookmarkStart w:id="13" w:name="_usd4hhpwn2sa" w:colFirst="0" w:colLast="0"/>
      <w:bookmarkEnd w:id="11"/>
      <w:bookmarkEnd w:id="12"/>
      <w:bookmarkEnd w:id="13"/>
    </w:p>
    <w:p w14:paraId="0A1D9A9E" w14:textId="77777777" w:rsidR="00964453" w:rsidRPr="0084570B" w:rsidRDefault="00964453" w:rsidP="006E751F">
      <w:pPr>
        <w:pStyle w:val="Normal1"/>
        <w:spacing w:line="360" w:lineRule="auto"/>
        <w:jc w:val="center"/>
        <w:rPr>
          <w:rFonts w:ascii="Times New Roman" w:eastAsia="Times New Roman" w:hAnsi="Times New Roman" w:cs="Times New Roman"/>
          <w:b/>
          <w:sz w:val="28"/>
          <w:szCs w:val="28"/>
          <w:lang w:val="en-US"/>
        </w:rPr>
      </w:pPr>
    </w:p>
    <w:p w14:paraId="1E5E2409" w14:textId="77777777" w:rsidR="00964453" w:rsidRPr="0084570B" w:rsidRDefault="00964453">
      <w:pP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br w:type="page"/>
      </w:r>
    </w:p>
    <w:p w14:paraId="302A8330" w14:textId="7C360739" w:rsidR="006E751F" w:rsidRPr="0084570B" w:rsidRDefault="00D971FA" w:rsidP="006E751F">
      <w:pPr>
        <w:pStyle w:val="Normal1"/>
        <w:spacing w:line="360" w:lineRule="auto"/>
        <w:jc w:val="center"/>
        <w:rPr>
          <w:rFonts w:ascii="Times New Roman" w:eastAsia="Times New Roman" w:hAnsi="Times New Roman" w:cs="Times New Roman"/>
          <w:b/>
          <w:sz w:val="28"/>
          <w:szCs w:val="28"/>
          <w:lang w:val="en-US"/>
        </w:rPr>
      </w:pPr>
      <w:r w:rsidRPr="0084570B">
        <w:rPr>
          <w:rFonts w:ascii="Times New Roman" w:eastAsia="Times New Roman" w:hAnsi="Times New Roman" w:cs="Times New Roman"/>
          <w:b/>
          <w:sz w:val="28"/>
          <w:szCs w:val="28"/>
          <w:lang w:val="en-US"/>
        </w:rPr>
        <w:lastRenderedPageBreak/>
        <w:t>SI-</w:t>
      </w:r>
      <w:r w:rsidR="006E751F" w:rsidRPr="0084570B">
        <w:rPr>
          <w:rFonts w:ascii="Times New Roman" w:eastAsia="Times New Roman" w:hAnsi="Times New Roman" w:cs="Times New Roman"/>
          <w:b/>
          <w:noProof/>
          <w:sz w:val="28"/>
          <w:szCs w:val="28"/>
          <w:lang w:val="fr-FR"/>
        </w:rPr>
        <mc:AlternateContent>
          <mc:Choice Requires="wps">
            <w:drawing>
              <wp:anchor distT="0" distB="0" distL="114300" distR="114300" simplePos="0" relativeHeight="251685888" behindDoc="1" locked="0" layoutInCell="1" allowOverlap="1" wp14:anchorId="45F5384E" wp14:editId="6B7DD12A">
                <wp:simplePos x="0" y="0"/>
                <wp:positionH relativeFrom="column">
                  <wp:posOffset>11430</wp:posOffset>
                </wp:positionH>
                <wp:positionV relativeFrom="paragraph">
                  <wp:posOffset>-27840</wp:posOffset>
                </wp:positionV>
                <wp:extent cx="5753735" cy="270510"/>
                <wp:effectExtent l="0" t="0" r="12065" b="8890"/>
                <wp:wrapNone/>
                <wp:docPr id="9" name="Rectangle 9"/>
                <wp:cNvGraphicFramePr/>
                <a:graphic xmlns:a="http://schemas.openxmlformats.org/drawingml/2006/main">
                  <a:graphicData uri="http://schemas.microsoft.com/office/word/2010/wordprocessingShape">
                    <wps:wsp>
                      <wps:cNvSpPr/>
                      <wps:spPr>
                        <a:xfrm>
                          <a:off x="0" y="0"/>
                          <a:ext cx="5753735" cy="270510"/>
                        </a:xfrm>
                        <a:prstGeom prst="rect">
                          <a:avLst/>
                        </a:prstGeom>
                        <a:solidFill>
                          <a:schemeClr val="accent2">
                            <a:lumMod val="20000"/>
                            <a:lumOff val="80000"/>
                          </a:schemeClr>
                        </a:solid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du="http://schemas.microsoft.com/office/word/2023/wordml/word16du" xmlns:oel="http://schemas.microsoft.com/office/2019/extlst"/>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8F6830" id="Rectangle 9" o:spid="_x0000_s1026" style="position:absolute;margin-left:.9pt;margin-top:-2.2pt;width:453.05pt;height:21.3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" fillcolor="#f2dbdb [661]" stroked="f"/>
            </w:pict>
          </mc:Fallback>
        </mc:AlternateContent>
      </w:r>
      <w:r w:rsidRPr="0084570B">
        <w:rPr>
          <w:rFonts w:ascii="Times New Roman" w:eastAsia="Times New Roman" w:hAnsi="Times New Roman" w:cs="Times New Roman"/>
          <w:b/>
          <w:sz w:val="28"/>
          <w:szCs w:val="28"/>
          <w:lang w:val="en-US"/>
        </w:rPr>
        <w:t>11</w:t>
      </w:r>
      <w:r w:rsidR="00473D3D" w:rsidRPr="0084570B">
        <w:rPr>
          <w:rFonts w:ascii="Times New Roman" w:eastAsia="Times New Roman" w:hAnsi="Times New Roman" w:cs="Times New Roman"/>
          <w:b/>
          <w:sz w:val="28"/>
          <w:szCs w:val="28"/>
          <w:lang w:val="en-US"/>
        </w:rPr>
        <w:t>°</w:t>
      </w:r>
      <w:r w:rsidR="00601C4A" w:rsidRPr="0084570B">
        <w:rPr>
          <w:rFonts w:ascii="Times New Roman" w:eastAsia="Times New Roman" w:hAnsi="Times New Roman" w:cs="Times New Roman"/>
          <w:b/>
          <w:sz w:val="28"/>
          <w:szCs w:val="28"/>
          <w:lang w:val="en-US"/>
        </w:rPr>
        <w:t xml:space="preserve"> </w:t>
      </w:r>
      <w:r w:rsidR="006E751F" w:rsidRPr="0084570B">
        <w:rPr>
          <w:rFonts w:ascii="Times New Roman" w:eastAsia="Times New Roman" w:hAnsi="Times New Roman" w:cs="Times New Roman"/>
          <w:b/>
          <w:sz w:val="28"/>
          <w:szCs w:val="28"/>
          <w:lang w:val="en-US"/>
        </w:rPr>
        <w:t>Magma ocean crystallization model</w:t>
      </w:r>
    </w:p>
    <w:p w14:paraId="71DA12FA" w14:textId="77777777" w:rsidR="00D407D7" w:rsidRPr="0084570B" w:rsidRDefault="00D407D7" w:rsidP="00D407D7">
      <w:pPr>
        <w:pStyle w:val="Normal1"/>
        <w:spacing w:line="360" w:lineRule="auto"/>
        <w:jc w:val="both"/>
        <w:rPr>
          <w:rFonts w:ascii="Times New Roman" w:eastAsia="Times New Roman" w:hAnsi="Times New Roman" w:cs="Times New Roman"/>
          <w:noProof/>
          <w:sz w:val="22"/>
          <w:szCs w:val="28"/>
          <w:lang w:val="en-US"/>
        </w:rPr>
      </w:pPr>
    </w:p>
    <w:p w14:paraId="1B7B080C" w14:textId="1D084C3B" w:rsidR="00D407D7" w:rsidRPr="0084570B" w:rsidRDefault="00D407D7" w:rsidP="00D407D7">
      <w:pPr>
        <w:pStyle w:val="Normal1"/>
        <w:spacing w:line="360" w:lineRule="auto"/>
        <w:jc w:val="both"/>
        <w:rPr>
          <w:rFonts w:ascii="Times New Roman" w:eastAsia="Times New Roman" w:hAnsi="Times New Roman" w:cs="Times New Roman"/>
          <w:noProof/>
          <w:sz w:val="22"/>
          <w:szCs w:val="28"/>
          <w:lang w:val="en-US"/>
        </w:rPr>
      </w:pPr>
      <w:r w:rsidRPr="0084570B">
        <w:rPr>
          <w:rFonts w:ascii="Times New Roman" w:eastAsia="Times New Roman" w:hAnsi="Times New Roman" w:cs="Times New Roman"/>
          <w:noProof/>
          <w:sz w:val="22"/>
          <w:szCs w:val="28"/>
          <w:lang w:val="en-US"/>
        </w:rPr>
        <w:tab/>
        <w:t>Our model of uranium partitionning during magma ocean crystallization builds upon previous models by Morino et al. (2018)</w:t>
      </w:r>
      <w:r w:rsidRPr="0084570B">
        <w:rPr>
          <w:rFonts w:ascii="Times New Roman" w:eastAsia="Times New Roman" w:hAnsi="Times New Roman" w:cs="Times New Roman"/>
          <w:noProof/>
          <w:sz w:val="22"/>
          <w:szCs w:val="28"/>
          <w:lang w:val="en-US"/>
        </w:rPr>
        <w:fldChar w:fldCharType="begin" w:fldLock="1"/>
      </w:r>
      <w:r w:rsidR="00DD29E3">
        <w:rPr>
          <w:rFonts w:ascii="Times New Roman" w:eastAsia="Times New Roman" w:hAnsi="Times New Roman" w:cs="Times New Roman"/>
          <w:noProof/>
          <w:sz w:val="22"/>
          <w:szCs w:val="28"/>
          <w:lang w:val="en-US"/>
        </w:rPr>
        <w:instrText>ADDIN CSL_CITATION {"citationItems":[{"id":"ITEM-1","itemData":{"DOI":"10.1016/j.gca.2018.08.026","ISSN":"00167037","abstract":"Positive 142Nd anomalies in Eoarchean rocks provide evidence for early (4.40 ± 0.03 Ga; Morino et al., 2017) depletion of Earth's mantle. This model age lies within errors of the Pb-Pb “age of the Earth” (Connelly and Bizzarro, 2016), and is similar to model ages inferred for crystallization of the lunar mantle (McLeod et al., 2014), implying that this large-scale event may reflect crystallization of a magma ocean following the Moon-forming impact. However, differentiation mechanisms responsible for the formation of this early depleted mantle reservoir and the depth at which it formed cannot be constrained from the Sm-Nd isotope system alone, because the magnitude of Sm/Nd fractionation during partial melting or fractional crystallization shows little dependence on pressure-controlled changes in mantle mineralogy. In contrast, the Lu-Hf isotope system is highly dependent on mineralogy, notably the presence or absence of garnet, an upper mantle phase, and thus may be used to constrain the pressure of fractionation. This study provides the first 176Lu-176Hf isotopic results on mafic and ultramafic rocks belonging to the Eoarchean (Nulliak) and Mesoarchean suites of the Saglek Block (northern Labrador, 3.2–3.9 Ga). The 176Lu-176Hf dating confirms the distinction between these two groups of rocks and provides ages consistent with those obtained from 147Sm-143Nd dating. The whole rock 176Lu-176Hf errorchrons yield ages and initial epsilon values of 3766 ± 140 Ma, ε176Hfi = 6.0 ± 2.5 and 3023 ± 390 Ma, ε176Hfi = −0.3 ± 2.5 for the Nulliak suite and the Mesoarchean suite respectively. The time-integrated 176Lu/177Hf for the sources of the Nulliak and the Mesoarchean suites considering a time of differentiation at 4.40 ± 0.03 Ga are estimated to be 0.047 ± 0.005 and 0.033 ± 0.005, respectively. For the Mesoarchean samples, the combined 146,147Sm-142,143Nd and 176Lu-176Hf data are consistent with a near-chondritic mantle source. On the other hand, Nulliak ultramafic rocks were derived from a mantle reservoir with superchondritic Lu/Hf and Sm/Nd. The Nulliak parent reservoir, however, does not plot on the ε176Hf-ε143Nd mantle array defined by modern oceanic basalts. Instead, the Nulliak source more likely belongs to a distinct array defined by Eo- and Meso-Archean komatiites. These results are interpreted in the framework of a simple model of crystallization of a primordial magma ocean. It appears that the fractionation observed in the mantle source of Nulliak wa…","author":[{"dropping-particle":"","family":"Morino","given":"Précillia","non-dropping-particle":"","parse-names":false,"suffix":""},{"dropping-particle":"","family":"Caro","given":"Guillaume","non-dropping-particle":"","parse-names":false,"suffix":""},{"dropping-particle":"","family":"Reisberg","given":"Laurie","non-dropping-particle":"","parse-names":false,"suffix":""}],"container-title":"Geochimica et Cosmochimica Acta","id":"ITEM-1","issued":{"date-parts":[["2018"]]},"page":"43-63","title":"Differentiation mechanisms of the early Hadean mantle: Insights from combined 176Hf-142,143Nd signatures of Archean rocks from the Saglek Block","type":"article-journal","volume":"240"},"uris":["http://www.mendeley.com/documents/?uuid=883a93be-afd0-48d2-8c7b-e6b6a1acec67"]}],"mendeley":{"formattedCitation":"&lt;sup&gt;39&lt;/sup&gt;","plainTextFormattedCitation":"39","previouslyFormattedCitation":"&lt;sup&gt;39&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937986" w:rsidRPr="0084570B">
        <w:rPr>
          <w:rFonts w:ascii="Times New Roman" w:eastAsia="Times New Roman" w:hAnsi="Times New Roman" w:cs="Times New Roman"/>
          <w:noProof/>
          <w:sz w:val="22"/>
          <w:szCs w:val="28"/>
          <w:vertAlign w:val="superscript"/>
          <w:lang w:val="en-US"/>
        </w:rPr>
        <w:t>39</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xml:space="preserve"> and </w:t>
      </w:r>
      <w:r w:rsidRPr="0084570B">
        <w:rPr>
          <w:rFonts w:ascii="Times New Roman" w:eastAsia="Times New Roman" w:hAnsi="Times New Roman" w:cs="Times New Roman"/>
          <w:noProof/>
          <w:sz w:val="22"/>
          <w:szCs w:val="22"/>
          <w:lang w:val="en-US"/>
        </w:rPr>
        <w:t>Caracas et al. (2019)</w:t>
      </w:r>
      <w:r w:rsidRPr="0084570B">
        <w:rPr>
          <w:rFonts w:ascii="Times New Roman" w:eastAsia="Times New Roman" w:hAnsi="Times New Roman" w:cs="Times New Roman"/>
          <w:noProof/>
          <w:sz w:val="22"/>
          <w:szCs w:val="22"/>
          <w:lang w:val="en-US"/>
        </w:rPr>
        <w:fldChar w:fldCharType="begin" w:fldLock="1"/>
      </w:r>
      <w:r w:rsidR="00DD29E3">
        <w:rPr>
          <w:rFonts w:ascii="Times New Roman" w:eastAsia="Times New Roman" w:hAnsi="Times New Roman" w:cs="Times New Roman"/>
          <w:noProof/>
          <w:sz w:val="22"/>
          <w:szCs w:val="22"/>
          <w:lang w:val="en-US"/>
        </w:rPr>
        <w:instrText xml:space="preserve">ADDIN CSL_CITATION {"citationItems":[{"id":"ITEM-1","itemData":{"DOI":"10.1016/j.epsl.2019.03.031","ISSN":"0012821X","abstract":"The crystallization of a magma ocean (MO) early in Earth's history shaped the entire evolution of our planet. The buoyancy relations between the forming crystals and the residual melt is the most important but also the most unknown parameter affecting the large-scale structure and evolution of the MO. The accumulation of crystals, near the depth of neutral buoyancy between crystals and the coexisting melt, if happening at mid-depths, can separate convecting regions within the MO. Here we use jointly first-principles molecular-dynamics calculations and diamond-anvil cell experiments to obtain the density relations between the molten bulk silicate Earth and the bridgmanite crystals during the crystallization of the MO. The chemical evolutions of the liquid and the coexisting solid during progressive crystallization were constrained by experiments, and the relevant densities were calculated by molecular dynamics. We find that the first crystal of bridgmanite that is formed in a fully molten mantle is Fe-poor, and becomes neutrally buoyant at 110–120 GPa. Since the cooling of the deep MO is fast, and related convection is vigorous, however, first crystals remain entrained. As crystallization advances, the relative Fe content increases in the melt, and the pressure of neutral buoyancy decreases. At 50% solidification, close to the rheological transition, the pressure of the density crossover moves to </w:instrText>
      </w:r>
      <w:r w:rsidR="00DD29E3">
        <w:rPr>
          <w:rFonts w:ascii="Cambria Math" w:eastAsia="Times New Roman" w:hAnsi="Cambria Math" w:cs="Cambria Math"/>
          <w:noProof/>
          <w:sz w:val="22"/>
          <w:szCs w:val="22"/>
          <w:lang w:val="en-US"/>
        </w:rPr>
        <w:instrText>∼</w:instrText>
      </w:r>
      <w:r w:rsidR="00DD29E3">
        <w:rPr>
          <w:rFonts w:ascii="Times New Roman" w:eastAsia="Times New Roman" w:hAnsi="Times New Roman" w:cs="Times New Roman"/>
          <w:noProof/>
          <w:sz w:val="22"/>
          <w:szCs w:val="22"/>
          <w:lang w:val="en-US"/>
        </w:rPr>
        <w:instrText>50 GPa. At this pressure, crystals form an interconnected network and block global convection currents, which in turn leads to the separation of the partly crystallized MO into a surficial MO and a basal MO through melt-solid segregation. Such a shallow segregation of a crystal mush at mid-mantle depth has important implications for the dynamics and timescales of early mantle differentiation. Moreover, the shallow segregation should have promoted the formation of a voluminous basal MO that evolves into a large geochemically enriched reservoir. Accordingly, the seismically observed residues of basal MO crystallization in the present-day mantle may host an unmixed reservoir for the missing budget of highly incompatible elements.","author":[{"dropping-particle":"","family":"Caracas","given":"Razvan","non-dropping-particle":"","parse-names":false,"suffix":""},{"dropping-particle":"","family":"Hirose","given":"Kei","non-dropping-particle":"","parse-names":false,"suffix":""},{"dropping-particle":"","family":"Nomura","given":"Ryuichi","non-dropping-particle":"","parse-names":false,"suffix":""},{"dropping-particle":"","family":"Ballmer","given":"Maxim D.","non-dropping-particle":"","parse-names":false,"suffix":""}],"container-title":"Earth and Planetary Science Letters","id":"ITEM-1","issued":{"date-parts":[["2019"]]},"page":"202-211","publisher":"Elsevier B.V.","title":"Melt–crystal density crossover in a deep magma ocean","type":"article-journal","volume":"516"},"uris":["http://www.mendeley.com/documents/?uuid=7e28468e-5c2f-47ed-bc27-e9cc34aaa2ab"]}],"mendeley":{"formattedCitation":"&lt;sup&gt;40&lt;/sup&gt;","plainTextFormattedCitation":"40","previouslyFormattedCitation":"&lt;sup&gt;40&lt;/sup&gt;"},"properties":{"noteIndex":0},"schema":"https://github.com/citation-style-language/schema/raw/master/csl-citation.json"}</w:instrText>
      </w:r>
      <w:r w:rsidRPr="0084570B">
        <w:rPr>
          <w:rFonts w:ascii="Times New Roman" w:eastAsia="Times New Roman" w:hAnsi="Times New Roman" w:cs="Times New Roman"/>
          <w:noProof/>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40</w:t>
      </w:r>
      <w:r w:rsidRPr="0084570B">
        <w:rPr>
          <w:rFonts w:ascii="Times New Roman" w:eastAsia="Times New Roman" w:hAnsi="Times New Roman" w:cs="Times New Roman"/>
          <w:noProof/>
          <w:sz w:val="22"/>
          <w:szCs w:val="22"/>
          <w:lang w:val="en-US"/>
        </w:rPr>
        <w:fldChar w:fldCharType="end"/>
      </w:r>
      <w:r w:rsidRPr="0084570B">
        <w:rPr>
          <w:rFonts w:ascii="Times New Roman" w:eastAsia="Times New Roman" w:hAnsi="Times New Roman" w:cs="Times New Roman"/>
          <w:noProof/>
          <w:sz w:val="22"/>
          <w:szCs w:val="22"/>
          <w:lang w:val="en-US"/>
        </w:rPr>
        <w:t xml:space="preserve">. </w:t>
      </w:r>
      <w:r w:rsidRPr="0084570B">
        <w:rPr>
          <w:rFonts w:ascii="Times New Roman" w:eastAsia="Times New Roman" w:hAnsi="Times New Roman" w:cs="Times New Roman"/>
          <w:noProof/>
          <w:sz w:val="22"/>
          <w:szCs w:val="28"/>
          <w:lang w:val="en-US"/>
        </w:rPr>
        <w:t xml:space="preserve">According to this model, two main parameters can drastically affect the amount of mantle U ultimately extracted to the Hadean crust: </w:t>
      </w:r>
    </w:p>
    <w:p w14:paraId="59F07B3E" w14:textId="77777777" w:rsidR="00D407D7" w:rsidRPr="0084570B" w:rsidRDefault="00D407D7" w:rsidP="00D407D7">
      <w:pPr>
        <w:pStyle w:val="Normal1"/>
        <w:spacing w:line="360" w:lineRule="auto"/>
        <w:jc w:val="both"/>
        <w:rPr>
          <w:rFonts w:ascii="Times New Roman" w:eastAsia="Times New Roman" w:hAnsi="Times New Roman" w:cs="Times New Roman"/>
          <w:noProof/>
          <w:sz w:val="22"/>
          <w:szCs w:val="28"/>
          <w:lang w:val="en-US"/>
        </w:rPr>
      </w:pPr>
    </w:p>
    <w:p w14:paraId="79B4CCEA" w14:textId="08B90BC3" w:rsidR="00D407D7" w:rsidRPr="0084570B" w:rsidRDefault="00D407D7" w:rsidP="00D407D7">
      <w:pPr>
        <w:pStyle w:val="Normal1"/>
        <w:spacing w:line="360" w:lineRule="auto"/>
        <w:jc w:val="both"/>
        <w:rPr>
          <w:rFonts w:ascii="Times New Roman" w:eastAsia="Times New Roman" w:hAnsi="Times New Roman" w:cs="Times New Roman"/>
          <w:noProof/>
          <w:sz w:val="22"/>
          <w:szCs w:val="28"/>
          <w:lang w:val="en-US"/>
        </w:rPr>
      </w:pPr>
      <w:r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b/>
          <w:sz w:val="22"/>
          <w:szCs w:val="22"/>
          <w:lang w:val="en-US"/>
        </w:rPr>
        <w:t xml:space="preserve">1- </w:t>
      </w:r>
      <w:r w:rsidRPr="0084570B">
        <w:rPr>
          <w:rFonts w:ascii="Times New Roman" w:eastAsia="Times New Roman" w:hAnsi="Times New Roman" w:cs="Times New Roman"/>
          <w:noProof/>
          <w:sz w:val="22"/>
          <w:szCs w:val="28"/>
          <w:lang w:val="en-US"/>
        </w:rPr>
        <w:t>The first one is the amount of Ca-perovskite at pressures &gt;22 GPa. Whereas bulk partition coefficients of U in the pressure range 22–0 GPa are consistently low, between 10</w:t>
      </w:r>
      <w:r w:rsidRPr="0084570B">
        <w:rPr>
          <w:rFonts w:ascii="Times New Roman" w:eastAsia="Times New Roman" w:hAnsi="Times New Roman" w:cs="Times New Roman"/>
          <w:noProof/>
          <w:sz w:val="22"/>
          <w:szCs w:val="28"/>
          <w:vertAlign w:val="superscript"/>
          <w:lang w:val="en-US"/>
        </w:rPr>
        <w:t>-3</w:t>
      </w:r>
      <w:r w:rsidRPr="0084570B">
        <w:rPr>
          <w:rFonts w:ascii="Times New Roman" w:eastAsia="Times New Roman" w:hAnsi="Times New Roman" w:cs="Times New Roman"/>
          <w:noProof/>
          <w:sz w:val="22"/>
          <w:szCs w:val="28"/>
          <w:lang w:val="en-US"/>
        </w:rPr>
        <w:t xml:space="preserve"> and 10</w:t>
      </w:r>
      <w:r w:rsidRPr="0084570B">
        <w:rPr>
          <w:rFonts w:ascii="Times New Roman" w:eastAsia="Times New Roman" w:hAnsi="Times New Roman" w:cs="Times New Roman"/>
          <w:noProof/>
          <w:sz w:val="22"/>
          <w:szCs w:val="28"/>
          <w:vertAlign w:val="superscript"/>
          <w:lang w:val="en-US"/>
        </w:rPr>
        <w:t>-2</w:t>
      </w:r>
      <w:r w:rsidRPr="0084570B">
        <w:rPr>
          <w:rFonts w:ascii="Times New Roman" w:eastAsia="Times New Roman" w:hAnsi="Times New Roman" w:cs="Times New Roman"/>
          <w:noProof/>
          <w:sz w:val="22"/>
          <w:szCs w:val="28"/>
          <w:lang w:val="en-US"/>
        </w:rPr>
        <w:t>, the bulk partition coefficient of U at pressures &gt;22 GPa can greatly increase due to the occurrence of Ca-perovskite, which is the only major mineralogical phase in Earth's mantle within which U is compatible (K</w:t>
      </w:r>
      <w:r w:rsidRPr="0084570B">
        <w:rPr>
          <w:rFonts w:ascii="Times New Roman" w:eastAsia="Times New Roman" w:hAnsi="Times New Roman" w:cs="Times New Roman"/>
          <w:noProof/>
          <w:sz w:val="22"/>
          <w:szCs w:val="28"/>
          <w:vertAlign w:val="subscript"/>
          <w:lang w:val="en-US"/>
        </w:rPr>
        <w:t>d</w:t>
      </w:r>
      <w:r w:rsidRPr="0084570B">
        <w:rPr>
          <w:rFonts w:ascii="Times New Roman" w:eastAsia="Times New Roman" w:hAnsi="Times New Roman" w:cs="Times New Roman"/>
          <w:noProof/>
          <w:sz w:val="22"/>
          <w:szCs w:val="28"/>
          <w:lang w:val="en-US"/>
        </w:rPr>
        <w:t xml:space="preserve"> = 7-15</w:t>
      </w:r>
      <w:r w:rsidRPr="0084570B">
        <w:rPr>
          <w:rFonts w:ascii="Times New Roman" w:eastAsia="Times New Roman" w:hAnsi="Times New Roman" w:cs="Times New Roman"/>
          <w:noProof/>
          <w:sz w:val="22"/>
          <w:szCs w:val="28"/>
          <w:lang w:val="en-US"/>
        </w:rPr>
        <w:fldChar w:fldCharType="begin" w:fldLock="1"/>
      </w:r>
      <w:r w:rsidR="00937986" w:rsidRPr="0084570B">
        <w:rPr>
          <w:rFonts w:ascii="Times New Roman" w:eastAsia="Times New Roman" w:hAnsi="Times New Roman" w:cs="Times New Roman"/>
          <w:noProof/>
          <w:sz w:val="22"/>
          <w:szCs w:val="28"/>
          <w:lang w:val="en-US"/>
        </w:rPr>
        <w:instrText xml:space="preserve">ADDIN CSL_CITATION {"citationItems":[{"id":"ITEM-1","itemData":{"DOI":"10.1016/j.gca.2004.06.041","ISSN":"00167037","abstract":"We have determined the partitioning of a wide range of trace elements between silicate melts and CaSiO3 and MgSiO3 perovskites using both laser ablation-ICPMS and ion microprobe techniques. Our results show that, with the exception of Sc, Zr, and Hf, all trace elements we considered are incompatible in MgSiO3 perovskite, from highly incompatible for U, Th, Ba, La, Sr and monovalent elements to slightly incompatible for heavy rare earth elements. MgSiO3 perovskite-melt partition coefficients increase slightly with Al content in the perovskite. These observations contrast strongly with partitioning between CaSiO3 perovskite and silicate melts. In the latter case, all rare earth elements are clearly compatible as are U and Th. Our data also suggest that, contrary to pressure and temperature, melt composition can significantly affect CaSiO3 perovskite-melt partitioning; partition coefficients for rare earth elements and U and Th increase with decreasing CaO melt content. The presence of </w:instrText>
      </w:r>
      <w:r w:rsidR="00937986" w:rsidRPr="0084570B">
        <w:rPr>
          <w:rFonts w:ascii="Cambria Math" w:eastAsia="Times New Roman" w:hAnsi="Cambria Math" w:cs="Cambria Math"/>
          <w:noProof/>
          <w:sz w:val="22"/>
          <w:szCs w:val="28"/>
          <w:lang w:val="en-US"/>
        </w:rPr>
        <w:instrText>∼</w:instrText>
      </w:r>
      <w:r w:rsidR="00937986" w:rsidRPr="0084570B">
        <w:rPr>
          <w:rFonts w:ascii="Times New Roman" w:eastAsia="Times New Roman" w:hAnsi="Times New Roman" w:cs="Times New Roman"/>
          <w:noProof/>
          <w:sz w:val="22"/>
          <w:szCs w:val="28"/>
          <w:lang w:val="en-US"/>
        </w:rPr>
        <w:instrText>0.4 wt% water in melt makes little difference, however. Partitioning of trace elements into the large site of both MgSiO3 and CaSiO3 perovskites follows the near-parabolic dependence on ionic radius predicted from the lattice strain model. The peaks of the parabolae are much higher for the CaSiO3 phase, perhaps suggesting that the mechanisms of charge compensation for heterovalent substitution are different in the two cases. Our partitioning data have been used to assess the potential effect of perovskite fractionation into the lower mantle during early Earth history. Crystallisation of less than 8% of a mixture of CaSiO3 and MgSiO3 perovskites could have led to a 'layer' enriched in U and Th without disturbing the chondritic pattern of refractory lithophile elements in the primitive upper mantle. The resultant reservoir could have high Sm/Nd, U/Pb, Sr/Rb, Lu/Hf ratios similar to the HIMU component of ocean island basalts, but would not balance the observed depletion of the primitive upper mantle in Si and Nb. Copyright © 2005 Elsevier Ltd.","author":[{"dropping-particle":"","family":"Corgne","given":"Alexandre","non-dropping-particle":"","parse-names":false,"suffix":""},{"dropping-particle":"","family":"Liebske","given":"Christian","non-dropping-particle":"","parse-names":false,"suffix":""},{"dropping-particle":"","family":"Wood","given":"Bernard J.","non-dropping-particle":"","parse-names":false,"suffix":""},{"dropping-particle":"","family":"Rubie","given":"David C.","non-dropping-particle":"","parse-names":false,"suffix":""},{"dropping-particle":"","family":"Frost","given":"Daniel J.","non-dropping-particle":"","parse-names":false,"suffix":""}],"container-title":"Geochimica et Cosmochimica Acta","id":"ITEM-1","issue":"2","issued":{"date-parts":[["2005"]]},"page":"485-496","title":"Silicate perovskite-melt partitioning of trace elements and geochemical signature of a deep perovskitic reservoir","type":"article-journal","volume":"69"},"uris":["http://www.mendeley.com/documents/?uuid=4d7ed92c-b480-417c-ac83-5f6a056dffc2"]}],"mendeley":{"formattedCitation":"&lt;sup&gt;96&lt;/sup&gt;","plainTextFormattedCitation":"96","previouslyFormattedCitation":"&lt;sup&gt;96&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A40A71" w:rsidRPr="0084570B">
        <w:rPr>
          <w:rFonts w:ascii="Times New Roman" w:eastAsia="Times New Roman" w:hAnsi="Times New Roman" w:cs="Times New Roman"/>
          <w:noProof/>
          <w:sz w:val="22"/>
          <w:szCs w:val="28"/>
          <w:vertAlign w:val="superscript"/>
          <w:lang w:val="en-US"/>
        </w:rPr>
        <w:t>96</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However, the distribution of Ca-perovskite at pressures &gt;22 GPa is highly uncertain, and a recent study demonstrated that all Ca may dissolve into bridgmanite in the deep lower mantle</w:t>
      </w:r>
      <w:r w:rsidRPr="0084570B">
        <w:rPr>
          <w:rFonts w:ascii="Times New Roman" w:eastAsia="Times New Roman" w:hAnsi="Times New Roman" w:cs="Times New Roman"/>
          <w:noProof/>
          <w:sz w:val="22"/>
          <w:szCs w:val="28"/>
          <w:lang w:val="en-US"/>
        </w:rPr>
        <w:fldChar w:fldCharType="begin" w:fldLock="1"/>
      </w:r>
      <w:r w:rsidR="003376B3">
        <w:rPr>
          <w:rFonts w:ascii="Times New Roman" w:eastAsia="Times New Roman" w:hAnsi="Times New Roman" w:cs="Times New Roman"/>
          <w:noProof/>
          <w:sz w:val="22"/>
          <w:szCs w:val="28"/>
          <w:lang w:val="en-US"/>
        </w:rPr>
        <w:instrText>ADDIN CSL_CITATION {"citationItems":[{"id":"ITEM-1","itemData":{"DOI":"10.1038/s41586-022-05237-4","ISSN":"14764687","PMID":"36261527","abstract":"Accurate knowledge of the mineralogy is essential for understanding the lower mantle, which represents more than half of Earth’s volume. CaSiO3 perovskite is believed to be the third-most-abundant mineral throughout the lower mantle, following bridgmanite and ferropericlase1–3. Here we experimentally show that the calcium solubility in bridgmanite increases steeply at about 2,300 kelvin and above 40 gigapascals to a level sufficient for a complete dissolution of all CaSiO3 component in pyrolite into bridgmanite, resulting in the disappearance of CaSiO3 perovskite at depths greater than about 1,800 kilometres along the geotherm4,5. Hence we propose a change from a two-perovskite domain (TPD; bridgmanite plus CaSiO3 perovskite) at the shallower lower mantle to a single-perovskite domain (SPD; calcium-rich bridgmanite) at the deeper lower mantle. Iron seems to have a key role in increasing the calcium solubility in bridgmanite. The temperature-driven nature can cause large lateral variations in the depth of the TPD-to-SPD change in response to temperature variations (by more than 500 kilometres). Furthermore, the SPD should have been thicker in the past when the mantle was warmer. Our finding requires revision of the deep-mantle mineralogy models and will have an impact on our understanding of the composition, structure, dynamics and evolution of the region.","author":[{"dropping-particle":"","family":"Ko","given":"Byeongkwan","non-dropping-particle":"","parse-names":false,"suffix":""},{"dropping-particle":"","family":"Greenberg","given":"Eran","non-dropping-particle":"","parse-names":false,"suffix":""},{"dropping-particle":"","family":"Prakapenka","given":"Vitali","non-dropping-particle":"","parse-names":false,"suffix":""},{"dropping-particle":"","family":"Alp","given":"E. Ercan","non-dropping-particle":"","parse-names":false,"suffix":""},{"dropping-particle":"","family":"Bi","given":"Wenli","non-dropping-particle":"","parse-names":false,"suffix":""},{"dropping-particle":"","family":"Meng","given":"Yue","non-dropping-particle":"","parse-names":false,"suffix":""},{"dropping-particle":"","family":"Zhang","given":"Dongzhou","non-dropping-particle":"","parse-names":false,"suffix":""},{"dropping-particle":"","family":"Shim","given":"Sang Heon","non-dropping-particle":"","parse-names":false,"suffix":""}],"container-title":"Nature","id":"ITEM-1","issue":"7934","issued":{"date-parts":[["2022"]]},"page":"88-92","publisher":"Springer US","title":"Calcium dissolution in bridgmanite in the Earth’s deep mantle","type":"article-journal","volume":"611"},"uris":["http://www.mendeley.com/documents/?uuid=18be39e9-1388-4488-8aa6-4046888ec916"]}],"mendeley":{"formattedCitation":"&lt;sup&gt;143&lt;/sup&gt;","plainTextFormattedCitation":"143","previouslyFormattedCitation":"&lt;sup&gt;143&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253A47" w:rsidRPr="00253A47">
        <w:rPr>
          <w:rFonts w:ascii="Times New Roman" w:eastAsia="Times New Roman" w:hAnsi="Times New Roman" w:cs="Times New Roman"/>
          <w:noProof/>
          <w:sz w:val="22"/>
          <w:szCs w:val="28"/>
          <w:vertAlign w:val="superscript"/>
          <w:lang w:val="en-US"/>
        </w:rPr>
        <w:t>143</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Furthermore, the amount of Ca-rich bridgmanite in the mantle would have been much greater in the past than at present day, hence suggesting that the amount of Ca-perovskite would have proportionally increased as the mantle cooled with time</w:t>
      </w:r>
      <w:r w:rsidRPr="0084570B">
        <w:rPr>
          <w:rFonts w:ascii="Times New Roman" w:eastAsia="Times New Roman" w:hAnsi="Times New Roman" w:cs="Times New Roman"/>
          <w:noProof/>
          <w:sz w:val="22"/>
          <w:szCs w:val="28"/>
          <w:lang w:val="en-US"/>
        </w:rPr>
        <w:fldChar w:fldCharType="begin" w:fldLock="1"/>
      </w:r>
      <w:r w:rsidR="003376B3">
        <w:rPr>
          <w:rFonts w:ascii="Times New Roman" w:eastAsia="Times New Roman" w:hAnsi="Times New Roman" w:cs="Times New Roman"/>
          <w:noProof/>
          <w:sz w:val="22"/>
          <w:szCs w:val="28"/>
          <w:lang w:val="en-US"/>
        </w:rPr>
        <w:instrText>ADDIN CSL_CITATION {"citationItems":[{"id":"ITEM-1","itemData":{"DOI":"10.1038/s41586-022-05237-4","ISSN":"14764687","PMID":"36261527","abstract":"Accurate knowledge of the mineralogy is essential for understanding the lower mantle, which represents more than half of Earth’s volume. CaSiO3 perovskite is believed to be the third-most-abundant mineral throughout the lower mantle, following bridgmanite and ferropericlase1–3. Here we experimentally show that the calcium solubility in bridgmanite increases steeply at about 2,300 kelvin and above 40 gigapascals to a level sufficient for a complete dissolution of all CaSiO3 component in pyrolite into bridgmanite, resulting in the disappearance of CaSiO3 perovskite at depths greater than about 1,800 kilometres along the geotherm4,5. Hence we propose a change from a two-perovskite domain (TPD; bridgmanite plus CaSiO3 perovskite) at the shallower lower mantle to a single-perovskite domain (SPD; calcium-rich bridgmanite) at the deeper lower mantle. Iron seems to have a key role in increasing the calcium solubility in bridgmanite. The temperature-driven nature can cause large lateral variations in the depth of the TPD-to-SPD change in response to temperature variations (by more than 500 kilometres). Furthermore, the SPD should have been thicker in the past when the mantle was warmer. Our finding requires revision of the deep-mantle mineralogy models and will have an impact on our understanding of the composition, structure, dynamics and evolution of the region.","author":[{"dropping-particle":"","family":"Ko","given":"Byeongkwan","non-dropping-particle":"","parse-names":false,"suffix":""},{"dropping-particle":"","family":"Greenberg","given":"Eran","non-dropping-particle":"","parse-names":false,"suffix":""},{"dropping-particle":"","family":"Prakapenka","given":"Vitali","non-dropping-particle":"","parse-names":false,"suffix":""},{"dropping-particle":"","family":"Alp","given":"E. Ercan","non-dropping-particle":"","parse-names":false,"suffix":""},{"dropping-particle":"","family":"Bi","given":"Wenli","non-dropping-particle":"","parse-names":false,"suffix":""},{"dropping-particle":"","family":"Meng","given":"Yue","non-dropping-particle":"","parse-names":false,"suffix":""},{"dropping-particle":"","family":"Zhang","given":"Dongzhou","non-dropping-particle":"","parse-names":false,"suffix":""},{"dropping-particle":"","family":"Shim","given":"Sang Heon","non-dropping-particle":"","parse-names":false,"suffix":""}],"container-title":"Nature","id":"ITEM-1","issue":"7934","issued":{"date-parts":[["2022"]]},"page":"88-92","publisher":"Springer US","title":"Calcium dissolution in bridgmanite in the Earth’s deep mantle","type":"article-journal","volume":"611"},"uris":["http://www.mendeley.com/documents/?uuid=18be39e9-1388-4488-8aa6-4046888ec916"]}],"mendeley":{"formattedCitation":"&lt;sup&gt;143&lt;/sup&gt;","plainTextFormattedCitation":"143","previouslyFormattedCitation":"&lt;sup&gt;143&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253A47" w:rsidRPr="00253A47">
        <w:rPr>
          <w:rFonts w:ascii="Times New Roman" w:eastAsia="Times New Roman" w:hAnsi="Times New Roman" w:cs="Times New Roman"/>
          <w:noProof/>
          <w:sz w:val="22"/>
          <w:szCs w:val="28"/>
          <w:vertAlign w:val="superscript"/>
          <w:lang w:val="en-US"/>
        </w:rPr>
        <w:t>143</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These considerations suggest that the amount of Ca-perovskite in the mantle at the time of magma ocean crystallization could have been limited, hence increasing the incompatibility of U at depth in the mantle, and favoring its extraction to the Hadean crust (and the BMO). Thus, we consider two end-member scenarios: one with no Ca-perovskite, and one with 1% Ca-perovskite in the mantle at the time of magma ocean crystallization, consistent with previous approach by Caracas et al. (2019)</w:t>
      </w:r>
      <w:r w:rsidRPr="0084570B">
        <w:rPr>
          <w:rFonts w:ascii="Times New Roman" w:eastAsia="Times New Roman" w:hAnsi="Times New Roman" w:cs="Times New Roman"/>
          <w:noProof/>
          <w:sz w:val="22"/>
          <w:szCs w:val="28"/>
          <w:lang w:val="en-US"/>
        </w:rPr>
        <w:fldChar w:fldCharType="begin" w:fldLock="1"/>
      </w:r>
      <w:r w:rsidR="00DD29E3">
        <w:rPr>
          <w:rFonts w:ascii="Times New Roman" w:eastAsia="Times New Roman" w:hAnsi="Times New Roman" w:cs="Times New Roman"/>
          <w:noProof/>
          <w:sz w:val="22"/>
          <w:szCs w:val="28"/>
          <w:lang w:val="en-US"/>
        </w:rPr>
        <w:instrText xml:space="preserve">ADDIN CSL_CITATION {"citationItems":[{"id":"ITEM-1","itemData":{"DOI":"10.1016/j.epsl.2019.03.031","ISSN":"0012821X","abstract":"The crystallization of a magma ocean (MO) early in Earth's history shaped the entire evolution of our planet. The buoyancy relations between the forming crystals and the residual melt is the most important but also the most unknown parameter affecting the large-scale structure and evolution of the MO. The accumulation of crystals, near the depth of neutral buoyancy between crystals and the coexisting melt, if happening at mid-depths, can separate convecting regions within the MO. Here we use jointly first-principles molecular-dynamics calculations and diamond-anvil cell experiments to obtain the density relations between the molten bulk silicate Earth and the bridgmanite crystals during the crystallization of the MO. The chemical evolutions of the liquid and the coexisting solid during progressive crystallization were constrained by experiments, and the relevant densities were calculated by molecular dynamics. We find that the first crystal of bridgmanite that is formed in a fully molten mantle is Fe-poor, and becomes neutrally buoyant at 110–120 GPa. Since the cooling of the deep MO is fast, and related convection is vigorous, however, first crystals remain entrained. As crystallization advances, the relative Fe content increases in the melt, and the pressure of neutral buoyancy decreases. At 50% solidification, close to the rheological transition, the pressure of the density crossover moves to </w:instrText>
      </w:r>
      <w:r w:rsidR="00DD29E3">
        <w:rPr>
          <w:rFonts w:ascii="Cambria Math" w:eastAsia="Times New Roman" w:hAnsi="Cambria Math" w:cs="Cambria Math"/>
          <w:noProof/>
          <w:sz w:val="22"/>
          <w:szCs w:val="28"/>
          <w:lang w:val="en-US"/>
        </w:rPr>
        <w:instrText>∼</w:instrText>
      </w:r>
      <w:r w:rsidR="00DD29E3">
        <w:rPr>
          <w:rFonts w:ascii="Times New Roman" w:eastAsia="Times New Roman" w:hAnsi="Times New Roman" w:cs="Times New Roman"/>
          <w:noProof/>
          <w:sz w:val="22"/>
          <w:szCs w:val="28"/>
          <w:lang w:val="en-US"/>
        </w:rPr>
        <w:instrText>50 GPa. At this pressure, crystals form an interconnected network and block global convection currents, which in turn leads to the separation of the partly crystallized MO into a surficial MO and a basal MO through melt-solid segregation. Such a shallow segregation of a crystal mush at mid-mantle depth has important implications for the dynamics and timescales of early mantle differentiation. Moreover, the shallow segregation should have promoted the formation of a voluminous basal MO that evolves into a large geochemically enriched reservoir. Accordingly, the seismically observed residues of basal MO crystallization in the present-day mantle may host an unmixed reservoir for the missing budget of highly incompatible elements.","author":[{"dropping-particle":"","family":"Caracas","given":"Razvan","non-dropping-particle":"","parse-names":false,"suffix":""},{"dropping-particle":"","family":"Hirose","given":"Kei","non-dropping-particle":"","parse-names":false,"suffix":""},{"dropping-particle":"","family":"Nomura","given":"Ryuichi","non-dropping-particle":"","parse-names":false,"suffix":""},{"dropping-particle":"","family":"Ballmer","given":"Maxim D.","non-dropping-particle":"","parse-names":false,"suffix":""}],"container-title":"Earth and Planetary Science Letters","id":"ITEM-1","issued":{"date-parts":[["2019"]]},"page":"202-211","publisher":"Elsevier B.V.","title":"Melt–crystal density crossover in a deep magma ocean","type":"article-journal","volume":"516"},"uris":["http://www.mendeley.com/documents/?uuid=7e28468e-5c2f-47ed-bc27-e9cc34aaa2ab"]}],"mendeley":{"formattedCitation":"&lt;sup&gt;40&lt;/sup&gt;","plainTextFormattedCitation":"40","previouslyFormattedCitation":"&lt;sup&gt;40&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937986" w:rsidRPr="0084570B">
        <w:rPr>
          <w:rFonts w:ascii="Times New Roman" w:eastAsia="Times New Roman" w:hAnsi="Times New Roman" w:cs="Times New Roman"/>
          <w:noProof/>
          <w:sz w:val="22"/>
          <w:szCs w:val="28"/>
          <w:vertAlign w:val="superscript"/>
          <w:lang w:val="en-US"/>
        </w:rPr>
        <w:t>40</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w:t>
      </w:r>
    </w:p>
    <w:p w14:paraId="28263395" w14:textId="77777777" w:rsidR="00D407D7" w:rsidRPr="0084570B" w:rsidRDefault="00D407D7" w:rsidP="00D407D7">
      <w:pPr>
        <w:pStyle w:val="Normal1"/>
        <w:spacing w:line="360" w:lineRule="auto"/>
        <w:jc w:val="both"/>
        <w:rPr>
          <w:rFonts w:ascii="Times New Roman" w:eastAsia="Times New Roman" w:hAnsi="Times New Roman" w:cs="Times New Roman"/>
          <w:noProof/>
          <w:sz w:val="22"/>
          <w:szCs w:val="28"/>
          <w:lang w:val="en-US"/>
        </w:rPr>
      </w:pPr>
    </w:p>
    <w:p w14:paraId="5C95974B" w14:textId="40AF5FC6" w:rsidR="00D407D7" w:rsidRPr="0084570B" w:rsidRDefault="00D407D7" w:rsidP="00D407D7">
      <w:pPr>
        <w:pStyle w:val="Normal1"/>
        <w:spacing w:line="360" w:lineRule="auto"/>
        <w:jc w:val="both"/>
        <w:rPr>
          <w:rFonts w:ascii="Times New Roman" w:eastAsia="Times New Roman" w:hAnsi="Times New Roman" w:cs="Times New Roman"/>
          <w:noProof/>
          <w:sz w:val="22"/>
          <w:szCs w:val="28"/>
          <w:lang w:val="en-US"/>
        </w:rPr>
      </w:pPr>
      <w:r w:rsidRPr="0084570B">
        <w:rPr>
          <w:rFonts w:ascii="Times New Roman" w:eastAsia="Times New Roman" w:hAnsi="Times New Roman" w:cs="Times New Roman"/>
          <w:sz w:val="22"/>
          <w:szCs w:val="22"/>
          <w:lang w:val="en-US"/>
        </w:rPr>
        <w:tab/>
      </w:r>
      <w:r w:rsidRPr="0084570B">
        <w:rPr>
          <w:rFonts w:ascii="Times New Roman" w:eastAsia="Times New Roman" w:hAnsi="Times New Roman" w:cs="Times New Roman"/>
          <w:b/>
          <w:sz w:val="22"/>
          <w:szCs w:val="22"/>
          <w:lang w:val="en-US"/>
        </w:rPr>
        <w:t xml:space="preserve">2- </w:t>
      </w:r>
      <w:r w:rsidRPr="0084570B">
        <w:rPr>
          <w:rFonts w:ascii="Times New Roman" w:eastAsia="Times New Roman" w:hAnsi="Times New Roman" w:cs="Times New Roman"/>
          <w:noProof/>
          <w:sz w:val="22"/>
          <w:szCs w:val="28"/>
          <w:lang w:val="en-US"/>
        </w:rPr>
        <w:t>The second crucial parameter that may affect the amount of mantle U extracted to the Hadean crust is the fraction of entrapped melt in cumulates. The extent of chemical differentiation in a magma ocean indeed depends on how melt can segregate from the solid phase during crystallization. Rapid progression of the solidification front would likely cause the trapping of a substantial amount of residual liquid in cumulates, ultimately resulting in subdued chemical fractionation compared to that expected from a pure cumulate. To account for this effect, the model is allowed to include a "trapped liquid component", modeled as a mineral phase with a partition coefficient of 1 for all elements. In detail, solidification of the lower mantle is thought to have proceeded more rapidly (i.e., on the timescale of ~10</w:t>
      </w:r>
      <w:r w:rsidRPr="0084570B">
        <w:rPr>
          <w:rFonts w:ascii="Times New Roman" w:eastAsia="Times New Roman" w:hAnsi="Times New Roman" w:cs="Times New Roman"/>
          <w:noProof/>
          <w:sz w:val="22"/>
          <w:szCs w:val="28"/>
          <w:vertAlign w:val="superscript"/>
          <w:lang w:val="en-US"/>
        </w:rPr>
        <w:t>2</w:t>
      </w:r>
      <w:r w:rsidRPr="0084570B">
        <w:rPr>
          <w:rFonts w:ascii="Times New Roman" w:eastAsia="Times New Roman" w:hAnsi="Times New Roman" w:cs="Times New Roman"/>
          <w:noProof/>
          <w:sz w:val="22"/>
          <w:szCs w:val="28"/>
          <w:lang w:val="en-US"/>
        </w:rPr>
        <w:t>-10</w:t>
      </w:r>
      <w:r w:rsidRPr="0084570B">
        <w:rPr>
          <w:rFonts w:ascii="Times New Roman" w:eastAsia="Times New Roman" w:hAnsi="Times New Roman" w:cs="Times New Roman"/>
          <w:noProof/>
          <w:sz w:val="22"/>
          <w:szCs w:val="28"/>
          <w:vertAlign w:val="superscript"/>
          <w:lang w:val="en-US"/>
        </w:rPr>
        <w:t>3</w:t>
      </w:r>
      <w:r w:rsidRPr="0084570B">
        <w:rPr>
          <w:rFonts w:ascii="Times New Roman" w:eastAsia="Times New Roman" w:hAnsi="Times New Roman" w:cs="Times New Roman"/>
          <w:noProof/>
          <w:sz w:val="22"/>
          <w:szCs w:val="28"/>
          <w:lang w:val="en-US"/>
        </w:rPr>
        <w:t xml:space="preserve"> yr) than the upper mantle (on 10</w:t>
      </w:r>
      <w:r w:rsidRPr="0084570B">
        <w:rPr>
          <w:rFonts w:ascii="Times New Roman" w:eastAsia="Times New Roman" w:hAnsi="Times New Roman" w:cs="Times New Roman"/>
          <w:noProof/>
          <w:sz w:val="22"/>
          <w:szCs w:val="28"/>
          <w:vertAlign w:val="superscript"/>
          <w:lang w:val="en-US"/>
        </w:rPr>
        <w:t>7</w:t>
      </w:r>
      <w:r w:rsidRPr="0084570B">
        <w:rPr>
          <w:rFonts w:ascii="Times New Roman" w:eastAsia="Times New Roman" w:hAnsi="Times New Roman" w:cs="Times New Roman"/>
          <w:noProof/>
          <w:sz w:val="22"/>
          <w:szCs w:val="28"/>
          <w:lang w:val="en-US"/>
        </w:rPr>
        <w:t>–10</w:t>
      </w:r>
      <w:r w:rsidRPr="0084570B">
        <w:rPr>
          <w:rFonts w:ascii="Times New Roman" w:eastAsia="Times New Roman" w:hAnsi="Times New Roman" w:cs="Times New Roman"/>
          <w:noProof/>
          <w:sz w:val="22"/>
          <w:szCs w:val="28"/>
          <w:vertAlign w:val="superscript"/>
          <w:lang w:val="en-US"/>
        </w:rPr>
        <w:t>8</w:t>
      </w:r>
      <w:r w:rsidRPr="0084570B">
        <w:rPr>
          <w:rFonts w:ascii="Times New Roman" w:eastAsia="Times New Roman" w:hAnsi="Times New Roman" w:cs="Times New Roman"/>
          <w:noProof/>
          <w:sz w:val="22"/>
          <w:szCs w:val="28"/>
          <w:lang w:val="en-US"/>
        </w:rPr>
        <w:t xml:space="preserve"> yr timescales)</w:t>
      </w:r>
      <w:r w:rsidRPr="0084570B">
        <w:rPr>
          <w:rFonts w:ascii="Times New Roman" w:eastAsia="Times New Roman" w:hAnsi="Times New Roman" w:cs="Times New Roman"/>
          <w:noProof/>
          <w:sz w:val="22"/>
          <w:szCs w:val="28"/>
          <w:lang w:val="en-US"/>
        </w:rPr>
        <w:fldChar w:fldCharType="begin" w:fldLock="1"/>
      </w:r>
      <w:r w:rsidR="00937986" w:rsidRPr="0084570B">
        <w:rPr>
          <w:rFonts w:ascii="Times New Roman" w:eastAsia="Times New Roman" w:hAnsi="Times New Roman" w:cs="Times New Roman"/>
          <w:noProof/>
          <w:sz w:val="22"/>
          <w:szCs w:val="28"/>
          <w:lang w:val="en-US"/>
        </w:rPr>
        <w:instrText>ADDIN CSL_CITATION {"citationItems":[{"id":"ITEM-1","itemData":{"DOI":"10.1016/j.epsl.2008.03.062","ISSN":"0012821X","abstract":"Early in terrestrial planet evolution energetic impact, radiodecay, and core formation may have created one or more whole or partial silicate mantle magma oceans. The time to mantle solidification and then to clement surface conditions allowing liquid water is highly dependent upon heat flux from the planetary surface through a growing primitive atmosphere. Here we model the time to clement conditions for whole and partial magma oceans on the Earth and Mars, and the resulting silicate mantle volatile compositions. Included in our calculations are partitioning of water and carbon dioxide between solidifying mantle cumulate mineral assemblages, evolving liquid compositions, and a growing atmosphere. We find that small initial volatile contents (0.05 wt.% H2O, 0.01 wt.% CO2) can produce atmospheres in excess of 100 bars, and that mantle solidification is 98% complete in less than 5 Myr for all magma oceans investigated on both Earth and Mars, and less than 100,000 yr for low-volatile magma oceans. Subsequent cooling to clement surface conditions occurs in five to tens of Ma, underscoring the likelihood of serial magma oceans and punctuated clement conditions in the early planets. Cumulate mantles are volatile-bearing and stably stratified following solidification, inhibiting the onset of thermal convection but allowing for further water and carbon emissions from volcanoes even in the absence of plate tectonics. Models thus produce a new hypothetical starting point for mantle evolution in the terrestrial planets. © 2008 Elsevier B.V. All rights reserved.","author":[{"dropping-particle":"","family":"Elkins-Tanton","given":"L. T.","non-dropping-particle":"","parse-names":false,"suffix":""}],"container-title":"Earth and Planetary Science Letters","id":"ITEM-1","issue":"1-4","issued":{"date-parts":[["2008"]]},"page":"181-191","title":"Linked magma ocean solidification and atmospheric growth for Earth and Mars","type":"article-journal","volume":"271"},"uris":["http://www.mendeley.com/documents/?uuid=83313505-b7e9-42d1-aeb3-16eaaf287220"]}],"mendeley":{"formattedCitation":"&lt;sup&gt;93&lt;/sup&gt;","plainTextFormattedCitation":"93","previouslyFormattedCitation":"&lt;sup&gt;93&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A40A71" w:rsidRPr="0084570B">
        <w:rPr>
          <w:rFonts w:ascii="Times New Roman" w:eastAsia="Times New Roman" w:hAnsi="Times New Roman" w:cs="Times New Roman"/>
          <w:noProof/>
          <w:sz w:val="22"/>
          <w:szCs w:val="28"/>
          <w:vertAlign w:val="superscript"/>
          <w:lang w:val="en-US"/>
        </w:rPr>
        <w:t>93</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vertAlign w:val="superscript"/>
          <w:lang w:val="en-US"/>
        </w:rPr>
        <w:t>,</w:t>
      </w:r>
      <w:r w:rsidRPr="0084570B">
        <w:rPr>
          <w:rFonts w:ascii="Times New Roman" w:eastAsia="Times New Roman" w:hAnsi="Times New Roman" w:cs="Times New Roman"/>
          <w:noProof/>
          <w:sz w:val="22"/>
          <w:szCs w:val="28"/>
          <w:lang w:val="en-US"/>
        </w:rPr>
        <w:fldChar w:fldCharType="begin" w:fldLock="1"/>
      </w:r>
      <w:r w:rsidR="003376B3">
        <w:rPr>
          <w:rFonts w:ascii="Times New Roman" w:eastAsia="Times New Roman" w:hAnsi="Times New Roman" w:cs="Times New Roman"/>
          <w:noProof/>
          <w:sz w:val="22"/>
          <w:szCs w:val="28"/>
          <w:lang w:val="en-US"/>
        </w:rPr>
        <w:instrText>ADDIN CSL_CITATION {"citationItems":[{"id":"ITEM-1","itemData":{"DOI":"10.1016/B978-0-444-53802-4.00155-X","ISBN":"9780444538031","abstract":"Crystallization and chemical differentiation of the early Earth were governed by a combination of various processes. Within the uncertainties of physical parameters, the two end-member models, equilibrium crystallization and fractional crystallization, are both possible. In terms of crystal size, the boundary between these models is ~1mm. Analysis of nucleation and crystal growth in the convecting magma ocean suggests that the crystals in the magma ocean are approximately this size. The equilibrium model is preferred because it seems to satisfy better the geochemical constraints. According to this model, at the early stages, crystallization proceeds from bottom up without any substantial crystal-melt segregation. In a vigorously convecting magma ocean, the thermal profile is approximately adiabatic and the crystal fraction decreases gradually with depth. The basic physical reason for equilibrium crystallization is a fast convective cooling during which the solid and the liquid phases had a very limited time window for crystal-melt segregation, about 1000 years. Chemical differentiation due to crystal-melt segregation is more significant at low pressures corresponding - with large uncertainties - to the upper mantle. It is caused by several factors. When the temperature drops below liquidus everywhere, the nucleation-growth-dissolution cycle of crystals changes to continuous crystal growth. This increases the crystal size to ~1cm indicating the beginning of crystal-melt segregation. When the crystal fraction increases to about 60% near the surface, the convective heat transport is controlled by solid-state creep, which is many orders of magnitude slower. Crystal-melt segregation occurs via melt percolation, which is consistent with the geochemical constraints. Crystallization of the remaining partially molten layers takes about 107-109 years. This stage merges with the subsequent planetary evolution controlled by mantle convection and radiogenic heating. The long lifetime of the shallow magma ocean suggests that this might be the place where liquid iron equilibrates with the mantle before it sinks down to the core.","author":[{"dropping-particle":"","family":"Solomatov","given":"V.","non-dropping-particle":"","parse-names":false,"suffix":""}],"container-title":"Treatise on Geophysics: Second Edition","id":"ITEM-1","issued":{"date-parts":[["2015"]]},"page":"81-104","title":"Magma Oceans and Primordial Mantle Differentiation","type":"article-journal","volume":"9"},"uris":["http://www.mendeley.com/documents/?uuid=81496de8-cffe-4922-8e14-72186d060782"]}],"mendeley":{"formattedCitation":"&lt;sup&gt;144&lt;/sup&gt;","plainTextFormattedCitation":"144","previouslyFormattedCitation":"&lt;sup&gt;144&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253A47" w:rsidRPr="00253A47">
        <w:rPr>
          <w:rFonts w:ascii="Times New Roman" w:eastAsia="Times New Roman" w:hAnsi="Times New Roman" w:cs="Times New Roman"/>
          <w:noProof/>
          <w:sz w:val="22"/>
          <w:szCs w:val="28"/>
          <w:vertAlign w:val="superscript"/>
          <w:lang w:val="en-US"/>
        </w:rPr>
        <w:t>144</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While rapid crystallization would likely hamper chemical differentiation (hence producing high fractions of entrapped melt in cumulates), the long crystallization timescale of the upper mantle would have allowed quantitative melt extraction. For the sake of simplicity, however, the fraction of trapped liquid is assumed to be the same in all mantle layers</w:t>
      </w:r>
      <w:r w:rsidRPr="0084570B">
        <w:rPr>
          <w:rFonts w:ascii="Times New Roman" w:eastAsia="Times New Roman" w:hAnsi="Times New Roman" w:cs="Times New Roman"/>
          <w:noProof/>
          <w:sz w:val="22"/>
          <w:szCs w:val="28"/>
          <w:lang w:val="en-US"/>
        </w:rPr>
        <w:fldChar w:fldCharType="begin" w:fldLock="1"/>
      </w:r>
      <w:r w:rsidR="00DD29E3">
        <w:rPr>
          <w:rFonts w:ascii="Times New Roman" w:eastAsia="Times New Roman" w:hAnsi="Times New Roman" w:cs="Times New Roman"/>
          <w:noProof/>
          <w:sz w:val="22"/>
          <w:szCs w:val="28"/>
          <w:lang w:val="en-US"/>
        </w:rPr>
        <w:instrText>ADDIN CSL_CITATION {"citationItems":[{"id":"ITEM-1","itemData":{"DOI":"10.1016/j.gca.2018.08.026","ISSN":"00167037","abstract":"Positive 142Nd anomalies in Eoarchean rocks provide evidence for early (4.40 ± 0.03 Ga; Morino et al., 2017) depletion of Earth's mantle. This model age lies within errors of the Pb-Pb “age of the Earth” (Connelly and Bizzarro, 2016), and is similar to model ages inferred for crystallization of the lunar mantle (McLeod et al., 2014), implying that this large-scale event may reflect crystallization of a magma ocean following the Moon-forming impact. However, differentiation mechanisms responsible for the formation of this early depleted mantle reservoir and the depth at which it formed cannot be constrained from the Sm-Nd isotope system alone, because the magnitude of Sm/Nd fractionation during partial melting or fractional crystallization shows little dependence on pressure-controlled changes in mantle mineralogy. In contrast, the Lu-Hf isotope system is highly dependent on mineralogy, notably the presence or absence of garnet, an upper mantle phase, and thus may be used to constrain the pressure of fractionation. This study provides the first 176Lu-176Hf isotopic results on mafic and ultramafic rocks belonging to the Eoarchean (Nulliak) and Mesoarchean suites of the Saglek Block (northern Labrador, 3.2–3.9 Ga). The 176Lu-176Hf dating confirms the distinction between these two groups of rocks and provides ages consistent with those obtained from 147Sm-143Nd dating. The whole rock 176Lu-176Hf errorchrons yield ages and initial epsilon values of 3766 ± 140 Ma, ε176Hfi = 6.0 ± 2.5 and 3023 ± 390 Ma, ε176Hfi = −0.3 ± 2.5 for the Nulliak suite and the Mesoarchean suite respectively. The time-integrated 176Lu/177Hf for the sources of the Nulliak and the Mesoarchean suites considering a time of differentiation at 4.40 ± 0.03 Ga are estimated to be 0.047 ± 0.005 and 0.033 ± 0.005, respectively. For the Mesoarchean samples, the combined 146,147Sm-142,143Nd and 176Lu-176Hf data are consistent with a near-chondritic mantle source. On the other hand, Nulliak ultramafic rocks were derived from a mantle reservoir with superchondritic Lu/Hf and Sm/Nd. The Nulliak parent reservoir, however, does not plot on the ε176Hf-ε143Nd mantle array defined by modern oceanic basalts. Instead, the Nulliak source more likely belongs to a distinct array defined by Eo- and Meso-Archean komatiites. These results are interpreted in the framework of a simple model of crystallization of a primordial magma ocean. It appears that the fractionation observed in the mantle source of Nulliak wa…","author":[{"dropping-particle":"","family":"Morino","given":"Précillia","non-dropping-particle":"","parse-names":false,"suffix":""},{"dropping-particle":"","family":"Caro","given":"Guillaume","non-dropping-particle":"","parse-names":false,"suffix":""},{"dropping-particle":"","family":"Reisberg","given":"Laurie","non-dropping-particle":"","parse-names":false,"suffix":""}],"container-title":"Geochimica et Cosmochimica Acta","id":"ITEM-1","issued":{"date-parts":[["2018"]]},"page":"43-63","title":"Differentiation mechanisms of the early Hadean mantle: Insights from combined 176Hf-142,143Nd signatures of Archean rocks from the Saglek Block","type":"article-journal","volume":"240"},"uris":["http://www.mendeley.com/documents/?uuid=883a93be-afd0-48d2-8c7b-e6b6a1acec67"]}],"mendeley":{"formattedCitation":"&lt;sup&gt;39&lt;/sup&gt;","plainTextFormattedCitation":"39","previouslyFormattedCitation":"&lt;sup&gt;39&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937986" w:rsidRPr="0084570B">
        <w:rPr>
          <w:rFonts w:ascii="Times New Roman" w:eastAsia="Times New Roman" w:hAnsi="Times New Roman" w:cs="Times New Roman"/>
          <w:noProof/>
          <w:sz w:val="22"/>
          <w:szCs w:val="28"/>
          <w:vertAlign w:val="superscript"/>
          <w:lang w:val="en-US"/>
        </w:rPr>
        <w:t>39</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In the scenario of Caracas et al. (2019)</w:t>
      </w:r>
      <w:r w:rsidRPr="0084570B">
        <w:rPr>
          <w:rFonts w:ascii="Times New Roman" w:eastAsia="Times New Roman" w:hAnsi="Times New Roman" w:cs="Times New Roman"/>
          <w:noProof/>
          <w:sz w:val="22"/>
          <w:szCs w:val="28"/>
          <w:lang w:val="en-US"/>
        </w:rPr>
        <w:fldChar w:fldCharType="begin" w:fldLock="1"/>
      </w:r>
      <w:r w:rsidR="00DD29E3">
        <w:rPr>
          <w:rFonts w:ascii="Times New Roman" w:eastAsia="Times New Roman" w:hAnsi="Times New Roman" w:cs="Times New Roman"/>
          <w:noProof/>
          <w:sz w:val="22"/>
          <w:szCs w:val="28"/>
          <w:lang w:val="en-US"/>
        </w:rPr>
        <w:instrText xml:space="preserve">ADDIN CSL_CITATION {"citationItems":[{"id":"ITEM-1","itemData":{"DOI":"10.1016/j.epsl.2019.03.031","ISSN":"0012821X","abstract":"The crystallization of a magma ocean (MO) early in Earth's history shaped the entire evolution of our planet. The buoyancy relations between the forming crystals and the residual melt is the most important but also the most unknown parameter affecting the large-scale structure and evolution of the MO. The accumulation of crystals, near the depth of neutral buoyancy between crystals and the coexisting melt, if happening at mid-depths, can separate convecting regions within the MO. Here we use jointly first-principles molecular-dynamics calculations and diamond-anvil cell experiments to obtain the density relations between the molten bulk silicate Earth and the bridgmanite crystals during the crystallization of the MO. The chemical evolutions of the liquid and the coexisting solid during progressive crystallization were constrained by experiments, and the relevant densities were calculated by molecular dynamics. We find that the first crystal of bridgmanite that is formed in a fully molten mantle is Fe-poor, and becomes neutrally buoyant at 110–120 GPa. Since the cooling of the deep MO is fast, and related convection is vigorous, however, first crystals remain entrained. As crystallization advances, the relative Fe content increases in the melt, and the pressure of neutral buoyancy decreases. At 50% solidification, close to the rheological transition, the pressure of the density crossover moves to </w:instrText>
      </w:r>
      <w:r w:rsidR="00DD29E3">
        <w:rPr>
          <w:rFonts w:ascii="Cambria Math" w:eastAsia="Times New Roman" w:hAnsi="Cambria Math" w:cs="Cambria Math"/>
          <w:noProof/>
          <w:sz w:val="22"/>
          <w:szCs w:val="28"/>
          <w:lang w:val="en-US"/>
        </w:rPr>
        <w:instrText>∼</w:instrText>
      </w:r>
      <w:r w:rsidR="00DD29E3">
        <w:rPr>
          <w:rFonts w:ascii="Times New Roman" w:eastAsia="Times New Roman" w:hAnsi="Times New Roman" w:cs="Times New Roman"/>
          <w:noProof/>
          <w:sz w:val="22"/>
          <w:szCs w:val="28"/>
          <w:lang w:val="en-US"/>
        </w:rPr>
        <w:instrText>50 GPa. At this pressure, crystals form an interconnected network and block global convection currents, which in turn leads to the separation of the partly crystallized MO into a surficial MO and a basal MO through melt-solid segregation. Such a shallow segregation of a crystal mush at mid-mantle depth has important implications for the dynamics and timescales of early mantle differentiation. Moreover, the shallow segregation should have promoted the formation of a voluminous basal MO that evolves into a large geochemically enriched reservoir. Accordingly, the seismically observed residues of basal MO crystallization in the present-day mantle may host an unmixed reservoir for the missing budget of highly incompatible elements.","author":[{"dropping-particle":"","family":"Caracas","given":"Razvan","non-dropping-particle":"","parse-names":false,"suffix":""},{"dropping-particle":"","family":"Hirose","given":"Kei","non-dropping-particle":"","parse-names":false,"suffix":""},{"dropping-particle":"","family":"Nomura","given":"Ryuichi","non-dropping-particle":"","parse-names":false,"suffix":""},{"dropping-particle":"","family":"Ballmer","given":"Maxim D.","non-dropping-particle":"","parse-names":false,"suffix":""}],"container-title":"Earth and Planetary Science Letters","id":"ITEM-1","issued":{"date-parts":[["2019"]]},"page":"202-211","publisher":"Elsevier B.V.","title":"Melt–crystal density crossover in a deep magma ocean","type":"article-journal","volume":"516"},"uris":["http://www.mendeley.com/documents/?uuid=7e28468e-5c2f-47ed-bc27-e9cc34aaa2ab"]}],"mendeley":{"formattedCitation":"&lt;sup&gt;40&lt;/sup&gt;","plainTextFormattedCitation":"40","previouslyFormattedCitation":"&lt;sup&gt;40&lt;/sup&gt;"},"properties":{"noteIndex":0},"schema":"https://github.com/citation-style-language/schema/raw/master/csl-citation.json"}</w:instrText>
      </w:r>
      <w:r w:rsidRPr="0084570B">
        <w:rPr>
          <w:rFonts w:ascii="Times New Roman" w:eastAsia="Times New Roman" w:hAnsi="Times New Roman" w:cs="Times New Roman"/>
          <w:noProof/>
          <w:sz w:val="22"/>
          <w:szCs w:val="28"/>
          <w:lang w:val="en-US"/>
        </w:rPr>
        <w:fldChar w:fldCharType="separate"/>
      </w:r>
      <w:r w:rsidR="00937986" w:rsidRPr="0084570B">
        <w:rPr>
          <w:rFonts w:ascii="Times New Roman" w:eastAsia="Times New Roman" w:hAnsi="Times New Roman" w:cs="Times New Roman"/>
          <w:noProof/>
          <w:sz w:val="22"/>
          <w:szCs w:val="28"/>
          <w:vertAlign w:val="superscript"/>
          <w:lang w:val="en-US"/>
        </w:rPr>
        <w:t>40</w:t>
      </w:r>
      <w:r w:rsidRPr="0084570B">
        <w:rPr>
          <w:rFonts w:ascii="Times New Roman" w:eastAsia="Times New Roman" w:hAnsi="Times New Roman" w:cs="Times New Roman"/>
          <w:noProof/>
          <w:sz w:val="22"/>
          <w:szCs w:val="28"/>
          <w:lang w:val="en-US"/>
        </w:rPr>
        <w:fldChar w:fldCharType="end"/>
      </w:r>
      <w:r w:rsidRPr="0084570B">
        <w:rPr>
          <w:rFonts w:ascii="Times New Roman" w:eastAsia="Times New Roman" w:hAnsi="Times New Roman" w:cs="Times New Roman"/>
          <w:noProof/>
          <w:sz w:val="22"/>
          <w:szCs w:val="28"/>
          <w:lang w:val="en-US"/>
        </w:rPr>
        <w:t xml:space="preserve">, efficient </w:t>
      </w:r>
      <w:r w:rsidRPr="0084570B">
        <w:rPr>
          <w:rFonts w:ascii="Times New Roman" w:hAnsi="Times New Roman" w:cs="Times New Roman"/>
          <w:color w:val="000000"/>
          <w:sz w:val="22"/>
          <w:szCs w:val="22"/>
          <w:lang w:val="en-US"/>
        </w:rPr>
        <w:t xml:space="preserve">melt-solid segregation during the formation and evolution of the basal and shallow magma oceans </w:t>
      </w:r>
      <w:r w:rsidRPr="0084570B">
        <w:rPr>
          <w:rFonts w:ascii="Times New Roman" w:hAnsi="Times New Roman" w:cs="Times New Roman"/>
          <w:color w:val="000000"/>
          <w:sz w:val="22"/>
          <w:szCs w:val="22"/>
          <w:lang w:val="en-US"/>
        </w:rPr>
        <w:lastRenderedPageBreak/>
        <w:t xml:space="preserve">should greatly limit the amount of entrapped melt. Thus, we consider </w:t>
      </w:r>
      <w:r w:rsidRPr="0084570B">
        <w:rPr>
          <w:rFonts w:ascii="Times New Roman" w:eastAsia="Times New Roman" w:hAnsi="Times New Roman" w:cs="Times New Roman"/>
          <w:noProof/>
          <w:sz w:val="22"/>
          <w:szCs w:val="28"/>
          <w:lang w:val="en-US"/>
        </w:rPr>
        <w:t>two end-member scenarios: one with no entrapped melt (i.e., pure mantle cumulates), and one with 1% entrapped melt.</w:t>
      </w:r>
    </w:p>
    <w:p w14:paraId="566E198F" w14:textId="77777777" w:rsidR="00D10FC5" w:rsidRPr="0084570B" w:rsidRDefault="00D10FC5" w:rsidP="006E751F">
      <w:pPr>
        <w:pStyle w:val="Normal1"/>
        <w:spacing w:line="360" w:lineRule="auto"/>
        <w:jc w:val="both"/>
        <w:rPr>
          <w:rFonts w:ascii="Times New Roman" w:eastAsia="Times New Roman" w:hAnsi="Times New Roman" w:cs="Times New Roman"/>
          <w:noProof/>
          <w:sz w:val="22"/>
          <w:szCs w:val="28"/>
          <w:lang w:val="en-US"/>
        </w:rPr>
      </w:pPr>
    </w:p>
    <w:p w14:paraId="06EE0ED6" w14:textId="3CF32C90" w:rsidR="002C5169" w:rsidRPr="0084570B" w:rsidRDefault="006E751F" w:rsidP="002C5169">
      <w:pPr>
        <w:pStyle w:val="Normal1"/>
        <w:spacing w:line="360" w:lineRule="auto"/>
        <w:ind w:firstLine="720"/>
        <w:jc w:val="both"/>
        <w:rPr>
          <w:rFonts w:ascii="Times New Roman" w:eastAsia="Times New Roman" w:hAnsi="Times New Roman" w:cs="Times New Roman"/>
          <w:noProof/>
          <w:sz w:val="22"/>
          <w:szCs w:val="28"/>
          <w:lang w:val="en-US"/>
        </w:rPr>
      </w:pPr>
      <w:r w:rsidRPr="0084570B">
        <w:rPr>
          <w:rFonts w:ascii="Times New Roman" w:eastAsia="Times New Roman" w:hAnsi="Times New Roman" w:cs="Times New Roman"/>
          <w:noProof/>
          <w:sz w:val="22"/>
          <w:szCs w:val="28"/>
          <w:lang w:val="en-US"/>
        </w:rPr>
        <w:t xml:space="preserve">Assuming crystallization of pure </w:t>
      </w:r>
      <w:r w:rsidR="00273185" w:rsidRPr="0084570B">
        <w:rPr>
          <w:rFonts w:ascii="Times New Roman" w:eastAsia="Times New Roman" w:hAnsi="Times New Roman" w:cs="Times New Roman"/>
          <w:noProof/>
          <w:sz w:val="22"/>
          <w:szCs w:val="28"/>
          <w:lang w:val="en-US"/>
        </w:rPr>
        <w:t>cumulates (i.e., no melt entrap</w:t>
      </w:r>
      <w:r w:rsidRPr="0084570B">
        <w:rPr>
          <w:rFonts w:ascii="Times New Roman" w:eastAsia="Times New Roman" w:hAnsi="Times New Roman" w:cs="Times New Roman"/>
          <w:noProof/>
          <w:sz w:val="22"/>
          <w:szCs w:val="28"/>
          <w:lang w:val="en-US"/>
        </w:rPr>
        <w:t>ment) and insignificant amounts of Ca-perovskite at pressures &gt;22 GPa, we find that a 40-km thi</w:t>
      </w:r>
      <w:r w:rsidR="00481D2E" w:rsidRPr="0084570B">
        <w:rPr>
          <w:rFonts w:ascii="Times New Roman" w:eastAsia="Times New Roman" w:hAnsi="Times New Roman" w:cs="Times New Roman"/>
          <w:noProof/>
          <w:sz w:val="22"/>
          <w:szCs w:val="28"/>
          <w:lang w:val="en-US"/>
        </w:rPr>
        <w:t>ck H</w:t>
      </w:r>
      <w:r w:rsidR="002F0658" w:rsidRPr="0084570B">
        <w:rPr>
          <w:rFonts w:ascii="Times New Roman" w:eastAsia="Times New Roman" w:hAnsi="Times New Roman" w:cs="Times New Roman"/>
          <w:noProof/>
          <w:sz w:val="22"/>
          <w:szCs w:val="28"/>
          <w:lang w:val="en-US"/>
        </w:rPr>
        <w:t>adean crust would contain ~1.5</w:t>
      </w:r>
      <w:r w:rsidR="00273185" w:rsidRPr="0084570B">
        <w:rPr>
          <w:rFonts w:ascii="Times New Roman" w:eastAsia="Times New Roman" w:hAnsi="Times New Roman" w:cs="Times New Roman"/>
          <w:noProof/>
          <w:sz w:val="22"/>
          <w:szCs w:val="28"/>
          <w:lang w:val="en-US"/>
        </w:rPr>
        <w:t xml:space="preserve"> ppm U, corresponding to a</w:t>
      </w:r>
      <w:r w:rsidRPr="0084570B">
        <w:rPr>
          <w:rFonts w:ascii="Times New Roman" w:eastAsia="Times New Roman" w:hAnsi="Times New Roman" w:cs="Times New Roman"/>
          <w:noProof/>
          <w:sz w:val="22"/>
          <w:szCs w:val="28"/>
          <w:lang w:val="en-US"/>
        </w:rPr>
        <w:t xml:space="preserve"> UM depletion factor of 9</w:t>
      </w:r>
      <w:r w:rsidR="002F0658" w:rsidRPr="0084570B">
        <w:rPr>
          <w:rFonts w:ascii="Times New Roman" w:eastAsia="Times New Roman" w:hAnsi="Times New Roman" w:cs="Times New Roman"/>
          <w:noProof/>
          <w:sz w:val="22"/>
          <w:szCs w:val="28"/>
          <w:lang w:val="en-US"/>
        </w:rPr>
        <w:t>2</w:t>
      </w:r>
      <w:r w:rsidR="00AE4623" w:rsidRPr="0084570B">
        <w:rPr>
          <w:rFonts w:ascii="Times New Roman" w:eastAsia="Times New Roman" w:hAnsi="Times New Roman" w:cs="Times New Roman"/>
          <w:noProof/>
          <w:sz w:val="22"/>
          <w:szCs w:val="28"/>
          <w:lang w:val="en-US"/>
        </w:rPr>
        <w:t>% (i.e., 1.25 ppb</w:t>
      </w:r>
      <w:r w:rsidR="00CC2A76" w:rsidRPr="0084570B">
        <w:rPr>
          <w:rFonts w:ascii="Times New Roman" w:eastAsia="Times New Roman" w:hAnsi="Times New Roman" w:cs="Times New Roman"/>
          <w:noProof/>
          <w:sz w:val="22"/>
          <w:szCs w:val="28"/>
          <w:lang w:val="en-US"/>
        </w:rPr>
        <w:t xml:space="preserve"> of U in the present-day UM</w:t>
      </w:r>
      <w:r w:rsidR="00B318E4" w:rsidRPr="0084570B">
        <w:rPr>
          <w:rFonts w:ascii="Times New Roman" w:eastAsia="Times New Roman" w:hAnsi="Times New Roman" w:cs="Times New Roman"/>
          <w:noProof/>
          <w:sz w:val="22"/>
          <w:szCs w:val="28"/>
          <w:lang w:val="en-US"/>
        </w:rPr>
        <w:t xml:space="preserve">; </w:t>
      </w:r>
      <w:r w:rsidR="00B318E4" w:rsidRPr="0084570B">
        <w:rPr>
          <w:rFonts w:ascii="Times New Roman" w:eastAsia="Times New Roman" w:hAnsi="Times New Roman" w:cs="Times New Roman"/>
          <w:b/>
          <w:noProof/>
          <w:sz w:val="22"/>
          <w:szCs w:val="28"/>
          <w:lang w:val="en-US"/>
        </w:rPr>
        <w:t>Figure S</w:t>
      </w:r>
      <w:r w:rsidR="00E83805" w:rsidRPr="0084570B">
        <w:rPr>
          <w:rFonts w:ascii="Times New Roman" w:eastAsia="Times New Roman" w:hAnsi="Times New Roman" w:cs="Times New Roman"/>
          <w:b/>
          <w:noProof/>
          <w:sz w:val="22"/>
          <w:szCs w:val="28"/>
          <w:lang w:val="en-US"/>
        </w:rPr>
        <w:t>2</w:t>
      </w:r>
      <w:r w:rsidR="00832649" w:rsidRPr="0084570B">
        <w:rPr>
          <w:rFonts w:ascii="Times New Roman" w:eastAsia="Times New Roman" w:hAnsi="Times New Roman" w:cs="Times New Roman"/>
          <w:b/>
          <w:noProof/>
          <w:sz w:val="22"/>
          <w:szCs w:val="28"/>
          <w:lang w:val="en-US"/>
        </w:rPr>
        <w:t>1</w:t>
      </w:r>
      <w:r w:rsidR="00AE4623" w:rsidRPr="0084570B">
        <w:rPr>
          <w:rFonts w:ascii="Times New Roman" w:eastAsia="Times New Roman" w:hAnsi="Times New Roman" w:cs="Times New Roman"/>
          <w:noProof/>
          <w:sz w:val="22"/>
          <w:szCs w:val="28"/>
          <w:lang w:val="en-US"/>
        </w:rPr>
        <w:t>).</w:t>
      </w:r>
      <w:r w:rsidRPr="0084570B">
        <w:rPr>
          <w:rFonts w:ascii="Times New Roman" w:eastAsia="Times New Roman" w:hAnsi="Times New Roman" w:cs="Times New Roman"/>
          <w:noProof/>
          <w:sz w:val="22"/>
          <w:szCs w:val="28"/>
          <w:lang w:val="en-US"/>
        </w:rPr>
        <w:t xml:space="preserve"> Assuming that cumulates consistently comprise ~1% of entrapped melt would reduce</w:t>
      </w:r>
      <w:r w:rsidR="00BA622C" w:rsidRPr="0084570B">
        <w:rPr>
          <w:rFonts w:ascii="Times New Roman" w:eastAsia="Times New Roman" w:hAnsi="Times New Roman" w:cs="Times New Roman"/>
          <w:noProof/>
          <w:sz w:val="22"/>
          <w:szCs w:val="28"/>
          <w:lang w:val="en-US"/>
        </w:rPr>
        <w:t xml:space="preserve"> this UM depletion factor to ~85</w:t>
      </w:r>
      <w:r w:rsidRPr="0084570B">
        <w:rPr>
          <w:rFonts w:ascii="Times New Roman" w:eastAsia="Times New Roman" w:hAnsi="Times New Roman" w:cs="Times New Roman"/>
          <w:noProof/>
          <w:sz w:val="22"/>
          <w:szCs w:val="28"/>
          <w:lang w:val="en-US"/>
        </w:rPr>
        <w:t>%</w:t>
      </w:r>
      <w:r w:rsidR="00AB1AFB" w:rsidRPr="0084570B">
        <w:rPr>
          <w:rFonts w:ascii="Times New Roman" w:eastAsia="Times New Roman" w:hAnsi="Times New Roman" w:cs="Times New Roman"/>
          <w:noProof/>
          <w:sz w:val="22"/>
          <w:szCs w:val="28"/>
          <w:lang w:val="en-US"/>
        </w:rPr>
        <w:t xml:space="preserve"> (</w:t>
      </w:r>
      <w:r w:rsidR="00CC2A76" w:rsidRPr="0084570B">
        <w:rPr>
          <w:rFonts w:ascii="Times New Roman" w:eastAsia="Times New Roman" w:hAnsi="Times New Roman" w:cs="Times New Roman"/>
          <w:noProof/>
          <w:sz w:val="22"/>
          <w:szCs w:val="28"/>
          <w:lang w:val="en-US"/>
        </w:rPr>
        <w:t>i.e., 2.30 ppb of U in the present-day UM</w:t>
      </w:r>
      <w:r w:rsidR="00B318E4" w:rsidRPr="0084570B">
        <w:rPr>
          <w:rFonts w:ascii="Times New Roman" w:eastAsia="Times New Roman" w:hAnsi="Times New Roman" w:cs="Times New Roman"/>
          <w:noProof/>
          <w:sz w:val="22"/>
          <w:szCs w:val="28"/>
          <w:lang w:val="en-US"/>
        </w:rPr>
        <w:t xml:space="preserve">; </w:t>
      </w:r>
      <w:r w:rsidR="00B318E4" w:rsidRPr="0084570B">
        <w:rPr>
          <w:rFonts w:ascii="Times New Roman" w:eastAsia="Times New Roman" w:hAnsi="Times New Roman" w:cs="Times New Roman"/>
          <w:b/>
          <w:noProof/>
          <w:sz w:val="22"/>
          <w:szCs w:val="28"/>
          <w:lang w:val="en-US"/>
        </w:rPr>
        <w:t>Figure</w:t>
      </w:r>
      <w:r w:rsidR="00E83805" w:rsidRPr="0084570B">
        <w:rPr>
          <w:rFonts w:ascii="Times New Roman" w:eastAsia="Times New Roman" w:hAnsi="Times New Roman" w:cs="Times New Roman"/>
          <w:b/>
          <w:noProof/>
          <w:sz w:val="22"/>
          <w:szCs w:val="28"/>
          <w:lang w:val="en-US"/>
        </w:rPr>
        <w:t> </w:t>
      </w:r>
      <w:r w:rsidR="00B318E4" w:rsidRPr="0084570B">
        <w:rPr>
          <w:rFonts w:ascii="Times New Roman" w:eastAsia="Times New Roman" w:hAnsi="Times New Roman" w:cs="Times New Roman"/>
          <w:b/>
          <w:noProof/>
          <w:sz w:val="22"/>
          <w:szCs w:val="28"/>
          <w:lang w:val="en-US"/>
        </w:rPr>
        <w:t>S</w:t>
      </w:r>
      <w:r w:rsidR="00832649" w:rsidRPr="0084570B">
        <w:rPr>
          <w:rFonts w:ascii="Times New Roman" w:eastAsia="Times New Roman" w:hAnsi="Times New Roman" w:cs="Times New Roman"/>
          <w:b/>
          <w:noProof/>
          <w:sz w:val="22"/>
          <w:szCs w:val="28"/>
          <w:lang w:val="en-US"/>
        </w:rPr>
        <w:t>21</w:t>
      </w:r>
      <w:r w:rsidR="00AB1AFB" w:rsidRPr="0084570B">
        <w:rPr>
          <w:rFonts w:ascii="Times New Roman" w:eastAsia="Times New Roman" w:hAnsi="Times New Roman" w:cs="Times New Roman"/>
          <w:noProof/>
          <w:sz w:val="22"/>
          <w:szCs w:val="28"/>
          <w:lang w:val="en-US"/>
        </w:rPr>
        <w:t>)</w:t>
      </w:r>
      <w:r w:rsidRPr="0084570B">
        <w:rPr>
          <w:rFonts w:ascii="Times New Roman" w:eastAsia="Times New Roman" w:hAnsi="Times New Roman" w:cs="Times New Roman"/>
          <w:noProof/>
          <w:sz w:val="22"/>
          <w:szCs w:val="28"/>
          <w:lang w:val="en-US"/>
        </w:rPr>
        <w:t>. Note that these estimates are fairly insensitive to the thickness of the Hadean cru</w:t>
      </w:r>
      <w:r w:rsidR="00273185" w:rsidRPr="0084570B">
        <w:rPr>
          <w:rFonts w:ascii="Times New Roman" w:eastAsia="Times New Roman" w:hAnsi="Times New Roman" w:cs="Times New Roman"/>
          <w:noProof/>
          <w:sz w:val="22"/>
          <w:szCs w:val="28"/>
          <w:lang w:val="en-US"/>
        </w:rPr>
        <w:t>st, as increasing the crystalliz</w:t>
      </w:r>
      <w:r w:rsidRPr="0084570B">
        <w:rPr>
          <w:rFonts w:ascii="Times New Roman" w:eastAsia="Times New Roman" w:hAnsi="Times New Roman" w:cs="Times New Roman"/>
          <w:noProof/>
          <w:sz w:val="22"/>
          <w:szCs w:val="28"/>
          <w:lang w:val="en-US"/>
        </w:rPr>
        <w:t>ation rate (i.e., diminishing the volume of residual melt at the end of magma ocean crystallization ) proportionally increases the U content of the Hadean crust</w:t>
      </w:r>
      <w:r w:rsidR="0064315C" w:rsidRPr="0084570B">
        <w:rPr>
          <w:rFonts w:ascii="Times New Roman" w:eastAsia="Times New Roman" w:hAnsi="Times New Roman" w:cs="Times New Roman"/>
          <w:noProof/>
          <w:sz w:val="22"/>
          <w:szCs w:val="28"/>
          <w:lang w:val="en-US"/>
        </w:rPr>
        <w:t xml:space="preserve"> (</w:t>
      </w:r>
      <w:r w:rsidR="004B6094" w:rsidRPr="0084570B">
        <w:rPr>
          <w:rFonts w:ascii="Times New Roman" w:eastAsia="Times New Roman" w:hAnsi="Times New Roman" w:cs="Times New Roman"/>
          <w:b/>
          <w:noProof/>
          <w:sz w:val="22"/>
          <w:szCs w:val="28"/>
          <w:lang w:val="en-US"/>
        </w:rPr>
        <w:t>Figure</w:t>
      </w:r>
      <w:r w:rsidR="0064315C" w:rsidRPr="0084570B">
        <w:rPr>
          <w:rFonts w:ascii="Times New Roman" w:eastAsia="Times New Roman" w:hAnsi="Times New Roman" w:cs="Times New Roman"/>
          <w:b/>
          <w:noProof/>
          <w:sz w:val="22"/>
          <w:szCs w:val="28"/>
          <w:lang w:val="en-US"/>
        </w:rPr>
        <w:t xml:space="preserve"> S</w:t>
      </w:r>
      <w:r w:rsidR="00E83805" w:rsidRPr="0084570B">
        <w:rPr>
          <w:rFonts w:ascii="Times New Roman" w:eastAsia="Times New Roman" w:hAnsi="Times New Roman" w:cs="Times New Roman"/>
          <w:b/>
          <w:noProof/>
          <w:sz w:val="22"/>
          <w:szCs w:val="28"/>
          <w:lang w:val="en-US"/>
        </w:rPr>
        <w:t>2</w:t>
      </w:r>
      <w:r w:rsidR="00832649" w:rsidRPr="0084570B">
        <w:rPr>
          <w:rFonts w:ascii="Times New Roman" w:eastAsia="Times New Roman" w:hAnsi="Times New Roman" w:cs="Times New Roman"/>
          <w:b/>
          <w:noProof/>
          <w:sz w:val="22"/>
          <w:szCs w:val="28"/>
          <w:lang w:val="en-US"/>
        </w:rPr>
        <w:t>1</w:t>
      </w:r>
      <w:r w:rsidR="0064315C" w:rsidRPr="0084570B">
        <w:rPr>
          <w:rFonts w:ascii="Times New Roman" w:eastAsia="Times New Roman" w:hAnsi="Times New Roman" w:cs="Times New Roman"/>
          <w:noProof/>
          <w:sz w:val="22"/>
          <w:szCs w:val="28"/>
          <w:lang w:val="en-US"/>
        </w:rPr>
        <w:t>)</w:t>
      </w:r>
      <w:r w:rsidRPr="0084570B">
        <w:rPr>
          <w:rFonts w:ascii="Times New Roman" w:eastAsia="Times New Roman" w:hAnsi="Times New Roman" w:cs="Times New Roman"/>
          <w:noProof/>
          <w:sz w:val="22"/>
          <w:szCs w:val="28"/>
          <w:lang w:val="en-US"/>
        </w:rPr>
        <w:t>, thus only marginally affecting the total amount of U extracted from the mantle. Alternatively, assuming crystallization of pure cumulates and ~1% of Ca-perovskite at press</w:t>
      </w:r>
      <w:r w:rsidR="00481D2E" w:rsidRPr="0084570B">
        <w:rPr>
          <w:rFonts w:ascii="Times New Roman" w:eastAsia="Times New Roman" w:hAnsi="Times New Roman" w:cs="Times New Roman"/>
          <w:noProof/>
          <w:sz w:val="22"/>
          <w:szCs w:val="28"/>
          <w:lang w:val="en-US"/>
        </w:rPr>
        <w:t>ures &gt;22 GPa, we find that a 40 </w:t>
      </w:r>
      <w:r w:rsidRPr="0084570B">
        <w:rPr>
          <w:rFonts w:ascii="Times New Roman" w:eastAsia="Times New Roman" w:hAnsi="Times New Roman" w:cs="Times New Roman"/>
          <w:noProof/>
          <w:sz w:val="22"/>
          <w:szCs w:val="28"/>
          <w:lang w:val="en-US"/>
        </w:rPr>
        <w:t>km thick</w:t>
      </w:r>
      <w:r w:rsidR="00481D2E" w:rsidRPr="0084570B">
        <w:rPr>
          <w:rFonts w:ascii="Times New Roman" w:eastAsia="Times New Roman" w:hAnsi="Times New Roman" w:cs="Times New Roman"/>
          <w:noProof/>
          <w:sz w:val="22"/>
          <w:szCs w:val="28"/>
          <w:lang w:val="en-US"/>
        </w:rPr>
        <w:t xml:space="preserve"> H</w:t>
      </w:r>
      <w:r w:rsidR="00674991" w:rsidRPr="0084570B">
        <w:rPr>
          <w:rFonts w:ascii="Times New Roman" w:eastAsia="Times New Roman" w:hAnsi="Times New Roman" w:cs="Times New Roman"/>
          <w:noProof/>
          <w:sz w:val="22"/>
          <w:szCs w:val="28"/>
          <w:lang w:val="en-US"/>
        </w:rPr>
        <w:t xml:space="preserve">adean crust would contain ~1.3 ppm U, which </w:t>
      </w:r>
      <w:r w:rsidRPr="0084570B">
        <w:rPr>
          <w:rFonts w:ascii="Times New Roman" w:eastAsia="Times New Roman" w:hAnsi="Times New Roman" w:cs="Times New Roman"/>
          <w:noProof/>
          <w:sz w:val="22"/>
          <w:szCs w:val="28"/>
          <w:lang w:val="en-US"/>
        </w:rPr>
        <w:t>would lower the estimated UM depletion factor from 9</w:t>
      </w:r>
      <w:r w:rsidR="00674991" w:rsidRPr="0084570B">
        <w:rPr>
          <w:rFonts w:ascii="Times New Roman" w:eastAsia="Times New Roman" w:hAnsi="Times New Roman" w:cs="Times New Roman"/>
          <w:noProof/>
          <w:sz w:val="22"/>
          <w:szCs w:val="28"/>
          <w:lang w:val="en-US"/>
        </w:rPr>
        <w:t>2</w:t>
      </w:r>
      <w:r w:rsidRPr="0084570B">
        <w:rPr>
          <w:rFonts w:ascii="Times New Roman" w:eastAsia="Times New Roman" w:hAnsi="Times New Roman" w:cs="Times New Roman"/>
          <w:noProof/>
          <w:sz w:val="22"/>
          <w:szCs w:val="28"/>
          <w:lang w:val="en-US"/>
        </w:rPr>
        <w:t xml:space="preserve">% down to </w:t>
      </w:r>
      <w:r w:rsidR="00674991" w:rsidRPr="0084570B">
        <w:rPr>
          <w:rFonts w:ascii="Times New Roman" w:eastAsia="Times New Roman" w:hAnsi="Times New Roman" w:cs="Times New Roman"/>
          <w:noProof/>
          <w:sz w:val="22"/>
          <w:szCs w:val="28"/>
          <w:lang w:val="en-US"/>
        </w:rPr>
        <w:t>73%</w:t>
      </w:r>
      <w:r w:rsidR="00B318E4" w:rsidRPr="0084570B">
        <w:rPr>
          <w:rFonts w:ascii="Times New Roman" w:eastAsia="Times New Roman" w:hAnsi="Times New Roman" w:cs="Times New Roman"/>
          <w:noProof/>
          <w:sz w:val="22"/>
          <w:szCs w:val="28"/>
          <w:lang w:val="en-US"/>
        </w:rPr>
        <w:t xml:space="preserve"> (</w:t>
      </w:r>
      <w:r w:rsidR="00B318E4" w:rsidRPr="0084570B">
        <w:rPr>
          <w:rFonts w:ascii="Times New Roman" w:eastAsia="Times New Roman" w:hAnsi="Times New Roman" w:cs="Times New Roman"/>
          <w:b/>
          <w:noProof/>
          <w:sz w:val="22"/>
          <w:szCs w:val="28"/>
          <w:lang w:val="en-US"/>
        </w:rPr>
        <w:t>Figure S</w:t>
      </w:r>
      <w:r w:rsidR="00E83805" w:rsidRPr="0084570B">
        <w:rPr>
          <w:rFonts w:ascii="Times New Roman" w:eastAsia="Times New Roman" w:hAnsi="Times New Roman" w:cs="Times New Roman"/>
          <w:b/>
          <w:noProof/>
          <w:sz w:val="22"/>
          <w:szCs w:val="28"/>
          <w:lang w:val="en-US"/>
        </w:rPr>
        <w:t>2</w:t>
      </w:r>
      <w:r w:rsidR="00832649" w:rsidRPr="0084570B">
        <w:rPr>
          <w:rFonts w:ascii="Times New Roman" w:eastAsia="Times New Roman" w:hAnsi="Times New Roman" w:cs="Times New Roman"/>
          <w:b/>
          <w:noProof/>
          <w:sz w:val="22"/>
          <w:szCs w:val="28"/>
          <w:lang w:val="en-US"/>
        </w:rPr>
        <w:t>1</w:t>
      </w:r>
      <w:r w:rsidR="00B318E4" w:rsidRPr="0084570B">
        <w:rPr>
          <w:rFonts w:ascii="Times New Roman" w:eastAsia="Times New Roman" w:hAnsi="Times New Roman" w:cs="Times New Roman"/>
          <w:noProof/>
          <w:sz w:val="22"/>
          <w:szCs w:val="28"/>
          <w:lang w:val="en-US"/>
        </w:rPr>
        <w:t>)</w:t>
      </w:r>
      <w:r w:rsidR="00674991" w:rsidRPr="0084570B">
        <w:rPr>
          <w:rFonts w:ascii="Times New Roman" w:eastAsia="Times New Roman" w:hAnsi="Times New Roman" w:cs="Times New Roman"/>
          <w:noProof/>
          <w:sz w:val="22"/>
          <w:szCs w:val="28"/>
          <w:lang w:val="en-US"/>
        </w:rPr>
        <w:t xml:space="preserve">, yielding a </w:t>
      </w:r>
      <w:r w:rsidR="00110981" w:rsidRPr="0084570B">
        <w:rPr>
          <w:rFonts w:ascii="Times New Roman" w:eastAsia="Times New Roman" w:hAnsi="Times New Roman" w:cs="Times New Roman"/>
          <w:noProof/>
          <w:sz w:val="22"/>
          <w:szCs w:val="28"/>
          <w:lang w:val="en-US"/>
        </w:rPr>
        <w:t xml:space="preserve">present-day UM U content of 4.57 ppb. </w:t>
      </w:r>
    </w:p>
    <w:p w14:paraId="6AF0EB9C" w14:textId="77777777" w:rsidR="00964453" w:rsidRPr="0084570B" w:rsidRDefault="00964453" w:rsidP="002C5169">
      <w:pPr>
        <w:pStyle w:val="Normal1"/>
        <w:spacing w:line="360" w:lineRule="auto"/>
        <w:ind w:firstLine="720"/>
        <w:jc w:val="both"/>
        <w:rPr>
          <w:rFonts w:ascii="Times New Roman" w:eastAsia="Times New Roman" w:hAnsi="Times New Roman" w:cs="Times New Roman"/>
          <w:noProof/>
          <w:sz w:val="22"/>
          <w:szCs w:val="28"/>
          <w:lang w:val="en-US"/>
        </w:rPr>
      </w:pPr>
    </w:p>
    <w:p w14:paraId="2FBA5ED2" w14:textId="5A0A006D" w:rsidR="00601C4A" w:rsidRPr="0084570B" w:rsidRDefault="00601C4A">
      <w:pPr>
        <w:rPr>
          <w:rFonts w:ascii="Times New Roman" w:eastAsia="Times New Roman" w:hAnsi="Times New Roman" w:cs="Times New Roman"/>
          <w:b/>
          <w:sz w:val="22"/>
          <w:szCs w:val="22"/>
          <w:lang w:val="en-US"/>
        </w:rPr>
      </w:pPr>
    </w:p>
    <w:p w14:paraId="2EB7EDA7" w14:textId="4F3807AB" w:rsidR="003D5DC6" w:rsidRPr="0084570B" w:rsidRDefault="000C1A0B" w:rsidP="00E621B1">
      <w:pPr>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drawing>
          <wp:inline distT="0" distB="0" distL="0" distR="0" wp14:anchorId="38E51B56" wp14:editId="7FDCA3C9">
            <wp:extent cx="5756910" cy="2416321"/>
            <wp:effectExtent l="0" t="0" r="0" b="0"/>
            <wp:docPr id="3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6910" cy="2416321"/>
                    </a:xfrm>
                    <a:prstGeom prst="rect">
                      <a:avLst/>
                    </a:prstGeom>
                    <a:noFill/>
                    <a:ln>
                      <a:noFill/>
                    </a:ln>
                  </pic:spPr>
                </pic:pic>
              </a:graphicData>
            </a:graphic>
          </wp:inline>
        </w:drawing>
      </w:r>
    </w:p>
    <w:p w14:paraId="6124EC65" w14:textId="77777777" w:rsidR="003D5DC6" w:rsidRPr="0084570B" w:rsidRDefault="003D5DC6">
      <w:pPr>
        <w:rPr>
          <w:rFonts w:ascii="Times New Roman" w:eastAsia="Times New Roman" w:hAnsi="Times New Roman" w:cs="Times New Roman"/>
          <w:b/>
          <w:sz w:val="22"/>
          <w:szCs w:val="22"/>
          <w:lang w:val="en-US"/>
        </w:rPr>
      </w:pPr>
    </w:p>
    <w:p w14:paraId="73E01FBD" w14:textId="2C04EB79" w:rsidR="00D77238" w:rsidRPr="0084570B" w:rsidRDefault="00832649" w:rsidP="00A31065">
      <w:pPr>
        <w:spacing w:line="276" w:lineRule="auto"/>
        <w:jc w:val="both"/>
        <w:rPr>
          <w:rFonts w:ascii="Times New Roman" w:eastAsia="Times New Roman" w:hAnsi="Times New Roman" w:cs="Times New Roman"/>
          <w:noProof/>
          <w:sz w:val="22"/>
          <w:szCs w:val="28"/>
          <w:lang w:val="en-US"/>
        </w:rPr>
      </w:pPr>
      <w:r w:rsidRPr="0084570B">
        <w:rPr>
          <w:rFonts w:ascii="Times New Roman" w:eastAsia="Times New Roman" w:hAnsi="Times New Roman" w:cs="Times New Roman"/>
          <w:b/>
          <w:sz w:val="22"/>
          <w:szCs w:val="22"/>
          <w:lang w:val="en-US"/>
        </w:rPr>
        <w:t>Figure S21</w:t>
      </w:r>
      <w:r w:rsidR="006837B1" w:rsidRPr="0084570B">
        <w:rPr>
          <w:rFonts w:ascii="Times New Roman" w:eastAsia="Times New Roman" w:hAnsi="Times New Roman" w:cs="Times New Roman"/>
          <w:b/>
          <w:sz w:val="22"/>
          <w:szCs w:val="22"/>
          <w:lang w:val="en-US"/>
        </w:rPr>
        <w:t xml:space="preserve">. </w:t>
      </w:r>
      <w:r w:rsidR="006D5950" w:rsidRPr="0084570B">
        <w:rPr>
          <w:rFonts w:ascii="Times New Roman" w:eastAsia="Times New Roman" w:hAnsi="Times New Roman" w:cs="Times New Roman"/>
          <w:b/>
          <w:sz w:val="22"/>
          <w:szCs w:val="22"/>
          <w:lang w:val="en-US"/>
        </w:rPr>
        <w:t xml:space="preserve">Magma ocean crystallization and box model </w:t>
      </w:r>
      <w:r w:rsidR="006D5950" w:rsidRPr="0084570B">
        <w:rPr>
          <w:rFonts w:ascii="Times New Roman" w:hAnsi="Times New Roman" w:cs="Times New Roman"/>
          <w:b/>
          <w:sz w:val="22"/>
          <w:szCs w:val="22"/>
          <w:lang w:val="en-US"/>
        </w:rPr>
        <w:t>outputs regarding the U budget of th</w:t>
      </w:r>
      <w:r w:rsidR="00273185" w:rsidRPr="0084570B">
        <w:rPr>
          <w:rFonts w:ascii="Times New Roman" w:hAnsi="Times New Roman" w:cs="Times New Roman"/>
          <w:b/>
          <w:sz w:val="22"/>
          <w:szCs w:val="22"/>
          <w:lang w:val="en-US"/>
        </w:rPr>
        <w:t>e H</w:t>
      </w:r>
      <w:r w:rsidR="006D5950" w:rsidRPr="0084570B">
        <w:rPr>
          <w:rFonts w:ascii="Times New Roman" w:hAnsi="Times New Roman" w:cs="Times New Roman"/>
          <w:b/>
          <w:sz w:val="22"/>
          <w:szCs w:val="22"/>
          <w:lang w:val="en-US"/>
        </w:rPr>
        <w:t xml:space="preserve">adean crust and </w:t>
      </w:r>
      <w:r w:rsidR="00663C5C" w:rsidRPr="0084570B">
        <w:rPr>
          <w:rFonts w:ascii="Times New Roman" w:hAnsi="Times New Roman" w:cs="Times New Roman"/>
          <w:b/>
          <w:sz w:val="22"/>
          <w:szCs w:val="22"/>
          <w:lang w:val="en-US"/>
        </w:rPr>
        <w:t>depletion</w:t>
      </w:r>
      <w:r w:rsidR="006D5950" w:rsidRPr="0084570B">
        <w:rPr>
          <w:rFonts w:ascii="Times New Roman" w:hAnsi="Times New Roman" w:cs="Times New Roman"/>
          <w:b/>
          <w:sz w:val="22"/>
          <w:szCs w:val="22"/>
          <w:lang w:val="en-US"/>
        </w:rPr>
        <w:t xml:space="preserve"> factor of upper mantle uranium. </w:t>
      </w:r>
      <w:r w:rsidR="00A14CD2" w:rsidRPr="0084570B">
        <w:rPr>
          <w:rFonts w:ascii="Times New Roman" w:hAnsi="Times New Roman" w:cs="Times New Roman"/>
          <w:sz w:val="22"/>
          <w:szCs w:val="22"/>
          <w:lang w:val="en-US"/>
        </w:rPr>
        <w:t xml:space="preserve">These graphs were generated from the excel spreadsheet provided as </w:t>
      </w:r>
      <w:r w:rsidR="004B6094" w:rsidRPr="0084570B">
        <w:rPr>
          <w:rFonts w:ascii="Times New Roman" w:hAnsi="Times New Roman" w:cs="Times New Roman"/>
          <w:i/>
          <w:sz w:val="22"/>
          <w:szCs w:val="22"/>
          <w:lang w:val="en-US"/>
        </w:rPr>
        <w:t>Supplementary M</w:t>
      </w:r>
      <w:r w:rsidR="00A14CD2" w:rsidRPr="0084570B">
        <w:rPr>
          <w:rFonts w:ascii="Times New Roman" w:hAnsi="Times New Roman" w:cs="Times New Roman"/>
          <w:i/>
          <w:sz w:val="22"/>
          <w:szCs w:val="22"/>
          <w:lang w:val="en-US"/>
        </w:rPr>
        <w:t>aterial</w:t>
      </w:r>
      <w:r w:rsidR="00A14CD2" w:rsidRPr="0084570B">
        <w:rPr>
          <w:rFonts w:ascii="Times New Roman" w:hAnsi="Times New Roman" w:cs="Times New Roman"/>
          <w:sz w:val="22"/>
          <w:szCs w:val="22"/>
          <w:lang w:val="en-US"/>
        </w:rPr>
        <w:t xml:space="preserve">. </w:t>
      </w:r>
      <w:r w:rsidR="00766A49" w:rsidRPr="0084570B">
        <w:rPr>
          <w:rFonts w:ascii="Times New Roman" w:hAnsi="Times New Roman" w:cs="Times New Roman"/>
          <w:sz w:val="22"/>
          <w:szCs w:val="22"/>
          <w:lang w:val="en-US"/>
        </w:rPr>
        <w:t>G</w:t>
      </w:r>
      <w:r w:rsidR="006C1F66" w:rsidRPr="0084570B">
        <w:rPr>
          <w:rFonts w:ascii="Times New Roman" w:hAnsi="Times New Roman" w:cs="Times New Roman"/>
          <w:sz w:val="22"/>
          <w:szCs w:val="22"/>
          <w:lang w:val="en-US"/>
        </w:rPr>
        <w:t>rey curve</w:t>
      </w:r>
      <w:r w:rsidR="00766A49" w:rsidRPr="0084570B">
        <w:rPr>
          <w:rFonts w:ascii="Times New Roman" w:hAnsi="Times New Roman" w:cs="Times New Roman"/>
          <w:sz w:val="22"/>
          <w:szCs w:val="22"/>
          <w:lang w:val="en-US"/>
        </w:rPr>
        <w:t>s</w:t>
      </w:r>
      <w:r w:rsidR="005B69FA" w:rsidRPr="0084570B">
        <w:rPr>
          <w:rFonts w:ascii="Times New Roman" w:hAnsi="Times New Roman" w:cs="Times New Roman"/>
          <w:sz w:val="22"/>
          <w:szCs w:val="22"/>
          <w:lang w:val="en-US"/>
        </w:rPr>
        <w:t xml:space="preserve"> (</w:t>
      </w:r>
      <w:r w:rsidR="005B69FA" w:rsidRPr="0084570B">
        <w:rPr>
          <w:rFonts w:ascii="Times New Roman" w:hAnsi="Times New Roman" w:cs="Times New Roman"/>
          <w:b/>
          <w:color w:val="7F7F7F" w:themeColor="text1" w:themeTint="80"/>
          <w:sz w:val="22"/>
          <w:szCs w:val="22"/>
          <w:lang w:val="en-US"/>
        </w:rPr>
        <w:t>A</w:t>
      </w:r>
      <w:r w:rsidR="005B69FA" w:rsidRPr="0084570B">
        <w:rPr>
          <w:rFonts w:ascii="Times New Roman" w:hAnsi="Times New Roman" w:cs="Times New Roman"/>
          <w:sz w:val="22"/>
          <w:szCs w:val="22"/>
          <w:lang w:val="en-US"/>
        </w:rPr>
        <w:t>)</w:t>
      </w:r>
      <w:r w:rsidR="00766A49" w:rsidRPr="0084570B">
        <w:rPr>
          <w:rFonts w:ascii="Times New Roman" w:hAnsi="Times New Roman" w:cs="Times New Roman"/>
          <w:sz w:val="22"/>
          <w:szCs w:val="22"/>
          <w:lang w:val="en-US"/>
        </w:rPr>
        <w:t xml:space="preserve"> correspond</w:t>
      </w:r>
      <w:r w:rsidR="006C1F66" w:rsidRPr="0084570B">
        <w:rPr>
          <w:rFonts w:ascii="Times New Roman" w:hAnsi="Times New Roman" w:cs="Times New Roman"/>
          <w:sz w:val="22"/>
          <w:szCs w:val="22"/>
          <w:lang w:val="en-US"/>
        </w:rPr>
        <w:t xml:space="preserve"> to an extreme scenario of no entrapped melt in magma ocean cumulates and no </w:t>
      </w:r>
      <w:r w:rsidR="006C1F66" w:rsidRPr="0084570B">
        <w:rPr>
          <w:rFonts w:ascii="Times New Roman" w:eastAsia="Times New Roman" w:hAnsi="Times New Roman" w:cs="Times New Roman"/>
          <w:noProof/>
          <w:sz w:val="22"/>
          <w:szCs w:val="28"/>
          <w:lang w:val="en-US"/>
        </w:rPr>
        <w:t xml:space="preserve">Ca-perovskite in cumulates formed at &gt;22 GPa. </w:t>
      </w:r>
      <w:r w:rsidR="00766A49" w:rsidRPr="0084570B">
        <w:rPr>
          <w:rFonts w:ascii="Times New Roman" w:eastAsia="Times New Roman" w:hAnsi="Times New Roman" w:cs="Times New Roman"/>
          <w:noProof/>
          <w:sz w:val="22"/>
          <w:szCs w:val="28"/>
          <w:lang w:val="en-US"/>
        </w:rPr>
        <w:t xml:space="preserve">Green curves </w:t>
      </w:r>
      <w:r w:rsidR="005B69FA" w:rsidRPr="0084570B">
        <w:rPr>
          <w:rFonts w:ascii="Times New Roman" w:eastAsia="Times New Roman" w:hAnsi="Times New Roman" w:cs="Times New Roman"/>
          <w:noProof/>
          <w:sz w:val="22"/>
          <w:szCs w:val="28"/>
          <w:lang w:val="en-US"/>
        </w:rPr>
        <w:t>(</w:t>
      </w:r>
      <w:r w:rsidR="005B69FA" w:rsidRPr="0084570B">
        <w:rPr>
          <w:rFonts w:ascii="Times New Roman" w:hAnsi="Times New Roman" w:cs="Times New Roman"/>
          <w:b/>
          <w:color w:val="008000"/>
          <w:sz w:val="22"/>
          <w:szCs w:val="22"/>
          <w:lang w:val="en-US"/>
        </w:rPr>
        <w:t>B</w:t>
      </w:r>
      <w:r w:rsidR="005B69FA" w:rsidRPr="0084570B">
        <w:rPr>
          <w:rFonts w:ascii="Times New Roman" w:eastAsia="Times New Roman" w:hAnsi="Times New Roman" w:cs="Times New Roman"/>
          <w:noProof/>
          <w:sz w:val="22"/>
          <w:szCs w:val="28"/>
          <w:lang w:val="en-US"/>
        </w:rPr>
        <w:t xml:space="preserve">) </w:t>
      </w:r>
      <w:r w:rsidR="00766A49" w:rsidRPr="0084570B">
        <w:rPr>
          <w:rFonts w:ascii="Times New Roman" w:eastAsia="Times New Roman" w:hAnsi="Times New Roman" w:cs="Times New Roman"/>
          <w:noProof/>
          <w:sz w:val="22"/>
          <w:szCs w:val="28"/>
          <w:lang w:val="en-US"/>
        </w:rPr>
        <w:t>show the case of 1% entrapped melt</w:t>
      </w:r>
      <w:r w:rsidR="00766A49" w:rsidRPr="0084570B">
        <w:rPr>
          <w:rFonts w:ascii="Times New Roman" w:hAnsi="Times New Roman" w:cs="Times New Roman"/>
          <w:sz w:val="22"/>
          <w:szCs w:val="22"/>
          <w:lang w:val="en-US"/>
        </w:rPr>
        <w:t xml:space="preserve"> and no </w:t>
      </w:r>
      <w:r w:rsidR="00766A49" w:rsidRPr="0084570B">
        <w:rPr>
          <w:rFonts w:ascii="Times New Roman" w:eastAsia="Times New Roman" w:hAnsi="Times New Roman" w:cs="Times New Roman"/>
          <w:noProof/>
          <w:sz w:val="22"/>
          <w:szCs w:val="28"/>
          <w:lang w:val="en-US"/>
        </w:rPr>
        <w:t xml:space="preserve">Ca-perovskite. </w:t>
      </w:r>
      <w:r w:rsidR="005B69FA" w:rsidRPr="0084570B">
        <w:rPr>
          <w:rFonts w:ascii="Times New Roman" w:eastAsia="Times New Roman" w:hAnsi="Times New Roman" w:cs="Times New Roman"/>
          <w:noProof/>
          <w:sz w:val="22"/>
          <w:szCs w:val="28"/>
          <w:lang w:val="en-US"/>
        </w:rPr>
        <w:t>Red</w:t>
      </w:r>
      <w:r w:rsidR="00766A49" w:rsidRPr="0084570B">
        <w:rPr>
          <w:rFonts w:ascii="Times New Roman" w:eastAsia="Times New Roman" w:hAnsi="Times New Roman" w:cs="Times New Roman"/>
          <w:noProof/>
          <w:sz w:val="22"/>
          <w:szCs w:val="28"/>
          <w:lang w:val="en-US"/>
        </w:rPr>
        <w:t xml:space="preserve"> curves </w:t>
      </w:r>
      <w:r w:rsidR="005B69FA" w:rsidRPr="0084570B">
        <w:rPr>
          <w:rFonts w:ascii="Times New Roman" w:eastAsia="Times New Roman" w:hAnsi="Times New Roman" w:cs="Times New Roman"/>
          <w:noProof/>
          <w:sz w:val="22"/>
          <w:szCs w:val="28"/>
          <w:lang w:val="en-US"/>
        </w:rPr>
        <w:t>(</w:t>
      </w:r>
      <w:r w:rsidR="005B69FA" w:rsidRPr="0084570B">
        <w:rPr>
          <w:rFonts w:ascii="Times New Roman" w:hAnsi="Times New Roman" w:cs="Times New Roman"/>
          <w:b/>
          <w:color w:val="FC555D"/>
          <w:sz w:val="22"/>
          <w:szCs w:val="22"/>
          <w:lang w:val="en-US"/>
        </w:rPr>
        <w:t>C</w:t>
      </w:r>
      <w:r w:rsidR="005B69FA" w:rsidRPr="0084570B">
        <w:rPr>
          <w:rFonts w:ascii="Times New Roman" w:eastAsia="Times New Roman" w:hAnsi="Times New Roman" w:cs="Times New Roman"/>
          <w:noProof/>
          <w:sz w:val="22"/>
          <w:szCs w:val="28"/>
          <w:lang w:val="en-US"/>
        </w:rPr>
        <w:t xml:space="preserve">) </w:t>
      </w:r>
      <w:r w:rsidR="00766A49" w:rsidRPr="0084570B">
        <w:rPr>
          <w:rFonts w:ascii="Times New Roman" w:eastAsia="Times New Roman" w:hAnsi="Times New Roman" w:cs="Times New Roman"/>
          <w:noProof/>
          <w:sz w:val="22"/>
          <w:szCs w:val="28"/>
          <w:lang w:val="en-US"/>
        </w:rPr>
        <w:t>show the case of no entrapped melt</w:t>
      </w:r>
      <w:r w:rsidR="00766A49" w:rsidRPr="0084570B">
        <w:rPr>
          <w:rFonts w:ascii="Times New Roman" w:hAnsi="Times New Roman" w:cs="Times New Roman"/>
          <w:sz w:val="22"/>
          <w:szCs w:val="22"/>
          <w:lang w:val="en-US"/>
        </w:rPr>
        <w:t xml:space="preserve"> and 1% </w:t>
      </w:r>
      <w:r w:rsidR="00766A49" w:rsidRPr="0084570B">
        <w:rPr>
          <w:rFonts w:ascii="Times New Roman" w:eastAsia="Times New Roman" w:hAnsi="Times New Roman" w:cs="Times New Roman"/>
          <w:noProof/>
          <w:sz w:val="22"/>
          <w:szCs w:val="28"/>
          <w:lang w:val="en-US"/>
        </w:rPr>
        <w:t xml:space="preserve">Ca-perovskite in cumulates formed at &gt;22 GPa. Panels </w:t>
      </w:r>
      <w:r w:rsidR="00766A49" w:rsidRPr="0084570B">
        <w:rPr>
          <w:rFonts w:ascii="Times New Roman" w:eastAsia="Times New Roman" w:hAnsi="Times New Roman" w:cs="Times New Roman"/>
          <w:b/>
          <w:noProof/>
          <w:sz w:val="22"/>
          <w:szCs w:val="28"/>
          <w:lang w:val="en-US"/>
        </w:rPr>
        <w:t>(a)</w:t>
      </w:r>
      <w:r w:rsidR="00766A49" w:rsidRPr="0084570B">
        <w:rPr>
          <w:rFonts w:ascii="Times New Roman" w:eastAsia="Times New Roman" w:hAnsi="Times New Roman" w:cs="Times New Roman"/>
          <w:noProof/>
          <w:sz w:val="22"/>
          <w:szCs w:val="28"/>
          <w:lang w:val="en-US"/>
        </w:rPr>
        <w:t xml:space="preserve"> and </w:t>
      </w:r>
      <w:r w:rsidR="00766A49" w:rsidRPr="0084570B">
        <w:rPr>
          <w:rFonts w:ascii="Times New Roman" w:eastAsia="Times New Roman" w:hAnsi="Times New Roman" w:cs="Times New Roman"/>
          <w:b/>
          <w:noProof/>
          <w:sz w:val="22"/>
          <w:szCs w:val="28"/>
          <w:lang w:val="en-US"/>
        </w:rPr>
        <w:t>(b)</w:t>
      </w:r>
      <w:r w:rsidR="00273185" w:rsidRPr="0084570B">
        <w:rPr>
          <w:rFonts w:ascii="Times New Roman" w:eastAsia="Times New Roman" w:hAnsi="Times New Roman" w:cs="Times New Roman"/>
          <w:noProof/>
          <w:sz w:val="22"/>
          <w:szCs w:val="28"/>
          <w:lang w:val="en-US"/>
        </w:rPr>
        <w:t xml:space="preserve"> show the H</w:t>
      </w:r>
      <w:r w:rsidR="00766A49" w:rsidRPr="0084570B">
        <w:rPr>
          <w:rFonts w:ascii="Times New Roman" w:eastAsia="Times New Roman" w:hAnsi="Times New Roman" w:cs="Times New Roman"/>
          <w:noProof/>
          <w:sz w:val="22"/>
          <w:szCs w:val="28"/>
          <w:lang w:val="en-US"/>
        </w:rPr>
        <w:t>adean</w:t>
      </w:r>
      <w:r w:rsidR="00273185" w:rsidRPr="0084570B">
        <w:rPr>
          <w:rFonts w:ascii="Times New Roman" w:eastAsia="Times New Roman" w:hAnsi="Times New Roman" w:cs="Times New Roman"/>
          <w:noProof/>
          <w:sz w:val="22"/>
          <w:szCs w:val="28"/>
          <w:lang w:val="en-US"/>
        </w:rPr>
        <w:t xml:space="preserve"> crust thickness and model</w:t>
      </w:r>
      <w:r w:rsidR="00766A49" w:rsidRPr="0084570B">
        <w:rPr>
          <w:rFonts w:ascii="Times New Roman" w:eastAsia="Times New Roman" w:hAnsi="Times New Roman" w:cs="Times New Roman"/>
          <w:noProof/>
          <w:sz w:val="22"/>
          <w:szCs w:val="28"/>
          <w:lang w:val="en-US"/>
        </w:rPr>
        <w:t>ed present-day upper mantle U content, respectively, as a function of Hadean cust U concentration, for each of the three scenarios.</w:t>
      </w:r>
      <w:r w:rsidR="00CB6099" w:rsidRPr="0084570B">
        <w:rPr>
          <w:rFonts w:ascii="Times New Roman" w:eastAsia="Times New Roman" w:hAnsi="Times New Roman" w:cs="Times New Roman"/>
          <w:noProof/>
          <w:sz w:val="22"/>
          <w:szCs w:val="28"/>
          <w:lang w:val="en-US"/>
        </w:rPr>
        <w:t xml:space="preserve"> </w:t>
      </w:r>
      <w:r w:rsidR="00A31065" w:rsidRPr="0084570B">
        <w:rPr>
          <w:rFonts w:ascii="Times New Roman" w:eastAsia="Times New Roman" w:hAnsi="Times New Roman" w:cs="Times New Roman"/>
          <w:noProof/>
          <w:sz w:val="22"/>
          <w:szCs w:val="28"/>
          <w:lang w:val="en-US"/>
        </w:rPr>
        <w:t>Modeled present-day upper mantle U content</w:t>
      </w:r>
      <w:r w:rsidR="00273185" w:rsidRPr="0084570B">
        <w:rPr>
          <w:rFonts w:ascii="Times New Roman" w:eastAsia="Times New Roman" w:hAnsi="Times New Roman" w:cs="Times New Roman"/>
          <w:noProof/>
          <w:sz w:val="22"/>
          <w:szCs w:val="28"/>
          <w:lang w:val="en-US"/>
        </w:rPr>
        <w:t>s</w:t>
      </w:r>
      <w:r w:rsidR="00A31065" w:rsidRPr="0084570B">
        <w:rPr>
          <w:rFonts w:ascii="Times New Roman" w:eastAsia="Times New Roman" w:hAnsi="Times New Roman" w:cs="Times New Roman"/>
          <w:noProof/>
          <w:sz w:val="22"/>
          <w:szCs w:val="28"/>
          <w:lang w:val="en-US"/>
        </w:rPr>
        <w:t xml:space="preserve"> are compared with the </w:t>
      </w:r>
      <w:r w:rsidR="006A040E" w:rsidRPr="0084570B">
        <w:rPr>
          <w:rFonts w:ascii="Times New Roman" w:eastAsia="Times New Roman" w:hAnsi="Times New Roman" w:cs="Times New Roman"/>
          <w:noProof/>
          <w:sz w:val="22"/>
          <w:szCs w:val="28"/>
          <w:lang w:val="en-US"/>
        </w:rPr>
        <w:t xml:space="preserve">present-day </w:t>
      </w:r>
      <w:r w:rsidR="00A31065" w:rsidRPr="0084570B">
        <w:rPr>
          <w:rFonts w:ascii="Times New Roman" w:eastAsia="Times New Roman" w:hAnsi="Times New Roman" w:cs="Times New Roman"/>
          <w:noProof/>
          <w:sz w:val="22"/>
          <w:szCs w:val="28"/>
          <w:lang w:val="en-US"/>
        </w:rPr>
        <w:t>U content of the depleted MORB mantle (</w:t>
      </w:r>
      <w:r w:rsidR="000C1A0B" w:rsidRPr="0084570B">
        <w:rPr>
          <w:rFonts w:ascii="Times New Roman" w:eastAsia="Times New Roman" w:hAnsi="Times New Roman" w:cs="Times New Roman"/>
          <w:noProof/>
          <w:sz w:val="22"/>
          <w:szCs w:val="28"/>
          <w:lang w:val="en-US"/>
        </w:rPr>
        <w:t>DMM, 5.4±1.3pp</w:t>
      </w:r>
      <w:r w:rsidR="00CE5507">
        <w:rPr>
          <w:rFonts w:ascii="Times New Roman" w:eastAsia="Times New Roman" w:hAnsi="Times New Roman" w:cs="Times New Roman"/>
          <w:noProof/>
          <w:sz w:val="22"/>
          <w:szCs w:val="28"/>
          <w:lang w:val="en-US"/>
        </w:rPr>
        <w:t>b</w:t>
      </w:r>
      <w:r w:rsidR="000C1A0B" w:rsidRPr="0084570B">
        <w:rPr>
          <w:rFonts w:ascii="Times New Roman" w:eastAsia="Times New Roman" w:hAnsi="Times New Roman" w:cs="Times New Roman"/>
          <w:noProof/>
          <w:sz w:val="22"/>
          <w:szCs w:val="28"/>
          <w:lang w:val="en-US"/>
        </w:rPr>
        <w:fldChar w:fldCharType="begin" w:fldLock="1"/>
      </w:r>
      <w:r w:rsidR="003376B3">
        <w:rPr>
          <w:rFonts w:ascii="Times New Roman" w:eastAsia="Times New Roman" w:hAnsi="Times New Roman" w:cs="Times New Roman"/>
          <w:noProof/>
          <w:sz w:val="22"/>
          <w:szCs w:val="28"/>
          <w:lang w:val="en-US"/>
        </w:rPr>
        <w:instrText>ADDIN CSL_CITATION {"citationItems":[{"id":"ITEM-1","itemData":{"DOI":"10.1016/j.epsl.2008.12.023","ISSN":"0012821X","abstract":"The abundance of K in the silicate Earth provides control on the composition of the Earth's interior, the dominant mode of mantle convection, the thermal evolution of the planet, and the concentration of Pb in the core. Because K acts as a volatile species during accretion, the K content of the silicate Earth is determined as a function of the terrestrial K/U ratio. A comprehensive examination of MORB from the Atlantic, Indian and Pacific oceans, including both normal- and enriched-type samples, reveals a composite MORB source K/U ratio of 19,000 ± 2600 (2σ). In comparison, ocean island basalts and average continental crust have average K/U values of 11,900 ± 2200 and 13,000 ± 3000, respectively. The fractional contributions of these reservoirs establishes the K/U ratio of the silicate Earth to be 13,800 ± 2600 (2σ), equating to 280 ± 120 μg/g K in the silicate Earth. As a result, the planet's convective Urey ratio is verified to be ~ 0.34, which indicates a current mantle cooling rate of 70-130 K Gyr- 1 after taking into account potential heat flux across the core-mantle boundary. Additionally, the Earth's balance of radiogenic heat flow and budget of 40Ar necessitate a lower mantle reservoir enriched in radioactive elements. The bulk Earth Pb/U ratio, determined here to be ~ 85, suggests ~ 1200 ng/g Pb in the bulk Earth and ≥ 3300 ng/g Pb in the core. © 2008 Elsevier B.V. All rights reserved.","author":[{"dropping-particle":"","family":"Arevalo","given":"Ricardo","non-dropping-particle":"","parse-names":false,"suffix":""},{"dropping-particle":"","family":"McDonough","given":"William F.","non-dropping-particle":"","parse-names":false,"suffix":""},{"dropping-particle":"","family":"Luong","given":"Mario","non-dropping-particle":"","parse-names":false,"suffix":""}],"container-title":"Earth and Planetary Science Letters","id":"ITEM-1","issue":"3-4","issued":{"date-parts":[["2009"]]},"page":"361-369","publisher":"Elsevier B.V.","title":"The K/U ratio of the silicate Earth: Insights into mantle composition, structure and thermal evolution","type":"article-journal","volume":"278"},"uris":["http://www.mendeley.com/documents/?uuid=9a02783c-9bad-459c-90da-f15d037ebad0"]}],"mendeley":{"formattedCitation":"&lt;sup&gt;145&lt;/sup&gt;","plainTextFormattedCitation":"145","previouslyFormattedCitation":"&lt;sup&gt;145&lt;/sup&gt;"},"properties":{"noteIndex":0},"schema":"https://github.com/citation-style-language/schema/raw/master/csl-citation.json"}</w:instrText>
      </w:r>
      <w:r w:rsidR="000C1A0B" w:rsidRPr="0084570B">
        <w:rPr>
          <w:rFonts w:ascii="Times New Roman" w:eastAsia="Times New Roman" w:hAnsi="Times New Roman" w:cs="Times New Roman"/>
          <w:noProof/>
          <w:sz w:val="22"/>
          <w:szCs w:val="28"/>
          <w:lang w:val="en-US"/>
        </w:rPr>
        <w:fldChar w:fldCharType="separate"/>
      </w:r>
      <w:r w:rsidR="00253A47" w:rsidRPr="00253A47">
        <w:rPr>
          <w:rFonts w:ascii="Times New Roman" w:eastAsia="Times New Roman" w:hAnsi="Times New Roman" w:cs="Times New Roman"/>
          <w:noProof/>
          <w:sz w:val="22"/>
          <w:szCs w:val="28"/>
          <w:vertAlign w:val="superscript"/>
          <w:lang w:val="en-US"/>
        </w:rPr>
        <w:t>145</w:t>
      </w:r>
      <w:r w:rsidR="000C1A0B" w:rsidRPr="0084570B">
        <w:rPr>
          <w:rFonts w:ascii="Times New Roman" w:eastAsia="Times New Roman" w:hAnsi="Times New Roman" w:cs="Times New Roman"/>
          <w:noProof/>
          <w:sz w:val="22"/>
          <w:szCs w:val="28"/>
          <w:lang w:val="en-US"/>
        </w:rPr>
        <w:fldChar w:fldCharType="end"/>
      </w:r>
      <w:r w:rsidR="000C1A0B" w:rsidRPr="0084570B">
        <w:rPr>
          <w:rFonts w:ascii="Times New Roman" w:eastAsia="Times New Roman" w:hAnsi="Times New Roman" w:cs="Times New Roman"/>
          <w:noProof/>
          <w:sz w:val="22"/>
          <w:szCs w:val="28"/>
          <w:lang w:val="en-US"/>
        </w:rPr>
        <w:t>)</w:t>
      </w:r>
      <w:r w:rsidR="00A31065" w:rsidRPr="0084570B">
        <w:rPr>
          <w:rFonts w:ascii="Times New Roman" w:eastAsia="Times New Roman" w:hAnsi="Times New Roman" w:cs="Times New Roman"/>
          <w:noProof/>
          <w:sz w:val="22"/>
          <w:szCs w:val="28"/>
          <w:lang w:val="en-US"/>
        </w:rPr>
        <w:t>.</w:t>
      </w:r>
      <w:r w:rsidR="000C1A0B" w:rsidRPr="0084570B">
        <w:rPr>
          <w:rFonts w:ascii="Times New Roman" w:eastAsia="Times New Roman" w:hAnsi="Times New Roman" w:cs="Times New Roman"/>
          <w:noProof/>
          <w:sz w:val="22"/>
          <w:szCs w:val="28"/>
          <w:lang w:val="en-US"/>
        </w:rPr>
        <w:t xml:space="preserve"> </w:t>
      </w:r>
    </w:p>
    <w:p w14:paraId="19981D0E" w14:textId="77777777" w:rsidR="002C5169" w:rsidRPr="0084570B" w:rsidRDefault="002C5169">
      <w:pPr>
        <w:rPr>
          <w:rFonts w:ascii="Times New Roman" w:eastAsia="Times New Roman" w:hAnsi="Times New Roman" w:cs="Times New Roman"/>
          <w:noProof/>
          <w:sz w:val="22"/>
          <w:szCs w:val="28"/>
          <w:lang w:val="en-US"/>
        </w:rPr>
      </w:pPr>
    </w:p>
    <w:p w14:paraId="3189591D" w14:textId="3233858D" w:rsidR="00DA537E" w:rsidRPr="0084570B" w:rsidRDefault="002C5169" w:rsidP="00DA537E">
      <w:pPr>
        <w:pStyle w:val="Normal1"/>
        <w:spacing w:line="360" w:lineRule="auto"/>
        <w:ind w:firstLine="720"/>
        <w:jc w:val="both"/>
        <w:rPr>
          <w:rFonts w:ascii="Times New Roman" w:hAnsi="Times New Roman"/>
        </w:rPr>
      </w:pPr>
      <w:r w:rsidRPr="0084570B">
        <w:rPr>
          <w:rFonts w:ascii="Times New Roman" w:hAnsi="Times New Roman" w:cs="Times New Roman"/>
          <w:sz w:val="22"/>
          <w:szCs w:val="22"/>
          <w:lang w:val="en-US"/>
        </w:rPr>
        <w:lastRenderedPageBreak/>
        <w:t>Overall, these results show that magma ocean crystallization has the potential to extract a substantial fraction of mantle U (and Pu) into Earth's primordial crust</w:t>
      </w:r>
      <w:r w:rsidRPr="0084570B">
        <w:rPr>
          <w:rFonts w:ascii="Times New Roman" w:eastAsia="Times New Roman" w:hAnsi="Times New Roman" w:cs="Times New Roman"/>
          <w:noProof/>
          <w:sz w:val="22"/>
          <w:szCs w:val="28"/>
          <w:lang w:val="en-US"/>
        </w:rPr>
        <w:t xml:space="preserve">. </w:t>
      </w:r>
      <w:r w:rsidRPr="0084570B">
        <w:rPr>
          <w:rFonts w:ascii="Times New Roman" w:hAnsi="Times New Roman" w:cs="Times New Roman"/>
          <w:sz w:val="22"/>
          <w:szCs w:val="22"/>
          <w:lang w:val="en-US"/>
        </w:rPr>
        <w:t>In the simplified model presented above, the buffering effect of Ca-perovskite limits the UM depletion factor and more extreme degrees of mantle depletion can only be achieved by assuming a lower D</w:t>
      </w:r>
      <w:r w:rsidRPr="0084570B">
        <w:rPr>
          <w:rFonts w:ascii="Times New Roman" w:hAnsi="Times New Roman" w:cs="Times New Roman"/>
          <w:sz w:val="22"/>
          <w:szCs w:val="22"/>
          <w:vertAlign w:val="subscript"/>
          <w:lang w:val="en-US"/>
        </w:rPr>
        <w:t>U</w:t>
      </w:r>
      <w:r w:rsidRPr="0084570B">
        <w:rPr>
          <w:rFonts w:ascii="Times New Roman" w:hAnsi="Times New Roman" w:cs="Times New Roman"/>
          <w:sz w:val="22"/>
          <w:szCs w:val="22"/>
          <w:lang w:val="en-US"/>
        </w:rPr>
        <w:t xml:space="preserve"> than currently predicted based on experiments conducted at 23-25 GPa or a non-modal crystallization sequence dominated by bridgmanite. Combined with an overall low (≤1%) fraction of trapped melt, these scenarios minimize the buffering effect of Ca-perovskite and concentrate virtually all mantle U (and Pu) into the primordial crust. </w:t>
      </w:r>
      <w:r w:rsidR="00017B49" w:rsidRPr="0084570B">
        <w:rPr>
          <w:rFonts w:ascii="Times New Roman" w:eastAsia="Times New Roman" w:hAnsi="Times New Roman" w:cs="Times New Roman"/>
          <w:noProof/>
          <w:sz w:val="22"/>
          <w:szCs w:val="28"/>
          <w:lang w:val="en-US"/>
        </w:rPr>
        <w:t>C</w:t>
      </w:r>
      <w:r w:rsidR="00017B49" w:rsidRPr="0084570B">
        <w:rPr>
          <w:rFonts w:ascii="Times New Roman" w:eastAsia="Times New Roman" w:hAnsi="Times New Roman" w:cs="Times New Roman"/>
          <w:sz w:val="22"/>
          <w:szCs w:val="22"/>
          <w:lang w:val="en-US"/>
        </w:rPr>
        <w:t>omparing</w:t>
      </w:r>
      <w:r w:rsidR="00992E78" w:rsidRPr="0084570B">
        <w:rPr>
          <w:rFonts w:ascii="Times New Roman" w:eastAsia="Times New Roman" w:hAnsi="Times New Roman" w:cs="Times New Roman"/>
          <w:sz w:val="22"/>
          <w:szCs w:val="22"/>
          <w:lang w:val="en-US"/>
        </w:rPr>
        <w:t xml:space="preserve"> </w:t>
      </w:r>
      <w:r w:rsidR="00273185" w:rsidRPr="0084570B">
        <w:rPr>
          <w:rFonts w:ascii="Times New Roman" w:eastAsia="Times New Roman" w:hAnsi="Times New Roman" w:cs="Times New Roman"/>
          <w:noProof/>
          <w:sz w:val="22"/>
          <w:szCs w:val="28"/>
          <w:lang w:val="en-US"/>
        </w:rPr>
        <w:t>model</w:t>
      </w:r>
      <w:r w:rsidR="00992E78" w:rsidRPr="0084570B">
        <w:rPr>
          <w:rFonts w:ascii="Times New Roman" w:eastAsia="Times New Roman" w:hAnsi="Times New Roman" w:cs="Times New Roman"/>
          <w:noProof/>
          <w:sz w:val="22"/>
          <w:szCs w:val="28"/>
          <w:lang w:val="en-US"/>
        </w:rPr>
        <w:t xml:space="preserve">ed and observed present-day U concentration in the UM </w:t>
      </w:r>
      <w:r w:rsidR="00992E78" w:rsidRPr="0084570B">
        <w:rPr>
          <w:rFonts w:ascii="Times New Roman" w:hAnsi="Times New Roman" w:cs="Times New Roman"/>
          <w:sz w:val="22"/>
          <w:szCs w:val="22"/>
          <w:lang w:val="en-US"/>
        </w:rPr>
        <w:t>(</w:t>
      </w:r>
      <w:r w:rsidR="00832649" w:rsidRPr="0084570B">
        <w:rPr>
          <w:rFonts w:ascii="Times New Roman" w:eastAsia="Times New Roman" w:hAnsi="Times New Roman" w:cs="Times New Roman"/>
          <w:b/>
          <w:sz w:val="22"/>
          <w:szCs w:val="22"/>
          <w:lang w:val="en-US"/>
        </w:rPr>
        <w:t>Figure S21</w:t>
      </w:r>
      <w:r w:rsidR="00992E78" w:rsidRPr="0084570B">
        <w:rPr>
          <w:rFonts w:ascii="Times New Roman" w:eastAsia="Times New Roman" w:hAnsi="Times New Roman" w:cs="Times New Roman"/>
          <w:b/>
          <w:sz w:val="22"/>
          <w:szCs w:val="22"/>
          <w:lang w:val="en-US"/>
        </w:rPr>
        <w:t>b</w:t>
      </w:r>
      <w:r w:rsidR="00992E78" w:rsidRPr="0084570B">
        <w:rPr>
          <w:rFonts w:ascii="Times New Roman" w:hAnsi="Times New Roman" w:cs="Times New Roman"/>
          <w:sz w:val="22"/>
          <w:szCs w:val="22"/>
          <w:lang w:val="en-US"/>
        </w:rPr>
        <w:t>)</w:t>
      </w:r>
      <w:r w:rsidR="00992E78" w:rsidRPr="0084570B">
        <w:rPr>
          <w:rFonts w:ascii="Times New Roman" w:eastAsia="Times New Roman" w:hAnsi="Times New Roman" w:cs="Times New Roman"/>
          <w:noProof/>
          <w:sz w:val="22"/>
          <w:szCs w:val="28"/>
          <w:lang w:val="en-US"/>
        </w:rPr>
        <w:t xml:space="preserve"> further allows one to evaluate whether the average rate of U subduction would have been greater or lower than the rate of mantle U extraction at mid-ocean ridges over the past ~4.4 Gyr. </w:t>
      </w:r>
      <w:r w:rsidR="005B69FA" w:rsidRPr="0084570B">
        <w:rPr>
          <w:rFonts w:ascii="Times New Roman" w:eastAsia="Times New Roman" w:hAnsi="Times New Roman" w:cs="Times New Roman"/>
          <w:noProof/>
          <w:sz w:val="22"/>
          <w:szCs w:val="28"/>
          <w:lang w:val="en-US"/>
        </w:rPr>
        <w:t xml:space="preserve">Scenarios </w:t>
      </w:r>
      <w:r w:rsidR="00DA537E" w:rsidRPr="0084570B">
        <w:rPr>
          <w:rFonts w:ascii="Times New Roman" w:hAnsi="Times New Roman" w:cs="Times New Roman"/>
          <w:b/>
          <w:color w:val="7F7F7F" w:themeColor="text1" w:themeTint="80"/>
          <w:sz w:val="22"/>
          <w:szCs w:val="22"/>
          <w:lang w:val="en-US"/>
        </w:rPr>
        <w:t xml:space="preserve">A </w:t>
      </w:r>
      <w:r w:rsidR="00DA537E" w:rsidRPr="0084570B">
        <w:rPr>
          <w:rFonts w:ascii="Times New Roman" w:hAnsi="Times New Roman" w:cs="Times New Roman"/>
          <w:sz w:val="22"/>
          <w:szCs w:val="22"/>
          <w:lang w:val="en-US"/>
        </w:rPr>
        <w:t>and</w:t>
      </w:r>
      <w:r w:rsidR="00DA537E" w:rsidRPr="0084570B">
        <w:rPr>
          <w:rFonts w:ascii="Times New Roman" w:hAnsi="Times New Roman" w:cs="Times New Roman"/>
          <w:b/>
          <w:color w:val="7F7F7F" w:themeColor="text1" w:themeTint="80"/>
          <w:sz w:val="22"/>
          <w:szCs w:val="22"/>
          <w:lang w:val="en-US"/>
        </w:rPr>
        <w:t xml:space="preserve"> </w:t>
      </w:r>
      <w:r w:rsidR="00DA537E" w:rsidRPr="0084570B">
        <w:rPr>
          <w:rFonts w:ascii="Times New Roman" w:hAnsi="Times New Roman" w:cs="Times New Roman"/>
          <w:b/>
          <w:color w:val="008000"/>
          <w:sz w:val="22"/>
          <w:szCs w:val="22"/>
          <w:lang w:val="en-US"/>
        </w:rPr>
        <w:t>B</w:t>
      </w:r>
      <w:r w:rsidR="00DA537E" w:rsidRPr="0084570B">
        <w:rPr>
          <w:rFonts w:ascii="Times New Roman" w:hAnsi="Times New Roman" w:cs="Times New Roman"/>
          <w:sz w:val="22"/>
          <w:szCs w:val="22"/>
          <w:lang w:val="en-US"/>
        </w:rPr>
        <w:t xml:space="preserve">, for instance, would </w:t>
      </w:r>
      <w:r w:rsidR="003B38C3" w:rsidRPr="0084570B">
        <w:rPr>
          <w:rFonts w:ascii="Times New Roman" w:hAnsi="Times New Roman" w:cs="Times New Roman"/>
          <w:sz w:val="22"/>
          <w:szCs w:val="22"/>
          <w:lang w:val="en-US"/>
        </w:rPr>
        <w:t xml:space="preserve">require that the </w:t>
      </w:r>
      <w:r w:rsidR="003B38C3" w:rsidRPr="0084570B">
        <w:rPr>
          <w:rFonts w:ascii="Times New Roman" w:eastAsia="Times New Roman" w:hAnsi="Times New Roman" w:cs="Times New Roman"/>
          <w:noProof/>
          <w:sz w:val="22"/>
          <w:szCs w:val="28"/>
          <w:lang w:val="en-US"/>
        </w:rPr>
        <w:t xml:space="preserve">average rate of U subduction has been greater than that of mantle U extraction. For scenario </w:t>
      </w:r>
      <w:r w:rsidR="003B38C3" w:rsidRPr="0084570B">
        <w:rPr>
          <w:rFonts w:ascii="Times New Roman" w:hAnsi="Times New Roman" w:cs="Times New Roman"/>
          <w:b/>
          <w:color w:val="FC555D"/>
          <w:sz w:val="22"/>
          <w:szCs w:val="22"/>
          <w:lang w:val="en-US"/>
        </w:rPr>
        <w:t>C</w:t>
      </w:r>
      <w:r w:rsidR="003B38C3" w:rsidRPr="0084570B">
        <w:rPr>
          <w:rFonts w:ascii="Times New Roman" w:hAnsi="Times New Roman" w:cs="Times New Roman"/>
          <w:sz w:val="22"/>
          <w:szCs w:val="22"/>
          <w:lang w:val="en-US"/>
        </w:rPr>
        <w:t>, the U content of the upper mantle predicted by the model is compatible with observations</w:t>
      </w:r>
      <w:r w:rsidR="003B38C3" w:rsidRPr="0084570B">
        <w:rPr>
          <w:rFonts w:ascii="Times New Roman" w:eastAsia="Times New Roman" w:hAnsi="Times New Roman" w:cs="Times New Roman"/>
          <w:noProof/>
          <w:sz w:val="22"/>
          <w:szCs w:val="28"/>
          <w:lang w:val="en-US"/>
        </w:rPr>
        <w:fldChar w:fldCharType="begin" w:fldLock="1"/>
      </w:r>
      <w:r w:rsidR="003376B3">
        <w:rPr>
          <w:rFonts w:ascii="Times New Roman" w:eastAsia="Times New Roman" w:hAnsi="Times New Roman" w:cs="Times New Roman"/>
          <w:noProof/>
          <w:sz w:val="22"/>
          <w:szCs w:val="28"/>
          <w:lang w:val="en-US"/>
        </w:rPr>
        <w:instrText>ADDIN CSL_CITATION {"citationItems":[{"id":"ITEM-1","itemData":{"DOI":"10.1016/j.epsl.2008.12.023","ISSN":"0012821X","abstract":"The abundance of K in the silicate Earth provides control on the composition of the Earth's interior, the dominant mode of mantle convection, the thermal evolution of the planet, and the concentration of Pb in the core. Because K acts as a volatile species during accretion, the K content of the silicate Earth is determined as a function of the terrestrial K/U ratio. A comprehensive examination of MORB from the Atlantic, Indian and Pacific oceans, including both normal- and enriched-type samples, reveals a composite MORB source K/U ratio of 19,000 ± 2600 (2σ). In comparison, ocean island basalts and average continental crust have average K/U values of 11,900 ± 2200 and 13,000 ± 3000, respectively. The fractional contributions of these reservoirs establishes the K/U ratio of the silicate Earth to be 13,800 ± 2600 (2σ), equating to 280 ± 120 μg/g K in the silicate Earth. As a result, the planet's convective Urey ratio is verified to be ~ 0.34, which indicates a current mantle cooling rate of 70-130 K Gyr- 1 after taking into account potential heat flux across the core-mantle boundary. Additionally, the Earth's balance of radiogenic heat flow and budget of 40Ar necessitate a lower mantle reservoir enriched in radioactive elements. The bulk Earth Pb/U ratio, determined here to be ~ 85, suggests ~ 1200 ng/g Pb in the bulk Earth and ≥ 3300 ng/g Pb in the core. © 2008 Elsevier B.V. All rights reserved.","author":[{"dropping-particle":"","family":"Arevalo","given":"Ricardo","non-dropping-particle":"","parse-names":false,"suffix":""},{"dropping-particle":"","family":"McDonough","given":"William F.","non-dropping-particle":"","parse-names":false,"suffix":""},{"dropping-particle":"","family":"Luong","given":"Mario","non-dropping-particle":"","parse-names":false,"suffix":""}],"container-title":"Earth and Planetary Science Letters","id":"ITEM-1","issue":"3-4","issued":{"date-parts":[["2009"]]},"page":"361-369","publisher":"Elsevier B.V.","title":"The K/U ratio of the silicate Earth: Insights into mantle composition, structure and thermal evolution","type":"article-journal","volume":"278"},"uris":["http://www.mendeley.com/documents/?uuid=9a02783c-9bad-459c-90da-f15d037ebad0"]}],"mendeley":{"formattedCitation":"&lt;sup&gt;145&lt;/sup&gt;","plainTextFormattedCitation":"145","previouslyFormattedCitation":"&lt;sup&gt;145&lt;/sup&gt;"},"properties":{"noteIndex":0},"schema":"https://github.com/citation-style-language/schema/raw/master/csl-citation.json"}</w:instrText>
      </w:r>
      <w:r w:rsidR="003B38C3" w:rsidRPr="0084570B">
        <w:rPr>
          <w:rFonts w:ascii="Times New Roman" w:eastAsia="Times New Roman" w:hAnsi="Times New Roman" w:cs="Times New Roman"/>
          <w:noProof/>
          <w:sz w:val="22"/>
          <w:szCs w:val="28"/>
          <w:lang w:val="en-US"/>
        </w:rPr>
        <w:fldChar w:fldCharType="separate"/>
      </w:r>
      <w:r w:rsidR="00253A47" w:rsidRPr="00253A47">
        <w:rPr>
          <w:rFonts w:ascii="Times New Roman" w:eastAsia="Times New Roman" w:hAnsi="Times New Roman" w:cs="Times New Roman"/>
          <w:noProof/>
          <w:sz w:val="22"/>
          <w:szCs w:val="28"/>
          <w:vertAlign w:val="superscript"/>
          <w:lang w:val="en-US"/>
        </w:rPr>
        <w:t>145</w:t>
      </w:r>
      <w:r w:rsidR="003B38C3" w:rsidRPr="0084570B">
        <w:rPr>
          <w:rFonts w:ascii="Times New Roman" w:eastAsia="Times New Roman" w:hAnsi="Times New Roman" w:cs="Times New Roman"/>
          <w:noProof/>
          <w:sz w:val="22"/>
          <w:szCs w:val="28"/>
          <w:lang w:val="en-US"/>
        </w:rPr>
        <w:fldChar w:fldCharType="end"/>
      </w:r>
      <w:r w:rsidR="003B38C3" w:rsidRPr="0084570B">
        <w:rPr>
          <w:rFonts w:ascii="Times New Roman" w:eastAsia="Times New Roman" w:hAnsi="Times New Roman" w:cs="Times New Roman"/>
          <w:noProof/>
          <w:sz w:val="22"/>
          <w:szCs w:val="28"/>
          <w:lang w:val="en-US"/>
        </w:rPr>
        <w:t>, suggesting only limited (if any) imbalance between the rates of mantle U input and output</w:t>
      </w:r>
      <w:r w:rsidR="00CA5F7F" w:rsidRPr="0084570B">
        <w:rPr>
          <w:rFonts w:ascii="Times New Roman" w:eastAsia="Times New Roman" w:hAnsi="Times New Roman" w:cs="Times New Roman"/>
          <w:noProof/>
          <w:sz w:val="22"/>
          <w:szCs w:val="28"/>
          <w:lang w:val="en-US"/>
        </w:rPr>
        <w:t xml:space="preserve"> over the past ~4.4 Gyr.</w:t>
      </w:r>
    </w:p>
    <w:p w14:paraId="3B633C44" w14:textId="77777777" w:rsidR="00992E78" w:rsidRPr="0084570B" w:rsidRDefault="00992E78" w:rsidP="002C5169">
      <w:pPr>
        <w:pStyle w:val="Normal1"/>
        <w:spacing w:line="360" w:lineRule="auto"/>
        <w:ind w:firstLine="720"/>
        <w:jc w:val="both"/>
        <w:rPr>
          <w:rFonts w:ascii="Times New Roman" w:hAnsi="Times New Roman" w:cs="Times New Roman"/>
          <w:sz w:val="22"/>
          <w:szCs w:val="22"/>
          <w:lang w:val="en-US"/>
        </w:rPr>
      </w:pPr>
    </w:p>
    <w:p w14:paraId="587A4D31" w14:textId="3B9ED609" w:rsidR="00B84F3A" w:rsidRPr="00CE5507" w:rsidRDefault="00F476AF" w:rsidP="002F236B">
      <w:pPr>
        <w:pStyle w:val="Normal1"/>
        <w:spacing w:line="360" w:lineRule="auto"/>
        <w:jc w:val="both"/>
        <w:rPr>
          <w:rFonts w:ascii="Times New Roman" w:eastAsia="Times New Roman" w:hAnsi="Times New Roman" w:cs="Times New Roman"/>
          <w:sz w:val="22"/>
          <w:szCs w:val="22"/>
          <w:lang w:val="en-US"/>
        </w:rPr>
      </w:pPr>
      <w:r w:rsidRPr="0084570B">
        <w:rPr>
          <w:rFonts w:ascii="Times New Roman" w:hAnsi="Times New Roman" w:cs="Times New Roman"/>
          <w:sz w:val="22"/>
          <w:szCs w:val="22"/>
          <w:lang w:val="en-US"/>
        </w:rPr>
        <w:tab/>
      </w:r>
      <w:r w:rsidR="00017B49" w:rsidRPr="0084570B">
        <w:rPr>
          <w:rFonts w:ascii="Times New Roman" w:hAnsi="Times New Roman" w:cs="Times New Roman"/>
          <w:sz w:val="22"/>
          <w:szCs w:val="22"/>
          <w:lang w:val="en-US"/>
        </w:rPr>
        <w:t xml:space="preserve">As mentioned </w:t>
      </w:r>
      <w:r w:rsidR="00273185" w:rsidRPr="0084570B">
        <w:rPr>
          <w:rFonts w:ascii="Times New Roman" w:hAnsi="Times New Roman" w:cs="Times New Roman"/>
          <w:sz w:val="22"/>
          <w:szCs w:val="22"/>
          <w:lang w:val="en-US"/>
        </w:rPr>
        <w:t xml:space="preserve">in </w:t>
      </w:r>
      <w:r w:rsidR="00017B49" w:rsidRPr="0084570B">
        <w:rPr>
          <w:rFonts w:ascii="Times New Roman" w:hAnsi="Times New Roman" w:cs="Times New Roman"/>
          <w:sz w:val="22"/>
          <w:szCs w:val="22"/>
          <w:lang w:val="en-US"/>
        </w:rPr>
        <w:t xml:space="preserve">the main text, </w:t>
      </w:r>
      <w:r w:rsidR="00017B49" w:rsidRPr="0084570B">
        <w:rPr>
          <w:rFonts w:ascii="Times New Roman" w:hAnsi="Times New Roman" w:cs="Times New Roman"/>
          <w:color w:val="000000"/>
          <w:sz w:val="22"/>
          <w:szCs w:val="22"/>
          <w:lang w:val="en-US"/>
        </w:rPr>
        <w:t xml:space="preserve">the </w:t>
      </w:r>
      <w:r w:rsidR="00017B49" w:rsidRPr="0084570B">
        <w:rPr>
          <w:rFonts w:ascii="Times New Roman" w:eastAsia="Times New Roman" w:hAnsi="Times New Roman" w:cs="Times New Roman"/>
          <w:sz w:val="22"/>
          <w:szCs w:val="22"/>
          <w:lang w:val="en-US"/>
        </w:rPr>
        <w:t>r</w:t>
      </w:r>
      <w:r w:rsidR="00017B49" w:rsidRPr="0084570B">
        <w:rPr>
          <w:rFonts w:ascii="Times New Roman" w:hAnsi="Times New Roman" w:cs="Times New Roman"/>
          <w:sz w:val="22"/>
          <w:szCs w:val="22"/>
          <w:lang w:val="en-US"/>
        </w:rPr>
        <w:t xml:space="preserve">eintroduction of incompatible elements into the mantle via crustal recycling would have been inefficient on the early Earth. </w:t>
      </w:r>
      <w:r w:rsidR="00017B49" w:rsidRPr="0084570B">
        <w:rPr>
          <w:rFonts w:ascii="Times New Roman" w:eastAsia="Times New Roman" w:hAnsi="Times New Roman" w:cs="Times New Roman"/>
          <w:sz w:val="22"/>
          <w:szCs w:val="22"/>
          <w:lang w:val="en-US"/>
        </w:rPr>
        <w:t xml:space="preserve">It is only from ~3 Gyr ago that oxidized uranium </w:t>
      </w:r>
      <w:r w:rsidR="00E906BE" w:rsidRPr="0084570B">
        <w:rPr>
          <w:rFonts w:ascii="Times New Roman" w:eastAsia="Times New Roman" w:hAnsi="Times New Roman" w:cs="Times New Roman"/>
          <w:sz w:val="22"/>
          <w:szCs w:val="22"/>
          <w:lang w:val="en-US"/>
        </w:rPr>
        <w:t xml:space="preserve">would have </w:t>
      </w:r>
      <w:r w:rsidR="00017B49" w:rsidRPr="0084570B">
        <w:rPr>
          <w:rFonts w:ascii="Times New Roman" w:eastAsia="Times New Roman" w:hAnsi="Times New Roman" w:cs="Times New Roman"/>
          <w:sz w:val="22"/>
          <w:szCs w:val="22"/>
          <w:lang w:val="en-US"/>
        </w:rPr>
        <w:t>started being efficiently transported from the continents to the altered oceanic crust and ultimately, by subduction, back into the mantle</w:t>
      </w:r>
      <w:r w:rsidR="00017B49"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{"citationItems":[{"id":"ITEM-1","itemData":{"DOI":"10.1130/G30852.1","ISSN":"00917613","abstract":"The Earth's mantle is divided into separate reservoirs. From basaltic lavas erupted today we know that the upper mantle is depleted in incompatible trace elements, whereas ocean island basalts (OIB) sample a deep, more enriched reservoir. The two incompatible elements potassium (K) and uranium (U) display a different ratio to each other in lavas from the upper and lower mantle reservoirs. This is surprising because they do not fractionate substantially during melting of the mantle and therefore continuous extraction of melts from the upper mantle over Earth's history cannot explain this disparity. Here a model is constructed in which U is insoluble during continental weathering in the anoxic conditions of the early Earth. This leads to recycling of oceanic crust with high K/U in the early Earth and low K/U after significant oxidative weathering commenced ca. 2200 Ma. This concept reproduces the observed K/U in both the upper and lower mantle reservoirs as well as the continental crust. The model is also shown to account for the thorium/uranium ratios and thereby Pb (lead) isotope compositions in these reservoirs. Successful model solutions imply that (1) chemical weathering fluxes to the oceans on the early Earth were significantly higher than present day, and (2) that the majority of the OIB reservoir is younger than 2200 Ma. © 2010 Geological Society of America.","author":[{"dropping-particle":"","family":"Nielsen","given":"Sune G.","non-dropping-particle":"","parse-names":false,"suffix":""}],"container-title":"Geology","id":"ITEM-1","issue":"8","issued":{"date-parts":[["2010"]]},"page":"683-686","title":"Potassium and uranium in the upper mantle controlled by Archean oceanic crust recycling","type":"article-journal","volume":"38"},"uris":["http://www.mendeley.com/documents/?uuid=2456df3d-8109-45c6-be72-eea79a0be734"]}],"mendeley":{"formattedCitation":"&lt;sup&gt;47&lt;/sup&gt;","plainTextFormattedCitation":"47","previouslyFormattedCitation":"&lt;sup&gt;47&lt;/sup&gt;"},"properties":{"noteIndex":0},"schema":"https://github.com/citation-style-language/schema/raw/master/csl-citation.json"}</w:instrText>
      </w:r>
      <w:r w:rsidR="00017B49"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47</w:t>
      </w:r>
      <w:r w:rsidR="00017B49" w:rsidRPr="0084570B">
        <w:rPr>
          <w:rFonts w:ascii="Times New Roman" w:eastAsia="Times New Roman" w:hAnsi="Times New Roman" w:cs="Times New Roman"/>
          <w:sz w:val="22"/>
          <w:szCs w:val="22"/>
          <w:lang w:val="en-US"/>
        </w:rPr>
        <w:fldChar w:fldCharType="end"/>
      </w:r>
      <w:r w:rsidR="00017B49" w:rsidRPr="0084570B">
        <w:rPr>
          <w:rFonts w:ascii="Times New Roman" w:eastAsia="Times New Roman" w:hAnsi="Times New Roman" w:cs="Times New Roman"/>
          <w:sz w:val="22"/>
          <w:szCs w:val="22"/>
          <w:lang w:val="en-US"/>
        </w:rPr>
        <w:t xml:space="preserve">. </w:t>
      </w:r>
      <w:r w:rsidR="00FC745E" w:rsidRPr="0084570B">
        <w:rPr>
          <w:rFonts w:ascii="Times New Roman" w:eastAsia="Times New Roman" w:hAnsi="Times New Roman" w:cs="Times New Roman"/>
          <w:sz w:val="22"/>
          <w:szCs w:val="22"/>
          <w:lang w:val="en-US"/>
        </w:rPr>
        <w:t>As of today, it is estimated that about 3.1x10</w:t>
      </w:r>
      <w:r w:rsidR="00FC745E" w:rsidRPr="0084570B">
        <w:rPr>
          <w:rFonts w:ascii="Times New Roman" w:eastAsia="Times New Roman" w:hAnsi="Times New Roman" w:cs="Times New Roman"/>
          <w:sz w:val="22"/>
          <w:szCs w:val="22"/>
          <w:vertAlign w:val="superscript"/>
          <w:lang w:val="en-US"/>
        </w:rPr>
        <w:t>7</w:t>
      </w:r>
      <w:r w:rsidR="00FC745E" w:rsidRPr="0084570B">
        <w:rPr>
          <w:rFonts w:ascii="Times New Roman" w:eastAsia="Times New Roman" w:hAnsi="Times New Roman" w:cs="Times New Roman"/>
          <w:sz w:val="22"/>
          <w:szCs w:val="22"/>
          <w:lang w:val="en-US"/>
        </w:rPr>
        <w:t xml:space="preserve"> mol of crustal U enters the mantle at subduction zones every year</w:t>
      </w:r>
      <w:r w:rsidR="00FC745E"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{"citationItems":[{"id":"ITEM-1","itemData":{"DOI":"10.1130/G30852.1","ISSN":"00917613","abstract":"The Earth's mantle is divided into separate reservoirs. From basaltic lavas erupted today we know that the upper mantle is depleted in incompatible trace elements, whereas ocean island basalts (OIB) sample a deep, more enriched reservoir. The two incompatible elements potassium (K) and uranium (U) display a different ratio to each other in lavas from the upper and lower mantle reservoirs. This is surprising because they do not fractionate substantially during melting of the mantle and therefore continuous extraction of melts from the upper mantle over Earth's history cannot explain this disparity. Here a model is constructed in which U is insoluble during continental weathering in the anoxic conditions of the early Earth. This leads to recycling of oceanic crust with high K/U in the early Earth and low K/U after significant oxidative weathering commenced ca. 2200 Ma. This concept reproduces the observed K/U in both the upper and lower mantle reservoirs as well as the continental crust. The model is also shown to account for the thorium/uranium ratios and thereby Pb (lead) isotope compositions in these reservoirs. Successful model solutions imply that (1) chemical weathering fluxes to the oceans on the early Earth were significantly higher than present day, and (2) that the majority of the OIB reservoir is younger than 2200 Ma. © 2010 Geological Society of America.","author":[{"dropping-particle":"","family":"Nielsen","given":"Sune G.","non-dropping-particle":"","parse-names":false,"suffix":""}],"container-title":"Geology","id":"ITEM-1","issue":"8","issued":{"date-parts":[["2010"]]},"page":"683-686","title":"Potassium and uranium in the upper mantle controlled by Archean oceanic crust recycling","type":"article-journal","volume":"38"},"uris":["http://www.mendeley.com/documents/?uuid=b5e482ed-0bc5-404a-b25e-48b9d8733553"]}],"mendeley":{"formattedCitation":"&lt;sup&gt;47&lt;/sup&gt;","plainTextFormattedCitation":"47","previouslyFormattedCitation":"&lt;sup&gt;47&lt;/sup&gt;"},"properties":{"noteIndex":0},"schema":"https://github.com/citation-style-language/schema/raw/master/csl-citation.json"}</w:instrText>
      </w:r>
      <w:r w:rsidR="00FC745E"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47</w:t>
      </w:r>
      <w:r w:rsidR="00FC745E" w:rsidRPr="0084570B">
        <w:rPr>
          <w:rFonts w:ascii="Times New Roman" w:eastAsia="Times New Roman" w:hAnsi="Times New Roman" w:cs="Times New Roman"/>
          <w:sz w:val="22"/>
          <w:szCs w:val="22"/>
          <w:lang w:val="en-US"/>
        </w:rPr>
        <w:fldChar w:fldCharType="end"/>
      </w:r>
      <w:r w:rsidR="00FC745E" w:rsidRPr="0084570B">
        <w:rPr>
          <w:rFonts w:ascii="Times New Roman" w:eastAsia="Times New Roman" w:hAnsi="Times New Roman" w:cs="Times New Roman"/>
          <w:sz w:val="22"/>
          <w:szCs w:val="22"/>
          <w:lang w:val="en-US"/>
        </w:rPr>
        <w:t>. Considering that about 20 km</w:t>
      </w:r>
      <w:r w:rsidR="00FC745E" w:rsidRPr="0084570B">
        <w:rPr>
          <w:rFonts w:ascii="Times New Roman" w:eastAsia="Times New Roman" w:hAnsi="Times New Roman" w:cs="Times New Roman"/>
          <w:sz w:val="22"/>
          <w:szCs w:val="22"/>
          <w:vertAlign w:val="superscript"/>
          <w:lang w:val="en-US"/>
        </w:rPr>
        <w:t>3</w:t>
      </w:r>
      <w:r w:rsidR="00FC745E" w:rsidRPr="0084570B">
        <w:rPr>
          <w:rFonts w:ascii="Times New Roman" w:eastAsia="Times New Roman" w:hAnsi="Times New Roman" w:cs="Times New Roman"/>
          <w:sz w:val="22"/>
          <w:szCs w:val="22"/>
          <w:lang w:val="en-US"/>
        </w:rPr>
        <w:t xml:space="preserve"> of oceanic crust </w:t>
      </w:r>
      <w:r w:rsidR="00273185" w:rsidRPr="0084570B">
        <w:rPr>
          <w:rFonts w:ascii="Times New Roman" w:eastAsia="Times New Roman" w:hAnsi="Times New Roman" w:cs="Times New Roman"/>
          <w:sz w:val="22"/>
          <w:szCs w:val="22"/>
          <w:lang w:val="en-US"/>
        </w:rPr>
        <w:t>with 50 ppb U is emitted at mid-</w:t>
      </w:r>
      <w:r w:rsidR="00FC745E" w:rsidRPr="0084570B">
        <w:rPr>
          <w:rFonts w:ascii="Times New Roman" w:eastAsia="Times New Roman" w:hAnsi="Times New Roman" w:cs="Times New Roman"/>
          <w:sz w:val="22"/>
          <w:szCs w:val="22"/>
          <w:lang w:val="en-US"/>
        </w:rPr>
        <w:t>ocean ridges every year, it follows that about 1.1x10</w:t>
      </w:r>
      <w:r w:rsidR="00FC745E" w:rsidRPr="0084570B">
        <w:rPr>
          <w:rFonts w:ascii="Times New Roman" w:eastAsia="Times New Roman" w:hAnsi="Times New Roman" w:cs="Times New Roman"/>
          <w:sz w:val="22"/>
          <w:szCs w:val="22"/>
          <w:vertAlign w:val="superscript"/>
          <w:lang w:val="en-US"/>
        </w:rPr>
        <w:t>7</w:t>
      </w:r>
      <w:r w:rsidR="00FC745E" w:rsidRPr="0084570B">
        <w:rPr>
          <w:rFonts w:ascii="Times New Roman" w:eastAsia="Times New Roman" w:hAnsi="Times New Roman" w:cs="Times New Roman"/>
          <w:sz w:val="22"/>
          <w:szCs w:val="22"/>
          <w:lang w:val="en-US"/>
        </w:rPr>
        <w:t xml:space="preserve"> mol of mantle U is emitted at Earth'</w:t>
      </w:r>
      <w:r w:rsidR="00273185" w:rsidRPr="0084570B">
        <w:rPr>
          <w:rFonts w:ascii="Times New Roman" w:eastAsia="Times New Roman" w:hAnsi="Times New Roman" w:cs="Times New Roman"/>
          <w:sz w:val="22"/>
          <w:szCs w:val="22"/>
          <w:lang w:val="en-US"/>
        </w:rPr>
        <w:t>s</w:t>
      </w:r>
      <w:r w:rsidR="00FC745E" w:rsidRPr="0084570B">
        <w:rPr>
          <w:rFonts w:ascii="Times New Roman" w:eastAsia="Times New Roman" w:hAnsi="Times New Roman" w:cs="Times New Roman"/>
          <w:sz w:val="22"/>
          <w:szCs w:val="22"/>
          <w:lang w:val="en-US"/>
        </w:rPr>
        <w:t xml:space="preserve"> surface every year. This </w:t>
      </w:r>
      <w:r w:rsidR="00273185" w:rsidRPr="0084570B">
        <w:rPr>
          <w:rFonts w:ascii="Times New Roman" w:eastAsia="Times New Roman" w:hAnsi="Times New Roman" w:cs="Times New Roman"/>
          <w:sz w:val="22"/>
          <w:szCs w:val="22"/>
          <w:lang w:val="en-US"/>
        </w:rPr>
        <w:t>first-</w:t>
      </w:r>
      <w:r w:rsidR="00D964B4" w:rsidRPr="0084570B">
        <w:rPr>
          <w:rFonts w:ascii="Times New Roman" w:eastAsia="Times New Roman" w:hAnsi="Times New Roman" w:cs="Times New Roman"/>
          <w:sz w:val="22"/>
          <w:szCs w:val="22"/>
          <w:lang w:val="en-US"/>
        </w:rPr>
        <w:t xml:space="preserve">order mass balance calculation </w:t>
      </w:r>
      <w:r w:rsidR="00FC745E" w:rsidRPr="0084570B">
        <w:rPr>
          <w:rFonts w:ascii="Times New Roman" w:eastAsia="Times New Roman" w:hAnsi="Times New Roman" w:cs="Times New Roman"/>
          <w:sz w:val="22"/>
          <w:szCs w:val="22"/>
          <w:lang w:val="en-US"/>
        </w:rPr>
        <w:t>suggest</w:t>
      </w:r>
      <w:r w:rsidR="00D964B4" w:rsidRPr="0084570B">
        <w:rPr>
          <w:rFonts w:ascii="Times New Roman" w:eastAsia="Times New Roman" w:hAnsi="Times New Roman" w:cs="Times New Roman"/>
          <w:sz w:val="22"/>
          <w:szCs w:val="22"/>
          <w:lang w:val="en-US"/>
        </w:rPr>
        <w:t>s</w:t>
      </w:r>
      <w:r w:rsidR="00FC745E" w:rsidRPr="0084570B">
        <w:rPr>
          <w:rFonts w:ascii="Times New Roman" w:eastAsia="Times New Roman" w:hAnsi="Times New Roman" w:cs="Times New Roman"/>
          <w:sz w:val="22"/>
          <w:szCs w:val="22"/>
          <w:lang w:val="en-US"/>
        </w:rPr>
        <w:t xml:space="preserve"> that the total amount of U in the convecting mantle may indeed </w:t>
      </w:r>
      <w:r w:rsidR="00D964B4" w:rsidRPr="0084570B">
        <w:rPr>
          <w:rFonts w:ascii="Times New Roman" w:eastAsia="Times New Roman" w:hAnsi="Times New Roman" w:cs="Times New Roman"/>
          <w:sz w:val="22"/>
          <w:szCs w:val="22"/>
          <w:lang w:val="en-US"/>
        </w:rPr>
        <w:t>increase through time, at a present-day rate of ~2 x10</w:t>
      </w:r>
      <w:r w:rsidR="00D964B4" w:rsidRPr="0084570B">
        <w:rPr>
          <w:rFonts w:ascii="Times New Roman" w:eastAsia="Times New Roman" w:hAnsi="Times New Roman" w:cs="Times New Roman"/>
          <w:sz w:val="22"/>
          <w:szCs w:val="22"/>
          <w:vertAlign w:val="superscript"/>
          <w:lang w:val="en-US"/>
        </w:rPr>
        <w:t>7</w:t>
      </w:r>
      <w:r w:rsidR="00D964B4" w:rsidRPr="0084570B">
        <w:rPr>
          <w:rFonts w:ascii="Times New Roman" w:eastAsia="Times New Roman" w:hAnsi="Times New Roman" w:cs="Times New Roman"/>
          <w:sz w:val="22"/>
          <w:szCs w:val="22"/>
          <w:lang w:val="en-US"/>
        </w:rPr>
        <w:t xml:space="preserve"> mol of U </w:t>
      </w:r>
      <w:r w:rsidR="00273185" w:rsidRPr="0084570B">
        <w:rPr>
          <w:rFonts w:ascii="Times New Roman" w:eastAsia="Times New Roman" w:hAnsi="Times New Roman" w:cs="Times New Roman"/>
          <w:sz w:val="22"/>
          <w:szCs w:val="22"/>
          <w:lang w:val="en-US"/>
        </w:rPr>
        <w:t>per year. Although the fraction</w:t>
      </w:r>
      <w:r w:rsidR="00D964B4" w:rsidRPr="0084570B">
        <w:rPr>
          <w:rFonts w:ascii="Times New Roman" w:eastAsia="Times New Roman" w:hAnsi="Times New Roman" w:cs="Times New Roman"/>
          <w:sz w:val="22"/>
          <w:szCs w:val="22"/>
          <w:lang w:val="en-US"/>
        </w:rPr>
        <w:t xml:space="preserve"> of subducted U that ends up being sequestered within crustal levels of subduction zones, into the sub-continental lithospheric mantle, and the deep mantle should be considered, t</w:t>
      </w:r>
      <w:r w:rsidR="00017B49" w:rsidRPr="0084570B">
        <w:rPr>
          <w:rFonts w:ascii="Times New Roman" w:hAnsi="Times New Roman" w:cs="Times New Roman"/>
          <w:color w:val="000000"/>
          <w:sz w:val="22"/>
          <w:szCs w:val="22"/>
          <w:lang w:val="en-US"/>
        </w:rPr>
        <w:t xml:space="preserve">he possibility of </w:t>
      </w:r>
      <w:r w:rsidR="003E63B7" w:rsidRPr="0084570B">
        <w:rPr>
          <w:rFonts w:ascii="Times New Roman" w:hAnsi="Times New Roman" w:cs="Times New Roman"/>
          <w:color w:val="000000"/>
          <w:sz w:val="22"/>
          <w:szCs w:val="22"/>
          <w:lang w:val="en-US"/>
        </w:rPr>
        <w:t xml:space="preserve">combined </w:t>
      </w:r>
      <w:r w:rsidR="00E906BE" w:rsidRPr="0084570B">
        <w:rPr>
          <w:rFonts w:ascii="Times New Roman" w:hAnsi="Times New Roman" w:cs="Times New Roman"/>
          <w:b/>
          <w:color w:val="000000"/>
          <w:sz w:val="22"/>
          <w:szCs w:val="22"/>
          <w:lang w:val="en-US"/>
        </w:rPr>
        <w:t>(i)</w:t>
      </w:r>
      <w:r w:rsidR="00E906BE" w:rsidRPr="0084570B">
        <w:rPr>
          <w:rFonts w:ascii="Times New Roman" w:hAnsi="Times New Roman" w:cs="Times New Roman"/>
          <w:color w:val="000000"/>
          <w:sz w:val="22"/>
          <w:szCs w:val="22"/>
          <w:lang w:val="en-US"/>
        </w:rPr>
        <w:t xml:space="preserve"> </w:t>
      </w:r>
      <w:r w:rsidR="00017B49" w:rsidRPr="0084570B">
        <w:rPr>
          <w:rFonts w:ascii="Times New Roman" w:hAnsi="Times New Roman" w:cs="Times New Roman"/>
          <w:color w:val="000000"/>
          <w:sz w:val="22"/>
          <w:szCs w:val="22"/>
          <w:lang w:val="en-US"/>
        </w:rPr>
        <w:t>quantitative U (and Pu) extraction from the mantle during Hadean crust formation</w:t>
      </w:r>
      <w:r w:rsidR="0040108A" w:rsidRPr="0084570B">
        <w:rPr>
          <w:rFonts w:ascii="Times New Roman" w:hAnsi="Times New Roman" w:cs="Times New Roman"/>
          <w:color w:val="000000"/>
          <w:sz w:val="22"/>
          <w:szCs w:val="22"/>
          <w:lang w:val="en-US"/>
        </w:rPr>
        <w:t xml:space="preserve"> (</w:t>
      </w:r>
      <w:r w:rsidR="0040108A" w:rsidRPr="0084570B">
        <w:rPr>
          <w:rFonts w:ascii="Times New Roman" w:hAnsi="Times New Roman" w:cs="Times New Roman"/>
          <w:b/>
          <w:color w:val="000000"/>
          <w:sz w:val="22"/>
          <w:szCs w:val="22"/>
          <w:lang w:val="en-US"/>
        </w:rPr>
        <w:t>Figure S</w:t>
      </w:r>
      <w:r w:rsidR="00E83805" w:rsidRPr="0084570B">
        <w:rPr>
          <w:rFonts w:ascii="Times New Roman" w:hAnsi="Times New Roman" w:cs="Times New Roman"/>
          <w:b/>
          <w:color w:val="000000"/>
          <w:sz w:val="22"/>
          <w:szCs w:val="22"/>
          <w:lang w:val="en-US"/>
        </w:rPr>
        <w:t>2</w:t>
      </w:r>
      <w:r w:rsidR="00832649" w:rsidRPr="0084570B">
        <w:rPr>
          <w:rFonts w:ascii="Times New Roman" w:hAnsi="Times New Roman" w:cs="Times New Roman"/>
          <w:b/>
          <w:color w:val="000000"/>
          <w:sz w:val="22"/>
          <w:szCs w:val="22"/>
          <w:lang w:val="en-US"/>
        </w:rPr>
        <w:t>1</w:t>
      </w:r>
      <w:r w:rsidR="0040108A" w:rsidRPr="0084570B">
        <w:rPr>
          <w:rFonts w:ascii="Times New Roman" w:hAnsi="Times New Roman" w:cs="Times New Roman"/>
          <w:color w:val="000000"/>
          <w:sz w:val="22"/>
          <w:szCs w:val="22"/>
          <w:lang w:val="en-US"/>
        </w:rPr>
        <w:t>)</w:t>
      </w:r>
      <w:r w:rsidR="00FA73B5" w:rsidRPr="0084570B">
        <w:rPr>
          <w:rFonts w:ascii="Times New Roman" w:hAnsi="Times New Roman" w:cs="Times New Roman"/>
          <w:color w:val="000000"/>
          <w:sz w:val="22"/>
          <w:szCs w:val="22"/>
          <w:lang w:val="en-US"/>
        </w:rPr>
        <w:t>,</w:t>
      </w:r>
      <w:r w:rsidR="00017B49" w:rsidRPr="0084570B">
        <w:rPr>
          <w:rFonts w:ascii="Times New Roman" w:hAnsi="Times New Roman" w:cs="Times New Roman"/>
          <w:color w:val="000000"/>
          <w:sz w:val="22"/>
          <w:szCs w:val="22"/>
          <w:lang w:val="en-US"/>
        </w:rPr>
        <w:t xml:space="preserve"> </w:t>
      </w:r>
      <w:r w:rsidR="00E906BE" w:rsidRPr="0084570B">
        <w:rPr>
          <w:rFonts w:ascii="Times New Roman" w:hAnsi="Times New Roman" w:cs="Times New Roman"/>
          <w:color w:val="000000"/>
          <w:sz w:val="22"/>
          <w:szCs w:val="22"/>
          <w:lang w:val="en-US"/>
        </w:rPr>
        <w:t xml:space="preserve">and </w:t>
      </w:r>
      <w:r w:rsidR="00E906BE" w:rsidRPr="0084570B">
        <w:rPr>
          <w:rFonts w:ascii="Times New Roman" w:hAnsi="Times New Roman" w:cs="Times New Roman"/>
          <w:b/>
          <w:color w:val="000000"/>
          <w:sz w:val="22"/>
          <w:szCs w:val="22"/>
          <w:lang w:val="en-US"/>
        </w:rPr>
        <w:t>(ii)</w:t>
      </w:r>
      <w:r w:rsidR="00E906BE" w:rsidRPr="0084570B">
        <w:rPr>
          <w:rFonts w:ascii="Times New Roman" w:hAnsi="Times New Roman" w:cs="Times New Roman"/>
          <w:color w:val="000000"/>
          <w:sz w:val="22"/>
          <w:szCs w:val="22"/>
          <w:lang w:val="en-US"/>
        </w:rPr>
        <w:t xml:space="preserve"> subsequent reintroduction of U into the mantle via subduction </w:t>
      </w:r>
      <w:r w:rsidR="00692C63" w:rsidRPr="0084570B">
        <w:rPr>
          <w:rFonts w:ascii="Times New Roman" w:hAnsi="Times New Roman" w:cs="Times New Roman"/>
          <w:sz w:val="22"/>
          <w:szCs w:val="22"/>
          <w:lang w:val="en-US"/>
        </w:rPr>
        <w:t>and convective mixing</w:t>
      </w:r>
      <w:r w:rsidR="00692C63" w:rsidRPr="0084570B">
        <w:rPr>
          <w:rFonts w:ascii="Times New Roman" w:hAnsi="Times New Roman" w:cs="Times New Roman"/>
          <w:color w:val="000000"/>
          <w:sz w:val="22"/>
          <w:szCs w:val="22"/>
          <w:lang w:val="en-US"/>
        </w:rPr>
        <w:t xml:space="preserve"> </w:t>
      </w:r>
      <w:r w:rsidR="00E906BE" w:rsidRPr="0084570B">
        <w:rPr>
          <w:rFonts w:ascii="Times New Roman" w:hAnsi="Times New Roman" w:cs="Times New Roman"/>
          <w:color w:val="000000"/>
          <w:sz w:val="22"/>
          <w:szCs w:val="22"/>
          <w:lang w:val="en-US"/>
        </w:rPr>
        <w:t xml:space="preserve">after Pu </w:t>
      </w:r>
      <w:r w:rsidR="00692C63" w:rsidRPr="0084570B">
        <w:rPr>
          <w:rFonts w:ascii="Times New Roman" w:hAnsi="Times New Roman" w:cs="Times New Roman"/>
          <w:color w:val="000000"/>
          <w:sz w:val="22"/>
          <w:szCs w:val="22"/>
          <w:lang w:val="en-US"/>
        </w:rPr>
        <w:t>had gone</w:t>
      </w:r>
      <w:r w:rsidR="00E906BE" w:rsidRPr="0084570B">
        <w:rPr>
          <w:rFonts w:ascii="Times New Roman" w:hAnsi="Times New Roman" w:cs="Times New Roman"/>
          <w:color w:val="000000"/>
          <w:sz w:val="22"/>
          <w:szCs w:val="22"/>
          <w:lang w:val="en-US"/>
        </w:rPr>
        <w:t xml:space="preserve"> </w:t>
      </w:r>
      <w:r w:rsidR="00692C63" w:rsidRPr="0084570B">
        <w:rPr>
          <w:rFonts w:ascii="Times New Roman" w:hAnsi="Times New Roman" w:cs="Times New Roman"/>
          <w:color w:val="000000"/>
          <w:sz w:val="22"/>
          <w:szCs w:val="22"/>
          <w:lang w:val="en-US"/>
        </w:rPr>
        <w:t>extinct</w:t>
      </w:r>
      <w:r w:rsidR="00FA73B5" w:rsidRPr="0084570B">
        <w:rPr>
          <w:rFonts w:ascii="Times New Roman" w:hAnsi="Times New Roman" w:cs="Times New Roman"/>
          <w:color w:val="000000"/>
          <w:sz w:val="22"/>
          <w:szCs w:val="22"/>
          <w:lang w:val="en-US"/>
        </w:rPr>
        <w:t>,</w:t>
      </w:r>
      <w:r w:rsidR="00E906BE" w:rsidRPr="0084570B">
        <w:rPr>
          <w:rFonts w:ascii="Times New Roman" w:hAnsi="Times New Roman" w:cs="Times New Roman"/>
          <w:color w:val="000000"/>
          <w:sz w:val="22"/>
          <w:szCs w:val="22"/>
          <w:lang w:val="en-US"/>
        </w:rPr>
        <w:t xml:space="preserve"> represent</w:t>
      </w:r>
      <w:r w:rsidR="00FA73B5" w:rsidRPr="0084570B">
        <w:rPr>
          <w:rFonts w:ascii="Times New Roman" w:hAnsi="Times New Roman" w:cs="Times New Roman"/>
          <w:color w:val="000000"/>
          <w:sz w:val="22"/>
          <w:szCs w:val="22"/>
          <w:lang w:val="en-US"/>
        </w:rPr>
        <w:t>s</w:t>
      </w:r>
      <w:r w:rsidR="00E906BE" w:rsidRPr="0084570B">
        <w:rPr>
          <w:rFonts w:ascii="Times New Roman" w:hAnsi="Times New Roman" w:cs="Times New Roman"/>
          <w:color w:val="000000"/>
          <w:sz w:val="22"/>
          <w:szCs w:val="22"/>
          <w:lang w:val="en-US"/>
        </w:rPr>
        <w:t xml:space="preserve"> </w:t>
      </w:r>
      <w:r w:rsidR="00C93231" w:rsidRPr="0084570B">
        <w:rPr>
          <w:rFonts w:ascii="Times New Roman" w:hAnsi="Times New Roman" w:cs="Times New Roman"/>
          <w:color w:val="000000"/>
          <w:sz w:val="22"/>
          <w:szCs w:val="22"/>
          <w:lang w:val="en-US"/>
        </w:rPr>
        <w:t>one</w:t>
      </w:r>
      <w:r w:rsidR="00FA73B5" w:rsidRPr="0084570B">
        <w:rPr>
          <w:rFonts w:ascii="Times New Roman" w:hAnsi="Times New Roman" w:cs="Times New Roman"/>
          <w:color w:val="000000"/>
          <w:sz w:val="22"/>
          <w:szCs w:val="22"/>
          <w:lang w:val="en-US"/>
        </w:rPr>
        <w:t xml:space="preserve"> </w:t>
      </w:r>
      <w:r w:rsidR="00C93231" w:rsidRPr="0084570B">
        <w:rPr>
          <w:rFonts w:ascii="Times New Roman" w:hAnsi="Times New Roman" w:cs="Times New Roman"/>
          <w:color w:val="000000"/>
          <w:sz w:val="22"/>
          <w:szCs w:val="22"/>
          <w:lang w:val="en-US"/>
        </w:rPr>
        <w:t>possible</w:t>
      </w:r>
      <w:r w:rsidR="00FA73B5" w:rsidRPr="0084570B">
        <w:rPr>
          <w:rFonts w:ascii="Times New Roman" w:hAnsi="Times New Roman" w:cs="Times New Roman"/>
          <w:color w:val="000000"/>
          <w:sz w:val="22"/>
          <w:szCs w:val="22"/>
          <w:lang w:val="en-US"/>
        </w:rPr>
        <w:t xml:space="preserve"> mechanism </w:t>
      </w:r>
      <w:r w:rsidR="00C93231" w:rsidRPr="0084570B">
        <w:rPr>
          <w:rFonts w:ascii="Times New Roman" w:hAnsi="Times New Roman" w:cs="Times New Roman"/>
          <w:color w:val="000000"/>
          <w:sz w:val="22"/>
          <w:szCs w:val="22"/>
          <w:lang w:val="en-US"/>
        </w:rPr>
        <w:t>that could have fractionated</w:t>
      </w:r>
      <w:r w:rsidR="00E906BE" w:rsidRPr="0084570B">
        <w:rPr>
          <w:rFonts w:ascii="Times New Roman" w:hAnsi="Times New Roman" w:cs="Times New Roman"/>
          <w:color w:val="000000"/>
          <w:sz w:val="22"/>
          <w:szCs w:val="22"/>
          <w:lang w:val="en-US"/>
        </w:rPr>
        <w:t xml:space="preserve"> the U/Pu of the upper mantle </w:t>
      </w:r>
      <w:r w:rsidR="00FA73B5" w:rsidRPr="0084570B">
        <w:rPr>
          <w:rFonts w:ascii="Times New Roman" w:hAnsi="Times New Roman" w:cs="Times New Roman"/>
          <w:color w:val="000000"/>
          <w:sz w:val="22"/>
          <w:szCs w:val="22"/>
          <w:lang w:val="en-US"/>
        </w:rPr>
        <w:t xml:space="preserve">and </w:t>
      </w:r>
      <w:r w:rsidR="007515B2" w:rsidRPr="0084570B">
        <w:rPr>
          <w:rFonts w:ascii="Times New Roman" w:hAnsi="Times New Roman" w:cs="Times New Roman"/>
          <w:color w:val="000000"/>
          <w:sz w:val="22"/>
          <w:szCs w:val="22"/>
          <w:lang w:val="en-US"/>
        </w:rPr>
        <w:t xml:space="preserve">contributed to </w:t>
      </w:r>
      <w:r w:rsidR="00FA73B5" w:rsidRPr="0084570B">
        <w:rPr>
          <w:rFonts w:ascii="Times New Roman" w:hAnsi="Times New Roman" w:cs="Times New Roman"/>
          <w:color w:val="000000"/>
          <w:sz w:val="22"/>
          <w:szCs w:val="22"/>
          <w:lang w:val="en-US"/>
        </w:rPr>
        <w:t xml:space="preserve">producing </w:t>
      </w:r>
      <w:r w:rsidR="007515B2" w:rsidRPr="0084570B">
        <w:rPr>
          <w:rFonts w:ascii="Times New Roman" w:hAnsi="Times New Roman" w:cs="Times New Roman"/>
          <w:color w:val="000000"/>
          <w:sz w:val="22"/>
          <w:szCs w:val="22"/>
          <w:lang w:val="en-US"/>
        </w:rPr>
        <w:t xml:space="preserve">the </w:t>
      </w:r>
      <w:r w:rsidR="00FA73B5" w:rsidRPr="0084570B">
        <w:rPr>
          <w:rFonts w:ascii="Times New Roman" w:hAnsi="Times New Roman" w:cs="Times New Roman"/>
          <w:color w:val="000000"/>
          <w:sz w:val="22"/>
          <w:szCs w:val="22"/>
          <w:lang w:val="en-US"/>
        </w:rPr>
        <w:t xml:space="preserve">low </w:t>
      </w:r>
      <w:r w:rsidR="00FA73B5" w:rsidRPr="0084570B">
        <w:rPr>
          <w:rFonts w:ascii="Times New Roman" w:eastAsia="Times New Roman" w:hAnsi="Times New Roman" w:cs="Times New Roman"/>
          <w:sz w:val="22"/>
          <w:szCs w:val="22"/>
          <w:vertAlign w:val="superscript"/>
          <w:lang w:val="en-US"/>
        </w:rPr>
        <w:t>136</w:t>
      </w:r>
      <w:r w:rsidR="00FA73B5" w:rsidRPr="0084570B">
        <w:rPr>
          <w:rFonts w:ascii="Times New Roman" w:eastAsia="Times New Roman" w:hAnsi="Times New Roman" w:cs="Times New Roman"/>
          <w:sz w:val="22"/>
          <w:szCs w:val="22"/>
          <w:lang w:val="en-US"/>
        </w:rPr>
        <w:t>Xe</w:t>
      </w:r>
      <w:r w:rsidR="00FA73B5" w:rsidRPr="0084570B">
        <w:rPr>
          <w:rFonts w:ascii="Times New Roman" w:eastAsia="Times New Roman" w:hAnsi="Times New Roman" w:cs="Times New Roman"/>
          <w:sz w:val="22"/>
          <w:szCs w:val="22"/>
          <w:vertAlign w:val="subscript"/>
          <w:lang w:val="en-US"/>
        </w:rPr>
        <w:t>Pu</w:t>
      </w:r>
      <w:r w:rsidR="00FA73B5" w:rsidRPr="0084570B">
        <w:rPr>
          <w:rFonts w:ascii="Times New Roman" w:eastAsia="Times New Roman" w:hAnsi="Times New Roman" w:cs="Times New Roman"/>
          <w:sz w:val="22"/>
          <w:szCs w:val="22"/>
          <w:lang w:val="en-US"/>
        </w:rPr>
        <w:t>/</w:t>
      </w:r>
      <w:r w:rsidR="00FA73B5" w:rsidRPr="0084570B">
        <w:rPr>
          <w:rFonts w:ascii="Times New Roman" w:eastAsia="Times New Roman" w:hAnsi="Times New Roman" w:cs="Times New Roman"/>
          <w:sz w:val="22"/>
          <w:szCs w:val="22"/>
          <w:vertAlign w:val="superscript"/>
          <w:lang w:val="en-US"/>
        </w:rPr>
        <w:t>136</w:t>
      </w:r>
      <w:r w:rsidR="00FA73B5" w:rsidRPr="0084570B">
        <w:rPr>
          <w:rFonts w:ascii="Times New Roman" w:eastAsia="Times New Roman" w:hAnsi="Times New Roman" w:cs="Times New Roman"/>
          <w:sz w:val="22"/>
          <w:szCs w:val="22"/>
          <w:lang w:val="en-US"/>
        </w:rPr>
        <w:t>Xe</w:t>
      </w:r>
      <w:r w:rsidR="00FA73B5" w:rsidRPr="0084570B">
        <w:rPr>
          <w:rFonts w:ascii="Times New Roman" w:eastAsia="Times New Roman" w:hAnsi="Times New Roman" w:cs="Times New Roman"/>
          <w:sz w:val="22"/>
          <w:szCs w:val="22"/>
          <w:vertAlign w:val="subscript"/>
          <w:lang w:val="en-US"/>
        </w:rPr>
        <w:t>TF</w:t>
      </w:r>
      <w:r w:rsidR="00FA73B5" w:rsidRPr="0084570B">
        <w:rPr>
          <w:rFonts w:ascii="Times New Roman" w:hAnsi="Times New Roman" w:cs="Times New Roman"/>
          <w:color w:val="000000"/>
          <w:sz w:val="22"/>
          <w:szCs w:val="22"/>
          <w:lang w:val="en-US"/>
        </w:rPr>
        <w:t xml:space="preserve"> </w:t>
      </w:r>
      <w:r w:rsidR="007515B2" w:rsidRPr="0084570B">
        <w:rPr>
          <w:rFonts w:ascii="Times New Roman" w:hAnsi="Times New Roman" w:cs="Times New Roman"/>
          <w:color w:val="000000"/>
          <w:sz w:val="22"/>
          <w:szCs w:val="22"/>
          <w:lang w:val="en-US"/>
        </w:rPr>
        <w:t>observed in this study</w:t>
      </w:r>
      <w:r w:rsidR="002F236B" w:rsidRPr="0084570B">
        <w:rPr>
          <w:rFonts w:ascii="Times New Roman" w:hAnsi="Times New Roman" w:cs="Times New Roman"/>
          <w:color w:val="000000"/>
          <w:sz w:val="22"/>
          <w:szCs w:val="22"/>
          <w:lang w:val="en-US"/>
        </w:rPr>
        <w:t xml:space="preserve"> (</w:t>
      </w:r>
      <w:r w:rsidR="00832649" w:rsidRPr="0084570B">
        <w:rPr>
          <w:rFonts w:ascii="Times New Roman" w:hAnsi="Times New Roman" w:cs="Times New Roman"/>
          <w:color w:val="000000"/>
          <w:sz w:val="22"/>
          <w:szCs w:val="22"/>
          <w:lang w:val="en-US"/>
        </w:rPr>
        <w:t xml:space="preserve">see summary cartoon </w:t>
      </w:r>
      <w:r w:rsidR="002F236B" w:rsidRPr="0084570B">
        <w:rPr>
          <w:rFonts w:ascii="Times New Roman" w:hAnsi="Times New Roman" w:cs="Times New Roman"/>
          <w:b/>
          <w:color w:val="000000"/>
          <w:sz w:val="22"/>
          <w:szCs w:val="22"/>
          <w:lang w:val="en-US"/>
        </w:rPr>
        <w:t>Figure S</w:t>
      </w:r>
      <w:r w:rsidR="00E83805" w:rsidRPr="0084570B">
        <w:rPr>
          <w:rFonts w:ascii="Times New Roman" w:hAnsi="Times New Roman" w:cs="Times New Roman"/>
          <w:b/>
          <w:color w:val="000000"/>
          <w:sz w:val="22"/>
          <w:szCs w:val="22"/>
          <w:lang w:val="en-US"/>
        </w:rPr>
        <w:t>2</w:t>
      </w:r>
      <w:r w:rsidR="00832649" w:rsidRPr="0084570B">
        <w:rPr>
          <w:rFonts w:ascii="Times New Roman" w:hAnsi="Times New Roman" w:cs="Times New Roman"/>
          <w:b/>
          <w:color w:val="000000"/>
          <w:sz w:val="22"/>
          <w:szCs w:val="22"/>
          <w:lang w:val="en-US"/>
        </w:rPr>
        <w:t>2</w:t>
      </w:r>
      <w:r w:rsidR="002F236B" w:rsidRPr="0084570B">
        <w:rPr>
          <w:rFonts w:ascii="Times New Roman" w:hAnsi="Times New Roman" w:cs="Times New Roman"/>
          <w:color w:val="000000"/>
          <w:sz w:val="22"/>
          <w:szCs w:val="22"/>
          <w:lang w:val="en-US"/>
        </w:rPr>
        <w:t>)</w:t>
      </w:r>
      <w:r w:rsidR="00FA73B5" w:rsidRPr="0084570B">
        <w:rPr>
          <w:rFonts w:ascii="Times New Roman" w:hAnsi="Times New Roman" w:cs="Times New Roman"/>
          <w:color w:val="000000"/>
          <w:sz w:val="22"/>
          <w:szCs w:val="22"/>
          <w:lang w:val="en-US"/>
        </w:rPr>
        <w:t xml:space="preserve">. </w:t>
      </w:r>
      <w:r w:rsidR="002F236B" w:rsidRPr="0084570B">
        <w:rPr>
          <w:rFonts w:ascii="Times New Roman" w:hAnsi="Times New Roman" w:cs="Times New Roman"/>
          <w:color w:val="000000"/>
          <w:sz w:val="22"/>
          <w:szCs w:val="22"/>
          <w:lang w:val="en-US"/>
        </w:rPr>
        <w:t xml:space="preserve">The possibility that substantial incompatible element extraction to the crust occurred within the lifetime of </w:t>
      </w:r>
      <w:r w:rsidR="002F236B" w:rsidRPr="0084570B">
        <w:rPr>
          <w:rFonts w:ascii="Times New Roman" w:hAnsi="Times New Roman" w:cs="Times New Roman"/>
          <w:color w:val="000000"/>
          <w:sz w:val="22"/>
          <w:szCs w:val="22"/>
          <w:vertAlign w:val="superscript"/>
          <w:lang w:val="en-US"/>
        </w:rPr>
        <w:t>244</w:t>
      </w:r>
      <w:r w:rsidR="002F236B" w:rsidRPr="0084570B">
        <w:rPr>
          <w:rFonts w:ascii="Times New Roman" w:hAnsi="Times New Roman" w:cs="Times New Roman"/>
          <w:color w:val="000000"/>
          <w:sz w:val="22"/>
          <w:szCs w:val="22"/>
          <w:lang w:val="en-US"/>
        </w:rPr>
        <w:t xml:space="preserve">Pu thus </w:t>
      </w:r>
      <w:r w:rsidR="002F236B" w:rsidRPr="0084570B">
        <w:rPr>
          <w:rFonts w:ascii="Times New Roman" w:hAnsi="Times New Roman" w:cs="Times New Roman"/>
          <w:sz w:val="22"/>
          <w:szCs w:val="22"/>
          <w:lang w:val="en-US"/>
        </w:rPr>
        <w:t xml:space="preserve">suggests that differences between the </w:t>
      </w:r>
      <w:r w:rsidR="002F236B" w:rsidRPr="0084570B">
        <w:rPr>
          <w:rFonts w:ascii="Times New Roman" w:eastAsia="Times New Roman" w:hAnsi="Times New Roman" w:cs="Times New Roman"/>
          <w:sz w:val="22"/>
          <w:szCs w:val="22"/>
          <w:vertAlign w:val="superscript"/>
          <w:lang w:val="en-US"/>
        </w:rPr>
        <w:t>136</w:t>
      </w:r>
      <w:r w:rsidR="002F236B" w:rsidRPr="0084570B">
        <w:rPr>
          <w:rFonts w:ascii="Times New Roman" w:eastAsia="Times New Roman" w:hAnsi="Times New Roman" w:cs="Times New Roman"/>
          <w:sz w:val="22"/>
          <w:szCs w:val="22"/>
          <w:lang w:val="en-US"/>
        </w:rPr>
        <w:t>Xe</w:t>
      </w:r>
      <w:r w:rsidR="002F236B" w:rsidRPr="0084570B">
        <w:rPr>
          <w:rFonts w:ascii="Times New Roman" w:eastAsia="Times New Roman" w:hAnsi="Times New Roman" w:cs="Times New Roman"/>
          <w:sz w:val="22"/>
          <w:szCs w:val="22"/>
          <w:vertAlign w:val="subscript"/>
          <w:lang w:val="en-US"/>
        </w:rPr>
        <w:t>Pu</w:t>
      </w:r>
      <w:r w:rsidR="002F236B" w:rsidRPr="0084570B">
        <w:rPr>
          <w:rFonts w:ascii="Times New Roman" w:eastAsia="Times New Roman" w:hAnsi="Times New Roman" w:cs="Times New Roman"/>
          <w:sz w:val="22"/>
          <w:szCs w:val="22"/>
          <w:lang w:val="en-US"/>
        </w:rPr>
        <w:t>/</w:t>
      </w:r>
      <w:r w:rsidR="002F236B" w:rsidRPr="0084570B">
        <w:rPr>
          <w:rFonts w:ascii="Times New Roman" w:eastAsia="Times New Roman" w:hAnsi="Times New Roman" w:cs="Times New Roman"/>
          <w:sz w:val="22"/>
          <w:szCs w:val="22"/>
          <w:vertAlign w:val="superscript"/>
          <w:lang w:val="en-US"/>
        </w:rPr>
        <w:t>136</w:t>
      </w:r>
      <w:r w:rsidR="002F236B" w:rsidRPr="0084570B">
        <w:rPr>
          <w:rFonts w:ascii="Times New Roman" w:eastAsia="Times New Roman" w:hAnsi="Times New Roman" w:cs="Times New Roman"/>
          <w:sz w:val="22"/>
          <w:szCs w:val="22"/>
          <w:lang w:val="en-US"/>
        </w:rPr>
        <w:t>Xe</w:t>
      </w:r>
      <w:r w:rsidR="002F236B" w:rsidRPr="0084570B">
        <w:rPr>
          <w:rFonts w:ascii="Times New Roman" w:eastAsia="Times New Roman" w:hAnsi="Times New Roman" w:cs="Times New Roman"/>
          <w:sz w:val="22"/>
          <w:szCs w:val="22"/>
          <w:vertAlign w:val="subscript"/>
          <w:lang w:val="en-US"/>
        </w:rPr>
        <w:t>TF</w:t>
      </w:r>
      <w:r w:rsidR="002F236B" w:rsidRPr="0084570B">
        <w:rPr>
          <w:rFonts w:ascii="Times New Roman" w:eastAsia="Times New Roman" w:hAnsi="Times New Roman" w:cs="Times New Roman"/>
          <w:sz w:val="22"/>
          <w:szCs w:val="22"/>
          <w:lang w:val="en-US"/>
        </w:rPr>
        <w:t xml:space="preserve"> and </w:t>
      </w:r>
      <w:r w:rsidR="002F236B" w:rsidRPr="0084570B">
        <w:rPr>
          <w:rFonts w:ascii="Times New Roman" w:eastAsia="Times New Roman" w:hAnsi="Times New Roman" w:cs="Times New Roman"/>
          <w:sz w:val="22"/>
          <w:szCs w:val="22"/>
          <w:vertAlign w:val="superscript"/>
          <w:lang w:val="en-US"/>
        </w:rPr>
        <w:t>129</w:t>
      </w:r>
      <w:r w:rsidR="002F236B" w:rsidRPr="0084570B">
        <w:rPr>
          <w:rFonts w:ascii="Times New Roman" w:eastAsia="Times New Roman" w:hAnsi="Times New Roman" w:cs="Times New Roman"/>
          <w:sz w:val="22"/>
          <w:szCs w:val="22"/>
          <w:lang w:val="en-US"/>
        </w:rPr>
        <w:t>Xe</w:t>
      </w:r>
      <w:r w:rsidR="002F236B" w:rsidRPr="0084570B">
        <w:rPr>
          <w:rFonts w:ascii="Times New Roman" w:eastAsia="Times New Roman" w:hAnsi="Times New Roman" w:cs="Times New Roman"/>
          <w:sz w:val="22"/>
          <w:szCs w:val="22"/>
          <w:vertAlign w:val="subscript"/>
          <w:lang w:val="en-US"/>
        </w:rPr>
        <w:t>I</w:t>
      </w:r>
      <w:r w:rsidR="002F236B" w:rsidRPr="0084570B">
        <w:rPr>
          <w:rFonts w:ascii="Times New Roman" w:eastAsia="Times New Roman" w:hAnsi="Times New Roman" w:cs="Times New Roman"/>
          <w:sz w:val="22"/>
          <w:szCs w:val="22"/>
          <w:lang w:val="en-US"/>
        </w:rPr>
        <w:t>/</w:t>
      </w:r>
      <w:r w:rsidR="002F236B" w:rsidRPr="0084570B">
        <w:rPr>
          <w:rFonts w:ascii="Times New Roman" w:eastAsia="Times New Roman" w:hAnsi="Times New Roman" w:cs="Times New Roman"/>
          <w:sz w:val="22"/>
          <w:szCs w:val="22"/>
          <w:vertAlign w:val="superscript"/>
          <w:lang w:val="en-US"/>
        </w:rPr>
        <w:t>136</w:t>
      </w:r>
      <w:r w:rsidR="002F236B" w:rsidRPr="0084570B">
        <w:rPr>
          <w:rFonts w:ascii="Times New Roman" w:eastAsia="Times New Roman" w:hAnsi="Times New Roman" w:cs="Times New Roman"/>
          <w:sz w:val="22"/>
          <w:szCs w:val="22"/>
          <w:lang w:val="en-US"/>
        </w:rPr>
        <w:t>Xe</w:t>
      </w:r>
      <w:r w:rsidR="002F236B" w:rsidRPr="0084570B">
        <w:rPr>
          <w:rFonts w:ascii="Times New Roman" w:eastAsia="Times New Roman" w:hAnsi="Times New Roman" w:cs="Times New Roman"/>
          <w:sz w:val="22"/>
          <w:szCs w:val="22"/>
          <w:vertAlign w:val="subscript"/>
          <w:lang w:val="en-US"/>
        </w:rPr>
        <w:t>Pu</w:t>
      </w:r>
      <w:r w:rsidR="002F236B" w:rsidRPr="0084570B">
        <w:rPr>
          <w:rFonts w:ascii="Times New Roman" w:eastAsia="Times New Roman" w:hAnsi="Times New Roman" w:cs="Times New Roman"/>
          <w:sz w:val="22"/>
          <w:szCs w:val="22"/>
          <w:lang w:val="en-US"/>
        </w:rPr>
        <w:t xml:space="preserve"> of deep and convecting mantle reservoirs may not solely reflect the outcomes of accretionary</w:t>
      </w:r>
      <w:r w:rsidR="002F236B" w:rsidRPr="0084570B">
        <w:rPr>
          <w:rFonts w:ascii="Times New Roman" w:hAnsi="Times New Roman" w:cs="Times New Roman"/>
          <w:sz w:val="22"/>
          <w:szCs w:val="22"/>
          <w:lang w:val="en-US"/>
        </w:rPr>
        <w:fldChar w:fldCharType="begin" w:fldLock="1"/>
      </w:r>
      <w:r w:rsidR="00DD29E3">
        <w:rPr>
          <w:rFonts w:ascii="Times New Roman" w:hAnsi="Times New Roman" w:cs="Times New Roman"/>
          <w:sz w:val="22"/>
          <w:szCs w:val="22"/>
          <w:lang w:val="en-US"/>
        </w:rPr>
        <w:instrText>ADDIN CSL_CITATION {"citationItems":[{"id":"ITEM-1","itemData":{"DOI":"10.1016/j.epsl.2013.04.031","ISSN":"0012-821X","author":[{"dropping-particle":"","family":"Armytage","given":"Rosalind M G","non-dropping-particle":"","parse-names":false,"suffix":""},{"dropping-particle":"","family":"Jephcoat","given":"Andrew P","non-dropping-particle":"","parse-names":false,"suffix":""},{"dropping-particle":"","family":"Bouhifd","given":"M A","non-dropping-particle":"","parse-names":false,"suffix":""},{"dropping-particle":"","family":"Porcelli","given":"Donald","non-dropping-particle":"","parse-names":false,"suffix":""}],"container-title":"Earth and Planetary Science Letters","id":"ITEM-1","issued":{"date-parts":[["2013"]]},"page":"140-149","publisher":"Elsevier","title":"Metal – silicate partitioning of iodine at high pressures and temperatures : Implications for the Earth ' s core and 129 n Xe budgets","type":"article-journal","volume":"373"},"uris":["http://www.mendeley.com/documents/?uuid=c9bf0e30-cde3-434e-a2db-2f3edeedb0ca"]}],"mendeley":{"formattedCitation":"&lt;sup&gt;48&lt;/sup&gt;","plainTextFormattedCitation":"48","previouslyFormattedCitation":"&lt;sup&gt;48&lt;/sup&gt;"},"properties":{"noteIndex":0},"schema":"https://github.com/citation-style-language/schema/raw/master/csl-citation.json"}</w:instrText>
      </w:r>
      <w:r w:rsidR="002F236B" w:rsidRPr="0084570B">
        <w:rPr>
          <w:rFonts w:ascii="Times New Roman" w:hAnsi="Times New Roman" w:cs="Times New Roman"/>
          <w:sz w:val="22"/>
          <w:szCs w:val="22"/>
          <w:lang w:val="en-US"/>
        </w:rPr>
        <w:fldChar w:fldCharType="separate"/>
      </w:r>
      <w:r w:rsidR="00937986" w:rsidRPr="0084570B">
        <w:rPr>
          <w:rFonts w:ascii="Times New Roman" w:hAnsi="Times New Roman" w:cs="Times New Roman"/>
          <w:noProof/>
          <w:sz w:val="22"/>
          <w:szCs w:val="22"/>
          <w:vertAlign w:val="superscript"/>
          <w:lang w:val="en-US"/>
        </w:rPr>
        <w:t>48</w:t>
      </w:r>
      <w:r w:rsidR="002F236B" w:rsidRPr="0084570B">
        <w:rPr>
          <w:rFonts w:ascii="Times New Roman" w:hAnsi="Times New Roman" w:cs="Times New Roman"/>
          <w:sz w:val="22"/>
          <w:szCs w:val="22"/>
          <w:lang w:val="en-US"/>
        </w:rPr>
        <w:fldChar w:fldCharType="end"/>
      </w:r>
      <w:r w:rsidR="002F236B" w:rsidRPr="0084570B">
        <w:rPr>
          <w:rFonts w:ascii="Times New Roman" w:hAnsi="Times New Roman" w:cs="Times New Roman"/>
          <w:sz w:val="22"/>
          <w:szCs w:val="22"/>
          <w:vertAlign w:val="superscript"/>
          <w:lang w:val="en-US"/>
        </w:rPr>
        <w:t>,</w:t>
      </w:r>
      <w:r w:rsidR="002F236B" w:rsidRPr="0084570B">
        <w:rPr>
          <w:rFonts w:ascii="Times New Roman" w:hAnsi="Times New Roman" w:cs="Times New Roman"/>
          <w:sz w:val="22"/>
          <w:szCs w:val="22"/>
          <w:lang w:val="en-US"/>
        </w:rPr>
        <w:fldChar w:fldCharType="begin" w:fldLock="1"/>
      </w:r>
      <w:r w:rsidR="00DB5D30" w:rsidRPr="0084570B">
        <w:rPr>
          <w:rFonts w:ascii="Times New Roman" w:hAnsi="Times New Roman" w:cs="Times New Roman"/>
          <w:sz w:val="22"/>
          <w:szCs w:val="22"/>
          <w:lang w:val="en-US"/>
        </w:rPr>
        <w:instrText>ADDIN CSL_CITATION {"citationItems":[{"id":"ITEM-1","itemData":{"DOI":"10.1038/nature25446","author":[{"dropping-particle":"","family":"Jackson","given":"Colin R M","non-dropping-particle":"","parse-names":false,"suffix":""},{"dropping-particle":"","family":"Bennett","given":"Neil R","non-dropping-particle":"","parse-names":false,"suffix":""},{"dropping-particle":"","family":"Du","given":"Zhixue","non-dropping-particle":"","parse-names":false,"suffix":""},{"dropping-particle":"","family":"Cottrell","given":"Elizabeth","non-dropping-particle":"","parse-names":false,"suffix":""},{"dropping-particle":"","family":"Fei","given":"Yingwei","non-dropping-particle":"","parse-names":false,"suffix":""}],"container-title":"Nature","id":"ITEM-1","issued":{"date-parts":[["2018"]]},"page":"491-494","publisher":"Nature Publishing Group","title":"Early episodes of high-pressure core formation preserved in plume mantle","type":"article-journal","volume":"553"},"uris":["http://www.mendeley.com/documents/?uuid=830fb3a1-c9ed-4312-89e8-952ff8fbed3d"]}],"mendeley":{"formattedCitation":"&lt;sup&gt;16&lt;/sup&gt;","plainTextFormattedCitation":"16","previouslyFormattedCitation":"&lt;sup&gt;16&lt;/sup&gt;"},"properties":{"noteIndex":0},"schema":"https://github.com/citation-style-language/schema/raw/master/csl-citation.json"}</w:instrText>
      </w:r>
      <w:r w:rsidR="002F236B" w:rsidRPr="0084570B">
        <w:rPr>
          <w:rFonts w:ascii="Times New Roman" w:hAnsi="Times New Roman" w:cs="Times New Roman"/>
          <w:sz w:val="22"/>
          <w:szCs w:val="22"/>
          <w:lang w:val="en-US"/>
        </w:rPr>
        <w:fldChar w:fldCharType="separate"/>
      </w:r>
      <w:r w:rsidR="00DB5D30" w:rsidRPr="0084570B">
        <w:rPr>
          <w:rFonts w:ascii="Times New Roman" w:hAnsi="Times New Roman" w:cs="Times New Roman"/>
          <w:noProof/>
          <w:sz w:val="22"/>
          <w:szCs w:val="22"/>
          <w:vertAlign w:val="superscript"/>
          <w:lang w:val="en-US"/>
        </w:rPr>
        <w:t>16</w:t>
      </w:r>
      <w:r w:rsidR="002F236B" w:rsidRPr="0084570B">
        <w:rPr>
          <w:rFonts w:ascii="Times New Roman" w:hAnsi="Times New Roman" w:cs="Times New Roman"/>
          <w:sz w:val="22"/>
          <w:szCs w:val="22"/>
          <w:lang w:val="en-US"/>
        </w:rPr>
        <w:fldChar w:fldCharType="end"/>
      </w:r>
      <w:r w:rsidR="002F236B" w:rsidRPr="0084570B">
        <w:rPr>
          <w:rFonts w:ascii="Times New Roman" w:eastAsia="Times New Roman" w:hAnsi="Times New Roman" w:cs="Times New Roman"/>
          <w:sz w:val="22"/>
          <w:szCs w:val="22"/>
          <w:lang w:val="en-US"/>
        </w:rPr>
        <w:t xml:space="preserve"> and long-term degassing processes, as yet conventionally assumed</w:t>
      </w:r>
      <w:r w:rsidR="002F236B" w:rsidRPr="0084570B">
        <w:rPr>
          <w:rFonts w:ascii="Times New Roman" w:eastAsia="Times New Roman" w:hAnsi="Times New Roman" w:cs="Times New Roman"/>
          <w:sz w:val="22"/>
          <w:szCs w:val="22"/>
          <w:lang w:val="en-US"/>
        </w:rPr>
        <w:fldChar w:fldCharType="begin" w:fldLock="1"/>
      </w:r>
      <w:r w:rsidR="009D2C8F" w:rsidRPr="0084570B">
        <w:rPr>
          <w:rFonts w:ascii="Times New Roman" w:eastAsia="Times New Roman" w:hAnsi="Times New Roman" w:cs="Times New Roman"/>
          <w:sz w:val="22"/>
          <w:szCs w:val="22"/>
          <w:lang w:val="en-US"/>
        </w:rPr>
        <w:instrText>ADDIN CSL_CITATION {"citationItems":[{"id":"ITEM-1","itemData":{"DOI":"10.1016/j.lithos.2019.105153","ISSN":"18726143","abstract":"Heterogeneity in the lithophile isotopic compositions of ocean island basalts (OIBs) has long been ascribed to the incorporation of recycled materials into the plume source. OIB heterogeneity indicates that plumes do not sample a pristine primordial reservoir, but rather sample an inhomogeneous mixture of primordial and recycled material generated by convective processes over Earth history. Here we present a synthesis of new insights into the characteristics and nature of the plume mantle source. Recent high precision noble gas data demonstrate that the origin of the reservoir supplying noble gases to plumes is fundamentally distinct from that of the mid-ocean ridge basalt (MORB) mantle reservoir: the two reservoirs cannot be related simply by differential degassing or incorporation of recycled atmospheric volatiles. Based on differences observed in the extinct 129I-129Xe system (t1/2 of 15.7 Ma), the mantle source supplying noble gases to plumes differentiated from the MORB source within ~100 Ma of the start of the Solar System, and the two sources have not been homogenized by 4.45 Ga of mantle convection. Thus, the 129I-129Xe data require a plume source that has experienced limited direct mixing with the MORB source mantle. Analysis of mantle source Xe isotopic compositions of plume-influenced samples with primordial He and Ne indicates that the plume source Xe budget is dominated by regassed atmospheric Xe. He and Ne isotopes are not sensitive to regassing due to low overall concentrations of He and Ne in recycled material relative to primordial material. Therefore, plume-influenced samples with primitive He and Ne isotopic compositions do not necessarily reflect sampling of pristine primordial mantle and the lithophile compositions of these samples should not be taken to represent undifferentiated mantle. In addition to recycled atmospheric Xe, the plume mantle source exhibits high ratios of Pu-fission Xe to U-fission Xe. The high proportion of Pu-fission Xe independently confirms a low extent of degassing of the plume source relative to the MORB source. Heavy noble gases illustrate that the mantle reservoir sampled by plumes is fundamentally distinct from the MORB mantle and reflects ongoing degassing of, and incorporation of recycled material into, an ancient (&gt;4.45 Ga) primordial source. If plumes are derived from large low shear-wave velocity provinces (LLSVPs), then these seismically-imaged structures are ancient and long-lived.","author":[{"dropping-particle":"","family":"Parai","given":"Rita","non-dropping-particle":"","parse-names":false,"suffix":""},{"dropping-particle":"","family":"Mukhopadhyay","given":"Sujoy","non-dropping-particle":"","parse-names":false,"suffix":""},{"dropping-particle":"","family":"Tucker","given":"Jonathan M.","non-dropping-particle":"","parse-names":false,"suffix":""},{"dropping-particle":"","family":"Pető","given":"Maria K.","non-dropping-particle":"","parse-names":false,"suffix":""}],"container-title":"Lithos","id":"ITEM-1","issue":"105153","issued":{"date-parts":[["2019"]]},"title":"The emerging portrait of an ancient, heterogeneous and continuously evolving mantle plume source","type":"article-journal","volume":"346–347"},"uris":["http://www.mendeley.com/documents/?uuid=9857f961-2d4d-484a-aae9-75acebdd25b0"]}],"mendeley":{"formattedCitation":"&lt;sup&gt;12&lt;/sup&gt;","plainTextFormattedCitation":"12","previouslyFormattedCitation":"&lt;sup&gt;12&lt;/sup&gt;"},"properties":{"noteIndex":0},"schema":"https://github.com/citation-style-language/schema/raw/master/csl-citation.json"}</w:instrText>
      </w:r>
      <w:r w:rsidR="002F236B" w:rsidRPr="0084570B">
        <w:rPr>
          <w:rFonts w:ascii="Times New Roman" w:eastAsia="Times New Roman" w:hAnsi="Times New Roman" w:cs="Times New Roman"/>
          <w:sz w:val="22"/>
          <w:szCs w:val="22"/>
          <w:lang w:val="en-US"/>
        </w:rPr>
        <w:fldChar w:fldCharType="separate"/>
      </w:r>
      <w:r w:rsidR="009D2C8F" w:rsidRPr="0084570B">
        <w:rPr>
          <w:rFonts w:ascii="Times New Roman" w:eastAsia="Times New Roman" w:hAnsi="Times New Roman" w:cs="Times New Roman"/>
          <w:noProof/>
          <w:sz w:val="22"/>
          <w:szCs w:val="22"/>
          <w:vertAlign w:val="superscript"/>
          <w:lang w:val="en-US"/>
        </w:rPr>
        <w:t>12</w:t>
      </w:r>
      <w:r w:rsidR="002F236B" w:rsidRPr="0084570B">
        <w:rPr>
          <w:rFonts w:ascii="Times New Roman" w:eastAsia="Times New Roman" w:hAnsi="Times New Roman" w:cs="Times New Roman"/>
          <w:sz w:val="22"/>
          <w:szCs w:val="22"/>
          <w:lang w:val="en-US"/>
        </w:rPr>
        <w:fldChar w:fldCharType="end"/>
      </w:r>
      <w:r w:rsidR="002F236B" w:rsidRPr="0084570B">
        <w:rPr>
          <w:rFonts w:ascii="Times New Roman" w:eastAsia="Times New Roman" w:hAnsi="Times New Roman" w:cs="Times New Roman"/>
          <w:sz w:val="22"/>
          <w:szCs w:val="22"/>
          <w:lang w:val="en-US"/>
        </w:rPr>
        <w:t>.</w:t>
      </w:r>
      <w:r w:rsidR="000B64C6">
        <w:rPr>
          <w:rFonts w:ascii="Times New Roman" w:eastAsia="Times New Roman" w:hAnsi="Times New Roman" w:cs="Times New Roman"/>
          <w:sz w:val="22"/>
          <w:szCs w:val="22"/>
          <w:lang w:val="en-US"/>
        </w:rPr>
        <w:t xml:space="preserve"> Remarkably, considering a </w:t>
      </w:r>
      <w:r w:rsidR="000B64C6" w:rsidRPr="0084570B">
        <w:rPr>
          <w:rFonts w:ascii="Times New Roman" w:hAnsi="Times New Roman" w:cs="Times New Roman"/>
          <w:color w:val="000000"/>
          <w:sz w:val="22"/>
          <w:szCs w:val="22"/>
          <w:lang w:val="en-US"/>
        </w:rPr>
        <w:t>present-day influx o</w:t>
      </w:r>
      <w:r w:rsidR="000B64C6">
        <w:rPr>
          <w:rFonts w:ascii="Times New Roman" w:hAnsi="Times New Roman" w:cs="Times New Roman"/>
          <w:color w:val="000000"/>
          <w:sz w:val="22"/>
          <w:szCs w:val="22"/>
          <w:lang w:val="en-US"/>
        </w:rPr>
        <w:t xml:space="preserve">f subducted U in oceanic crust of </w:t>
      </w:r>
      <w:r w:rsidR="000B64C6" w:rsidRPr="0084570B">
        <w:rPr>
          <w:rFonts w:ascii="Times New Roman" w:hAnsi="Times New Roman" w:cs="Times New Roman"/>
          <w:color w:val="000000"/>
          <w:sz w:val="22"/>
          <w:szCs w:val="22"/>
          <w:lang w:val="en-US"/>
        </w:rPr>
        <w:t>~3.1x10</w:t>
      </w:r>
      <w:r w:rsidR="000B64C6" w:rsidRPr="0084570B">
        <w:rPr>
          <w:rFonts w:ascii="Times New Roman" w:hAnsi="Times New Roman" w:cs="Times New Roman"/>
          <w:color w:val="000000"/>
          <w:sz w:val="22"/>
          <w:szCs w:val="22"/>
          <w:vertAlign w:val="superscript"/>
          <w:lang w:val="en-US"/>
        </w:rPr>
        <w:t>07</w:t>
      </w:r>
      <w:r w:rsidR="000B64C6" w:rsidRPr="0084570B">
        <w:rPr>
          <w:rFonts w:ascii="Times New Roman" w:hAnsi="Times New Roman" w:cs="Times New Roman"/>
          <w:color w:val="000000"/>
          <w:sz w:val="22"/>
          <w:szCs w:val="22"/>
          <w:lang w:val="en-US"/>
        </w:rPr>
        <w:t xml:space="preserve"> mol/yr</w:t>
      </w:r>
      <w:r w:rsidR="000B64C6" w:rsidRPr="0084570B">
        <w:rPr>
          <w:rFonts w:ascii="Times New Roman" w:eastAsia="Times New Roman" w:hAnsi="Times New Roman" w:cs="Times New Roman"/>
          <w:sz w:val="22"/>
          <w:szCs w:val="22"/>
          <w:lang w:val="en-US"/>
        </w:rPr>
        <w:fldChar w:fldCharType="begin" w:fldLock="1"/>
      </w:r>
      <w:r w:rsidR="000B64C6">
        <w:rPr>
          <w:rFonts w:ascii="Times New Roman" w:eastAsia="Times New Roman" w:hAnsi="Times New Roman" w:cs="Times New Roman"/>
          <w:sz w:val="22"/>
          <w:szCs w:val="22"/>
          <w:lang w:val="en-US"/>
        </w:rPr>
        <w:instrText>ADDIN CSL_CITATION {"citationItems":[{"id":"ITEM-1","itemData":{"DOI":"10.1130/G30852.1","ISSN":"00917613","abstract":"The Earth's mantle is divided into separate reservoirs. From basaltic lavas erupted today we know that the upper mantle is depleted in incompatible trace elements, whereas ocean island basalts (OIB) sample a deep, more enriched reservoir. The two incompatible elements potassium (K) and uranium (U) display a different ratio to each other in lavas from the upper and lower mantle reservoirs. This is surprising because they do not fractionate substantially during melting of the mantle and therefore continuous extraction of melts from the upper mantle over Earth's history cannot explain this disparity. Here a model is constructed in which U is insoluble during continental weathering in the anoxic conditions of the early Earth. This leads to recycling of oceanic crust with high K/U in the early Earth and low K/U after significant oxidative weathering commenced ca. 2200 Ma. This concept reproduces the observed K/U in both the upper and lower mantle reservoirs as well as the continental crust. The model is also shown to account for the thorium/uranium ratios and thereby Pb (lead) isotope compositions in these reservoirs. Successful model solutions imply that (1) chemical weathering fluxes to the oceans on the early Earth were significantly higher than present day, and (2) that the majority of the OIB reservoir is younger than 2200 Ma. © 2010 Geological Society of America.","author":[{"dropping-particle":"","family":"Nielsen","given":"Sune G.","non-dropping-particle":"","parse-names":false,"suffix":""}],"container-title":"Geology","id":"ITEM-1","issue":"8","issued":{"date-parts":[["2010"]]},"page":"683-686","title":"Potassium and uranium in the upper mantle controlled by Archean oceanic crust recycling","type":"article-journal","volume":"38"},"uris":["http://www.mendeley.com/documents/?uuid=2456df3d-8109-45c6-be72-eea79a0be734"]}],"mendeley":{"formattedCitation":"&lt;sup&gt;47&lt;/sup&gt;","plainTextFormattedCitation":"47","previouslyFormattedCitation":"&lt;sup&gt;47&lt;/sup&gt;"},"properties":{"noteIndex":0},"schema":"https://github.com/citation-style-language/schema/raw/master/csl-citation.json"}</w:instrText>
      </w:r>
      <w:r w:rsidR="000B64C6" w:rsidRPr="0084570B">
        <w:rPr>
          <w:rFonts w:ascii="Times New Roman" w:eastAsia="Times New Roman" w:hAnsi="Times New Roman" w:cs="Times New Roman"/>
          <w:sz w:val="22"/>
          <w:szCs w:val="22"/>
          <w:lang w:val="en-US"/>
        </w:rPr>
        <w:fldChar w:fldCharType="separate"/>
      </w:r>
      <w:r w:rsidR="000B64C6" w:rsidRPr="0084570B">
        <w:rPr>
          <w:rFonts w:ascii="Times New Roman" w:eastAsia="Times New Roman" w:hAnsi="Times New Roman" w:cs="Times New Roman"/>
          <w:noProof/>
          <w:sz w:val="22"/>
          <w:szCs w:val="22"/>
          <w:vertAlign w:val="superscript"/>
          <w:lang w:val="en-US"/>
        </w:rPr>
        <w:t>47</w:t>
      </w:r>
      <w:r w:rsidR="000B64C6" w:rsidRPr="0084570B">
        <w:rPr>
          <w:rFonts w:ascii="Times New Roman" w:eastAsia="Times New Roman" w:hAnsi="Times New Roman" w:cs="Times New Roman"/>
          <w:sz w:val="22"/>
          <w:szCs w:val="22"/>
          <w:lang w:val="en-US"/>
        </w:rPr>
        <w:fldChar w:fldCharType="end"/>
      </w:r>
      <w:r w:rsidR="000B64C6" w:rsidRPr="0084570B">
        <w:rPr>
          <w:rFonts w:ascii="Times New Roman" w:hAnsi="Times New Roman" w:cs="Times New Roman"/>
          <w:color w:val="000000"/>
          <w:sz w:val="22"/>
          <w:szCs w:val="22"/>
          <w:lang w:val="en-US"/>
        </w:rPr>
        <w:t xml:space="preserve"> </w:t>
      </w:r>
      <w:r w:rsidR="000B64C6">
        <w:rPr>
          <w:rFonts w:ascii="Times New Roman" w:hAnsi="Times New Roman" w:cs="Times New Roman"/>
          <w:color w:val="000000"/>
          <w:sz w:val="22"/>
          <w:szCs w:val="22"/>
          <w:lang w:val="en-US"/>
        </w:rPr>
        <w:t>and computing</w:t>
      </w:r>
      <w:r w:rsidR="000B64C6" w:rsidRPr="0084570B">
        <w:rPr>
          <w:rFonts w:ascii="Times New Roman" w:hAnsi="Times New Roman" w:cs="Times New Roman"/>
          <w:color w:val="000000"/>
          <w:sz w:val="22"/>
          <w:szCs w:val="22"/>
          <w:lang w:val="en-US"/>
        </w:rPr>
        <w:t xml:space="preserve"> the outflux of U emitted at </w:t>
      </w:r>
      <w:r w:rsidR="000B64C6" w:rsidRPr="000B64C6">
        <w:rPr>
          <w:rFonts w:ascii="Times New Roman" w:hAnsi="Times New Roman" w:cs="Times New Roman"/>
          <w:color w:val="000000"/>
          <w:sz w:val="22"/>
          <w:szCs w:val="22"/>
          <w:lang w:val="en-US"/>
        </w:rPr>
        <w:t>mid ocean ridges (1.1x10</w:t>
      </w:r>
      <w:r w:rsidR="000B64C6" w:rsidRPr="000B64C6">
        <w:rPr>
          <w:rFonts w:ascii="Times New Roman" w:hAnsi="Times New Roman" w:cs="Times New Roman"/>
          <w:color w:val="000000"/>
          <w:sz w:val="22"/>
          <w:szCs w:val="22"/>
          <w:vertAlign w:val="superscript"/>
          <w:lang w:val="en-US"/>
        </w:rPr>
        <w:t>07</w:t>
      </w:r>
      <w:r w:rsidR="000B64C6" w:rsidRPr="000B64C6">
        <w:rPr>
          <w:rFonts w:ascii="Times New Roman" w:hAnsi="Times New Roman" w:cs="Times New Roman"/>
          <w:color w:val="000000"/>
          <w:sz w:val="22"/>
          <w:szCs w:val="22"/>
          <w:lang w:val="en-US"/>
        </w:rPr>
        <w:t xml:space="preserve"> mol/yr, assuming 20 km</w:t>
      </w:r>
      <w:r w:rsidR="000B64C6" w:rsidRPr="000B64C6">
        <w:rPr>
          <w:rFonts w:ascii="Times New Roman" w:hAnsi="Times New Roman" w:cs="Times New Roman"/>
          <w:color w:val="000000"/>
          <w:sz w:val="22"/>
          <w:szCs w:val="22"/>
          <w:vertAlign w:val="superscript"/>
          <w:lang w:val="en-US"/>
        </w:rPr>
        <w:t>3</w:t>
      </w:r>
      <w:r w:rsidR="000B64C6" w:rsidRPr="000B64C6">
        <w:rPr>
          <w:rFonts w:ascii="Times New Roman" w:hAnsi="Times New Roman" w:cs="Times New Roman"/>
          <w:color w:val="000000"/>
          <w:sz w:val="22"/>
          <w:szCs w:val="22"/>
          <w:lang w:val="en-US"/>
        </w:rPr>
        <w:t xml:space="preserve"> of MORBs are emitted every year with </w:t>
      </w:r>
      <w:r w:rsidR="00CE5507">
        <w:rPr>
          <w:rFonts w:ascii="Times New Roman" w:hAnsi="Times New Roman" w:cs="Times New Roman"/>
          <w:color w:val="000000"/>
          <w:sz w:val="22"/>
          <w:szCs w:val="22"/>
          <w:lang w:val="en-US"/>
        </w:rPr>
        <w:t>50 ppb</w:t>
      </w:r>
      <w:r w:rsidR="000B64C6" w:rsidRPr="000B64C6">
        <w:rPr>
          <w:rFonts w:ascii="Times New Roman" w:hAnsi="Times New Roman" w:cs="Times New Roman"/>
          <w:color w:val="000000"/>
          <w:sz w:val="22"/>
          <w:szCs w:val="22"/>
          <w:lang w:val="en-US"/>
        </w:rPr>
        <w:t xml:space="preserve"> U; </w:t>
      </w:r>
      <w:r w:rsidR="000B64C6">
        <w:rPr>
          <w:rFonts w:ascii="Times New Roman" w:hAnsi="Times New Roman" w:cs="Times New Roman"/>
          <w:color w:val="000000"/>
          <w:sz w:val="22"/>
          <w:szCs w:val="22"/>
          <w:lang w:val="en-US"/>
        </w:rPr>
        <w:t xml:space="preserve">see excel spreadsheet </w:t>
      </w:r>
      <w:r w:rsidR="000B64C6" w:rsidRPr="000B64C6">
        <w:rPr>
          <w:rFonts w:ascii="Times New Roman" w:eastAsia="Times New Roman" w:hAnsi="Times New Roman" w:cs="Times New Roman"/>
          <w:color w:val="222222"/>
          <w:sz w:val="22"/>
          <w:szCs w:val="22"/>
          <w:lang w:val="en-US"/>
        </w:rPr>
        <w:t>"Mass balance Hadean.xlsx"</w:t>
      </w:r>
      <w:r w:rsidR="000B64C6" w:rsidRPr="000B64C6">
        <w:rPr>
          <w:rFonts w:ascii="Times New Roman" w:hAnsi="Times New Roman" w:cs="Times New Roman"/>
          <w:color w:val="000000"/>
          <w:sz w:val="22"/>
          <w:szCs w:val="22"/>
          <w:lang w:val="en-US"/>
        </w:rPr>
        <w:t>)</w:t>
      </w:r>
      <w:r w:rsidR="00CE5507">
        <w:rPr>
          <w:rFonts w:ascii="Times New Roman" w:hAnsi="Times New Roman" w:cs="Times New Roman"/>
          <w:color w:val="000000"/>
          <w:sz w:val="22"/>
          <w:szCs w:val="22"/>
          <w:lang w:val="en-US"/>
        </w:rPr>
        <w:t xml:space="preserve"> would indicate </w:t>
      </w:r>
      <w:r w:rsidR="00CE5507">
        <w:rPr>
          <w:rFonts w:ascii="Times New Roman" w:hAnsi="Times New Roman" w:cs="Times New Roman"/>
          <w:color w:val="000000"/>
          <w:sz w:val="22"/>
          <w:szCs w:val="22"/>
          <w:lang w:val="en-US"/>
        </w:rPr>
        <w:lastRenderedPageBreak/>
        <w:t>a net influx of U into the mantle of 2.0</w:t>
      </w:r>
      <w:r w:rsidR="00CE5507" w:rsidRPr="000B64C6">
        <w:rPr>
          <w:rFonts w:ascii="Times New Roman" w:hAnsi="Times New Roman" w:cs="Times New Roman"/>
          <w:color w:val="000000"/>
          <w:sz w:val="22"/>
          <w:szCs w:val="22"/>
          <w:lang w:val="en-US"/>
        </w:rPr>
        <w:t>x10</w:t>
      </w:r>
      <w:r w:rsidR="00CE5507" w:rsidRPr="000B64C6">
        <w:rPr>
          <w:rFonts w:ascii="Times New Roman" w:hAnsi="Times New Roman" w:cs="Times New Roman"/>
          <w:color w:val="000000"/>
          <w:sz w:val="22"/>
          <w:szCs w:val="22"/>
          <w:vertAlign w:val="superscript"/>
          <w:lang w:val="en-US"/>
        </w:rPr>
        <w:t>07</w:t>
      </w:r>
      <w:r w:rsidR="00CE5507" w:rsidRPr="000B64C6">
        <w:rPr>
          <w:rFonts w:ascii="Times New Roman" w:hAnsi="Times New Roman" w:cs="Times New Roman"/>
          <w:color w:val="000000"/>
          <w:sz w:val="22"/>
          <w:szCs w:val="22"/>
          <w:lang w:val="en-US"/>
        </w:rPr>
        <w:t xml:space="preserve"> mol/yr</w:t>
      </w:r>
      <w:r w:rsidR="00CE5507">
        <w:rPr>
          <w:rFonts w:ascii="Times New Roman" w:hAnsi="Times New Roman" w:cs="Times New Roman"/>
          <w:color w:val="000000"/>
          <w:sz w:val="22"/>
          <w:szCs w:val="22"/>
          <w:lang w:val="en-US"/>
        </w:rPr>
        <w:t>. Assuming this flux has remained constant over the 3 billion years of subduction would indicate that 5.9</w:t>
      </w:r>
      <w:r w:rsidR="00CE5507" w:rsidRPr="000B64C6">
        <w:rPr>
          <w:rFonts w:ascii="Times New Roman" w:hAnsi="Times New Roman" w:cs="Times New Roman"/>
          <w:color w:val="000000"/>
          <w:sz w:val="22"/>
          <w:szCs w:val="22"/>
          <w:lang w:val="en-US"/>
        </w:rPr>
        <w:t>x10</w:t>
      </w:r>
      <w:r w:rsidR="00CE5507">
        <w:rPr>
          <w:rFonts w:ascii="Times New Roman" w:hAnsi="Times New Roman" w:cs="Times New Roman"/>
          <w:color w:val="000000"/>
          <w:sz w:val="22"/>
          <w:szCs w:val="22"/>
          <w:vertAlign w:val="superscript"/>
          <w:lang w:val="en-US"/>
        </w:rPr>
        <w:t>16</w:t>
      </w:r>
      <w:r w:rsidR="00CE5507">
        <w:rPr>
          <w:rFonts w:ascii="Times New Roman" w:hAnsi="Times New Roman" w:cs="Times New Roman"/>
          <w:color w:val="000000"/>
          <w:sz w:val="22"/>
          <w:szCs w:val="22"/>
          <w:lang w:val="en-US"/>
        </w:rPr>
        <w:t xml:space="preserve"> mol of U have been introduced into the mantle via subduction. When compared to the total mass of the convecting upper mantle (3.1x10</w:t>
      </w:r>
      <w:r w:rsidR="00CE5507">
        <w:rPr>
          <w:rFonts w:ascii="Times New Roman" w:hAnsi="Times New Roman" w:cs="Times New Roman"/>
          <w:color w:val="000000"/>
          <w:sz w:val="22"/>
          <w:szCs w:val="22"/>
          <w:vertAlign w:val="superscript"/>
          <w:lang w:val="en-US"/>
        </w:rPr>
        <w:t>27</w:t>
      </w:r>
      <w:r w:rsidR="00CE5507">
        <w:rPr>
          <w:rFonts w:ascii="Times New Roman" w:hAnsi="Times New Roman" w:cs="Times New Roman"/>
          <w:color w:val="000000"/>
          <w:sz w:val="22"/>
          <w:szCs w:val="22"/>
          <w:lang w:val="en-US"/>
        </w:rPr>
        <w:t> g), this amount of U (1.4x10</w:t>
      </w:r>
      <w:r w:rsidR="00CE5507">
        <w:rPr>
          <w:rFonts w:ascii="Times New Roman" w:hAnsi="Times New Roman" w:cs="Times New Roman"/>
          <w:color w:val="000000"/>
          <w:sz w:val="22"/>
          <w:szCs w:val="22"/>
          <w:vertAlign w:val="superscript"/>
          <w:lang w:val="en-US"/>
        </w:rPr>
        <w:t>19</w:t>
      </w:r>
      <w:r w:rsidR="00CE5507">
        <w:rPr>
          <w:rFonts w:ascii="Times New Roman" w:hAnsi="Times New Roman" w:cs="Times New Roman"/>
          <w:color w:val="000000"/>
          <w:sz w:val="22"/>
          <w:szCs w:val="22"/>
          <w:lang w:val="en-US"/>
        </w:rPr>
        <w:t xml:space="preserve"> g) would correspond to 4.5 ppb U., which is compatible with the actual U content of the depleted mantle </w:t>
      </w:r>
      <w:r w:rsidR="00CE5507">
        <w:rPr>
          <w:rFonts w:ascii="Times New Roman" w:eastAsia="Times New Roman" w:hAnsi="Times New Roman" w:cs="Times New Roman"/>
          <w:sz w:val="22"/>
          <w:szCs w:val="22"/>
          <w:lang w:val="en-US"/>
        </w:rPr>
        <w:t>(</w:t>
      </w:r>
      <w:r w:rsidR="000B64C6" w:rsidRPr="0084570B">
        <w:rPr>
          <w:rFonts w:ascii="Times New Roman" w:eastAsia="Times New Roman" w:hAnsi="Times New Roman" w:cs="Times New Roman"/>
          <w:noProof/>
          <w:sz w:val="22"/>
          <w:szCs w:val="28"/>
          <w:lang w:val="en-US"/>
        </w:rPr>
        <w:t>5.4±1.3pp</w:t>
      </w:r>
      <w:r w:rsidR="00CE5507">
        <w:rPr>
          <w:rFonts w:ascii="Times New Roman" w:eastAsia="Times New Roman" w:hAnsi="Times New Roman" w:cs="Times New Roman"/>
          <w:noProof/>
          <w:sz w:val="22"/>
          <w:szCs w:val="28"/>
          <w:lang w:val="en-US"/>
        </w:rPr>
        <w:t>b</w:t>
      </w:r>
      <w:r w:rsidR="000B64C6" w:rsidRPr="0084570B">
        <w:rPr>
          <w:rFonts w:ascii="Times New Roman" w:eastAsia="Times New Roman" w:hAnsi="Times New Roman" w:cs="Times New Roman"/>
          <w:noProof/>
          <w:sz w:val="22"/>
          <w:szCs w:val="28"/>
          <w:lang w:val="en-US"/>
        </w:rPr>
        <w:fldChar w:fldCharType="begin" w:fldLock="1"/>
      </w:r>
      <w:r w:rsidR="003376B3">
        <w:rPr>
          <w:rFonts w:ascii="Times New Roman" w:eastAsia="Times New Roman" w:hAnsi="Times New Roman" w:cs="Times New Roman"/>
          <w:noProof/>
          <w:sz w:val="22"/>
          <w:szCs w:val="28"/>
          <w:lang w:val="en-US"/>
        </w:rPr>
        <w:instrText>ADDIN CSL_CITATION {"citationItems":[{"id":"ITEM-1","itemData":{"DOI":"10.1016/j.epsl.2008.12.023","ISSN":"0012821X","abstract":"The abundance of K in the silicate Earth provides control on the composition of the Earth's interior, the dominant mode of mantle convection, the thermal evolution of the planet, and the concentration of Pb in the core. Because K acts as a volatile species during accretion, the K content of the silicate Earth is determined as a function of the terrestrial K/U ratio. A comprehensive examination of MORB from the Atlantic, Indian and Pacific oceans, including both normal- and enriched-type samples, reveals a composite MORB source K/U ratio of 19,000 ± 2600 (2σ). In comparison, ocean island basalts and average continental crust have average K/U values of 11,900 ± 2200 and 13,000 ± 3000, respectively. The fractional contributions of these reservoirs establishes the K/U ratio of the silicate Earth to be 13,800 ± 2600 (2σ), equating to 280 ± 120 μg/g K in the silicate Earth. As a result, the planet's convective Urey ratio is verified to be ~ 0.34, which indicates a current mantle cooling rate of 70-130 K Gyr- 1 after taking into account potential heat flux across the core-mantle boundary. Additionally, the Earth's balance of radiogenic heat flow and budget of 40Ar necessitate a lower mantle reservoir enriched in radioactive elements. The bulk Earth Pb/U ratio, determined here to be ~ 85, suggests ~ 1200 ng/g Pb in the bulk Earth and ≥ 3300 ng/g Pb in the core. © 2008 Elsevier B.V. All rights reserved.","author":[{"dropping-particle":"","family":"Arevalo","given":"Ricardo","non-dropping-particle":"","parse-names":false,"suffix":""},{"dropping-particle":"","family":"McDonough","given":"William F.","non-dropping-particle":"","parse-names":false,"suffix":""},{"dropping-particle":"","family":"Luong","given":"Mario","non-dropping-particle":"","parse-names":false,"suffix":""}],"container-title":"Earth and Planetary Science Letters","id":"ITEM-1","issue":"3-4","issued":{"date-parts":[["2009"]]},"page":"361-369","publisher":"Elsevier B.V.","title":"The K/U ratio of the silicate Earth: Insights into mantle composition, structure and thermal evolution","type":"article-journal","volume":"278"},"uris":["http://www.mendeley.com/documents/?uuid=9a02783c-9bad-459c-90da-f15d037ebad0"]}],"mendeley":{"formattedCitation":"&lt;sup&gt;145&lt;/sup&gt;","plainTextFormattedCitation":"145","previouslyFormattedCitation":"&lt;sup&gt;145&lt;/sup&gt;"},"properties":{"noteIndex":0},"schema":"https://github.com/citation-style-language/schema/raw/master/csl-citation.json"}</w:instrText>
      </w:r>
      <w:r w:rsidR="000B64C6" w:rsidRPr="0084570B">
        <w:rPr>
          <w:rFonts w:ascii="Times New Roman" w:eastAsia="Times New Roman" w:hAnsi="Times New Roman" w:cs="Times New Roman"/>
          <w:noProof/>
          <w:sz w:val="22"/>
          <w:szCs w:val="28"/>
          <w:lang w:val="en-US"/>
        </w:rPr>
        <w:fldChar w:fldCharType="separate"/>
      </w:r>
      <w:r w:rsidR="00253A47" w:rsidRPr="00253A47">
        <w:rPr>
          <w:rFonts w:ascii="Times New Roman" w:eastAsia="Times New Roman" w:hAnsi="Times New Roman" w:cs="Times New Roman"/>
          <w:noProof/>
          <w:sz w:val="22"/>
          <w:szCs w:val="28"/>
          <w:vertAlign w:val="superscript"/>
          <w:lang w:val="en-US"/>
        </w:rPr>
        <w:t>145</w:t>
      </w:r>
      <w:r w:rsidR="000B64C6" w:rsidRPr="0084570B">
        <w:rPr>
          <w:rFonts w:ascii="Times New Roman" w:eastAsia="Times New Roman" w:hAnsi="Times New Roman" w:cs="Times New Roman"/>
          <w:noProof/>
          <w:sz w:val="22"/>
          <w:szCs w:val="28"/>
          <w:lang w:val="en-US"/>
        </w:rPr>
        <w:fldChar w:fldCharType="end"/>
      </w:r>
      <w:r w:rsidR="000B64C6" w:rsidRPr="0084570B">
        <w:rPr>
          <w:rFonts w:ascii="Times New Roman" w:eastAsia="Times New Roman" w:hAnsi="Times New Roman" w:cs="Times New Roman"/>
          <w:noProof/>
          <w:sz w:val="22"/>
          <w:szCs w:val="28"/>
          <w:lang w:val="en-US"/>
        </w:rPr>
        <w:t>)</w:t>
      </w:r>
      <w:r w:rsidR="00360EB0">
        <w:rPr>
          <w:rFonts w:ascii="Times New Roman" w:eastAsia="Times New Roman" w:hAnsi="Times New Roman" w:cs="Times New Roman"/>
          <w:noProof/>
          <w:sz w:val="22"/>
          <w:szCs w:val="28"/>
          <w:lang w:val="en-US"/>
        </w:rPr>
        <w:t xml:space="preserve"> (</w:t>
      </w:r>
      <w:r w:rsidR="00360EB0" w:rsidRPr="00360EB0">
        <w:rPr>
          <w:rFonts w:ascii="Times New Roman" w:eastAsia="Times New Roman" w:hAnsi="Times New Roman" w:cs="Times New Roman"/>
          <w:b/>
          <w:noProof/>
          <w:szCs w:val="22"/>
          <w:lang w:val="en-US"/>
        </w:rPr>
        <w:t xml:space="preserve">cf. </w:t>
      </w:r>
      <w:r w:rsidR="00360EB0" w:rsidRPr="00360EB0">
        <w:rPr>
          <w:rFonts w:ascii="Times New Roman" w:eastAsia="Times New Roman" w:hAnsi="Times New Roman" w:cs="Times New Roman"/>
          <w:b/>
          <w:color w:val="222222"/>
          <w:szCs w:val="22"/>
          <w:lang w:val="en-US"/>
        </w:rPr>
        <w:t>"Mass balance Hadean.xlsx"</w:t>
      </w:r>
      <w:r w:rsidR="00360EB0">
        <w:rPr>
          <w:rFonts w:ascii="Times New Roman" w:eastAsia="Times New Roman" w:hAnsi="Times New Roman" w:cs="Times New Roman"/>
          <w:noProof/>
          <w:sz w:val="22"/>
          <w:szCs w:val="28"/>
          <w:lang w:val="en-US"/>
        </w:rPr>
        <w:t>)</w:t>
      </w:r>
      <w:r w:rsidR="000B64C6" w:rsidRPr="0084570B">
        <w:rPr>
          <w:rFonts w:ascii="Times New Roman" w:eastAsia="Times New Roman" w:hAnsi="Times New Roman" w:cs="Times New Roman"/>
          <w:noProof/>
          <w:sz w:val="22"/>
          <w:szCs w:val="28"/>
          <w:lang w:val="en-US"/>
        </w:rPr>
        <w:t xml:space="preserve">. </w:t>
      </w:r>
      <w:r w:rsidR="005C05FC">
        <w:rPr>
          <w:rFonts w:ascii="Times New Roman" w:eastAsia="Times New Roman" w:hAnsi="Times New Roman" w:cs="Times New Roman"/>
          <w:noProof/>
          <w:sz w:val="22"/>
          <w:szCs w:val="28"/>
          <w:lang w:val="en-US"/>
        </w:rPr>
        <w:t>Also these considerations ignore the – largely underconstrained – fractions of subducting U potentially transferred to the lower crust or deep mantle</w:t>
      </w:r>
      <w:r w:rsidR="005C05FC" w:rsidRPr="0084570B">
        <w:rPr>
          <w:rFonts w:ascii="Times New Roman" w:eastAsia="Times New Roman" w:hAnsi="Times New Roman" w:cs="Times New Roman"/>
          <w:sz w:val="22"/>
          <w:szCs w:val="22"/>
          <w:lang w:val="en-US"/>
        </w:rPr>
        <w:fldChar w:fldCharType="begin" w:fldLock="1"/>
      </w:r>
      <w:r w:rsidR="005C05FC">
        <w:rPr>
          <w:rFonts w:ascii="Times New Roman" w:eastAsia="Times New Roman" w:hAnsi="Times New Roman" w:cs="Times New Roman"/>
          <w:sz w:val="22"/>
          <w:szCs w:val="22"/>
          <w:lang w:val="en-US"/>
        </w:rPr>
        <w:instrText>ADDIN CSL_CITATION {"citationItems":[{"id":"ITEM-1","itemData":{"DOI":"10.1130/G30852.1","ISSN":"00917613","abstract":"The Earth's mantle is divided into separate reservoirs. From basaltic lavas erupted today we know that the upper mantle is depleted in incompatible trace elements, whereas ocean island basalts (OIB) sample a deep, more enriched reservoir. The two incompatible elements potassium (K) and uranium (U) display a different ratio to each other in lavas from the upper and lower mantle reservoirs. This is surprising because they do not fractionate substantially during melting of the mantle and therefore continuous extraction of melts from the upper mantle over Earth's history cannot explain this disparity. Here a model is constructed in which U is insoluble during continental weathering in the anoxic conditions of the early Earth. This leads to recycling of oceanic crust with high K/U in the early Earth and low K/U after significant oxidative weathering commenced ca. 2200 Ma. This concept reproduces the observed K/U in both the upper and lower mantle reservoirs as well as the continental crust. The model is also shown to account for the thorium/uranium ratios and thereby Pb (lead) isotope compositions in these reservoirs. Successful model solutions imply that (1) chemical weathering fluxes to the oceans on the early Earth were significantly higher than present day, and (2) that the majority of the OIB reservoir is younger than 2200 Ma. © 2010 Geological Society of America.","author":[{"dropping-particle":"","family":"Nielsen","given":"Sune G.","non-dropping-particle":"","parse-names":false,"suffix":""}],"container-title":"Geology","id":"ITEM-1","issue":"8","issued":{"date-parts":[["2010"]]},"page":"683-686","title":"Potassium and uranium in the upper mantle controlled by Archean oceanic crust recycling","type":"article-journal","volume":"38"},"uris":["http://www.mendeley.com/documents/?uuid=2456df3d-8109-45c6-be72-eea79a0be734"]}],"mendeley":{"formattedCitation":"&lt;sup&gt;47&lt;/sup&gt;","plainTextFormattedCitation":"47","previouslyFormattedCitation":"&lt;sup&gt;47&lt;/sup&gt;"},"properties":{"noteIndex":0},"schema":"https://github.com/citation-style-language/schema/raw/master/csl-citation.json"}</w:instrText>
      </w:r>
      <w:r w:rsidR="005C05FC" w:rsidRPr="0084570B">
        <w:rPr>
          <w:rFonts w:ascii="Times New Roman" w:eastAsia="Times New Roman" w:hAnsi="Times New Roman" w:cs="Times New Roman"/>
          <w:sz w:val="22"/>
          <w:szCs w:val="22"/>
          <w:lang w:val="en-US"/>
        </w:rPr>
        <w:fldChar w:fldCharType="separate"/>
      </w:r>
      <w:r w:rsidR="005C05FC" w:rsidRPr="0084570B">
        <w:rPr>
          <w:rFonts w:ascii="Times New Roman" w:eastAsia="Times New Roman" w:hAnsi="Times New Roman" w:cs="Times New Roman"/>
          <w:noProof/>
          <w:sz w:val="22"/>
          <w:szCs w:val="22"/>
          <w:vertAlign w:val="superscript"/>
          <w:lang w:val="en-US"/>
        </w:rPr>
        <w:t>47</w:t>
      </w:r>
      <w:r w:rsidR="005C05FC" w:rsidRPr="0084570B">
        <w:rPr>
          <w:rFonts w:ascii="Times New Roman" w:eastAsia="Times New Roman" w:hAnsi="Times New Roman" w:cs="Times New Roman"/>
          <w:sz w:val="22"/>
          <w:szCs w:val="22"/>
          <w:lang w:val="en-US"/>
        </w:rPr>
        <w:fldChar w:fldCharType="end"/>
      </w:r>
      <w:r w:rsidR="005C05FC">
        <w:rPr>
          <w:rFonts w:ascii="Times New Roman" w:eastAsia="Times New Roman" w:hAnsi="Times New Roman" w:cs="Times New Roman"/>
          <w:noProof/>
          <w:sz w:val="22"/>
          <w:szCs w:val="28"/>
          <w:lang w:val="en-US"/>
        </w:rPr>
        <w:t xml:space="preserve">, they suggest that the total amount of U introduced within the solid Earth of the last 3 billion years of subduction could have largely impacted the general U budget of the convecting mantle, as proposed in this study. </w:t>
      </w:r>
      <w:r w:rsidR="00CE5507">
        <w:rPr>
          <w:rFonts w:ascii="Times New Roman" w:eastAsia="Times New Roman" w:hAnsi="Times New Roman" w:cs="Times New Roman"/>
          <w:noProof/>
          <w:sz w:val="22"/>
          <w:szCs w:val="28"/>
          <w:lang w:val="en-US"/>
        </w:rPr>
        <w:t xml:space="preserve"> </w:t>
      </w:r>
      <w:r w:rsidR="00B84F3A" w:rsidRPr="0084570B">
        <w:rPr>
          <w:rFonts w:ascii="Times New Roman" w:eastAsia="Times New Roman" w:hAnsi="Times New Roman" w:cs="Times New Roman"/>
          <w:b/>
          <w:sz w:val="22"/>
          <w:szCs w:val="22"/>
          <w:lang w:val="en-US"/>
        </w:rPr>
        <w:br w:type="page"/>
      </w:r>
    </w:p>
    <w:p w14:paraId="782E8513" w14:textId="0BDA8057" w:rsidR="00D77238" w:rsidRPr="0084570B" w:rsidRDefault="00D77238" w:rsidP="00D77238">
      <w:pPr>
        <w:pStyle w:val="Normal1"/>
        <w:spacing w:line="276" w:lineRule="auto"/>
        <w:jc w:val="center"/>
        <w:rPr>
          <w:rFonts w:ascii="Times New Roman" w:eastAsia="Times New Roman" w:hAnsi="Times New Roman" w:cs="Times New Roman"/>
          <w:b/>
          <w:sz w:val="22"/>
          <w:szCs w:val="22"/>
          <w:lang w:val="en-US"/>
        </w:rPr>
      </w:pPr>
      <w:r w:rsidRPr="0084570B">
        <w:rPr>
          <w:rFonts w:ascii="Times New Roman" w:eastAsia="Times New Roman" w:hAnsi="Times New Roman" w:cs="Times New Roman"/>
          <w:b/>
          <w:noProof/>
          <w:sz w:val="22"/>
          <w:szCs w:val="22"/>
          <w:lang w:val="fr-FR"/>
        </w:rPr>
        <w:lastRenderedPageBreak/>
        <w:drawing>
          <wp:inline distT="0" distB="0" distL="0" distR="0" wp14:anchorId="00D4ED43" wp14:editId="039EDA91">
            <wp:extent cx="3967089" cy="3721146"/>
            <wp:effectExtent l="0" t="0" r="0" b="0"/>
            <wp:docPr id="10" name="Image 10" descr="Bekaert:Users:dbekaert:Desktop:Capture d’écran 2023-01-23 à 13.10.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kaert:Users:dbekaert:Desktop:Capture d’écran 2023-01-23 à 13.10.55.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68576" cy="3722541"/>
                    </a:xfrm>
                    <a:prstGeom prst="rect">
                      <a:avLst/>
                    </a:prstGeom>
                    <a:noFill/>
                    <a:ln>
                      <a:noFill/>
                    </a:ln>
                  </pic:spPr>
                </pic:pic>
              </a:graphicData>
            </a:graphic>
          </wp:inline>
        </w:drawing>
      </w:r>
    </w:p>
    <w:p w14:paraId="2BB42E01" w14:textId="77777777" w:rsidR="00D77238" w:rsidRPr="0084570B" w:rsidRDefault="00D77238" w:rsidP="00D77238">
      <w:pPr>
        <w:pStyle w:val="Normal1"/>
        <w:spacing w:line="360" w:lineRule="auto"/>
        <w:ind w:firstLine="720"/>
        <w:jc w:val="both"/>
        <w:rPr>
          <w:rFonts w:ascii="Times New Roman" w:eastAsia="Times New Roman" w:hAnsi="Times New Roman" w:cs="Times New Roman"/>
          <w:b/>
          <w:sz w:val="22"/>
          <w:szCs w:val="22"/>
          <w:lang w:val="en-US"/>
        </w:rPr>
      </w:pPr>
    </w:p>
    <w:p w14:paraId="2F46C6EC" w14:textId="5BBDA616" w:rsidR="0023375E" w:rsidRPr="00360EB0" w:rsidRDefault="00832649" w:rsidP="00360EB0">
      <w:pPr>
        <w:pStyle w:val="Normal1"/>
        <w:spacing w:line="276" w:lineRule="auto"/>
        <w:jc w:val="both"/>
        <w:rPr>
          <w:rFonts w:ascii="Times New Roman" w:eastAsia="Times New Roman" w:hAnsi="Times New Roman" w:cs="Times New Roman"/>
          <w:b/>
          <w:sz w:val="22"/>
          <w:szCs w:val="22"/>
          <w:lang w:val="en-US"/>
        </w:rPr>
      </w:pPr>
      <w:r w:rsidRPr="0084570B">
        <w:rPr>
          <w:rFonts w:ascii="Times New Roman" w:eastAsia="Times New Roman" w:hAnsi="Times New Roman" w:cs="Times New Roman"/>
          <w:b/>
          <w:sz w:val="22"/>
          <w:szCs w:val="22"/>
          <w:lang w:val="en-US"/>
        </w:rPr>
        <w:t>Figure S22</w:t>
      </w:r>
      <w:r w:rsidR="00D77238" w:rsidRPr="0084570B">
        <w:rPr>
          <w:rFonts w:ascii="Times New Roman" w:eastAsia="Times New Roman" w:hAnsi="Times New Roman" w:cs="Times New Roman"/>
          <w:b/>
          <w:sz w:val="22"/>
          <w:szCs w:val="22"/>
          <w:lang w:val="en-US"/>
        </w:rPr>
        <w:t xml:space="preserve">. Cartoon of terrestrial formation, whereby </w:t>
      </w:r>
      <w:r w:rsidR="00D77238" w:rsidRPr="0084570B">
        <w:rPr>
          <w:rFonts w:ascii="Times New Roman" w:hAnsi="Times New Roman" w:cs="Times New Roman"/>
          <w:b/>
          <w:sz w:val="22"/>
          <w:szCs w:val="22"/>
          <w:lang w:val="en-US"/>
        </w:rPr>
        <w:t>a sizeable fraction of Pu decay on Earth occurred within shallow, crustal levels, rather than in the mantle</w:t>
      </w:r>
      <w:r w:rsidR="00D77238" w:rsidRPr="0084570B">
        <w:rPr>
          <w:rFonts w:ascii="Times New Roman" w:eastAsia="Times New Roman" w:hAnsi="Times New Roman" w:cs="Times New Roman"/>
          <w:b/>
          <w:sz w:val="22"/>
          <w:szCs w:val="22"/>
          <w:lang w:val="en-US"/>
        </w:rPr>
        <w:t>. (a)</w:t>
      </w:r>
      <w:r w:rsidR="00D32D8D" w:rsidRPr="0084570B">
        <w:rPr>
          <w:rFonts w:ascii="Times New Roman" w:eastAsia="Times New Roman" w:hAnsi="Times New Roman" w:cs="Times New Roman"/>
          <w:sz w:val="22"/>
          <w:szCs w:val="22"/>
          <w:lang w:val="en-US"/>
        </w:rPr>
        <w:t xml:space="preserve"> At 4.5</w:t>
      </w:r>
      <w:r w:rsidR="00D77238" w:rsidRPr="0084570B">
        <w:rPr>
          <w:rFonts w:ascii="Times New Roman" w:eastAsia="Times New Roman" w:hAnsi="Times New Roman" w:cs="Times New Roman"/>
          <w:sz w:val="22"/>
          <w:szCs w:val="22"/>
          <w:lang w:val="en-US"/>
        </w:rPr>
        <w:t xml:space="preserve"> Gyr ago, the proto-Earth would have formed and initiated its differentiation. </w:t>
      </w:r>
      <w:r w:rsidR="00D77238" w:rsidRPr="0084570B">
        <w:rPr>
          <w:rFonts w:ascii="Times New Roman" w:eastAsia="Times New Roman" w:hAnsi="Times New Roman" w:cs="Times New Roman"/>
          <w:b/>
          <w:sz w:val="22"/>
          <w:szCs w:val="22"/>
          <w:lang w:val="en-US"/>
        </w:rPr>
        <w:t>(b)</w:t>
      </w:r>
      <w:r w:rsidR="00D32D8D" w:rsidRPr="0084570B">
        <w:rPr>
          <w:rFonts w:ascii="Times New Roman" w:eastAsia="Times New Roman" w:hAnsi="Times New Roman" w:cs="Times New Roman"/>
          <w:sz w:val="22"/>
          <w:szCs w:val="22"/>
          <w:lang w:val="en-US"/>
        </w:rPr>
        <w:t xml:space="preserve"> </w:t>
      </w:r>
      <w:r w:rsidR="00FE436C" w:rsidRPr="0084570B">
        <w:rPr>
          <w:rFonts w:ascii="Times New Roman" w:eastAsia="Times New Roman" w:hAnsi="Times New Roman" w:cs="Times New Roman"/>
          <w:sz w:val="22"/>
          <w:szCs w:val="22"/>
          <w:lang w:val="en-US"/>
        </w:rPr>
        <w:t>T</w:t>
      </w:r>
      <w:r w:rsidR="00D77238" w:rsidRPr="0084570B">
        <w:rPr>
          <w:rFonts w:ascii="Times New Roman" w:eastAsia="Times New Roman" w:hAnsi="Times New Roman" w:cs="Times New Roman"/>
          <w:sz w:val="22"/>
          <w:szCs w:val="22"/>
          <w:lang w:val="en-US"/>
        </w:rPr>
        <w:t xml:space="preserve">he Moon-forming giant impact would </w:t>
      </w:r>
      <w:r w:rsidR="00FE436C" w:rsidRPr="0084570B">
        <w:rPr>
          <w:rFonts w:ascii="Times New Roman" w:eastAsia="Times New Roman" w:hAnsi="Times New Roman" w:cs="Times New Roman"/>
          <w:sz w:val="22"/>
          <w:szCs w:val="22"/>
          <w:lang w:val="en-US"/>
        </w:rPr>
        <w:t xml:space="preserve">then </w:t>
      </w:r>
      <w:r w:rsidR="00D77238" w:rsidRPr="0084570B">
        <w:rPr>
          <w:rFonts w:ascii="Times New Roman" w:eastAsia="Times New Roman" w:hAnsi="Times New Roman" w:cs="Times New Roman"/>
          <w:sz w:val="22"/>
          <w:szCs w:val="22"/>
          <w:lang w:val="en-US"/>
        </w:rPr>
        <w:t xml:space="preserve">have caused extensive </w:t>
      </w:r>
      <w:r w:rsidR="00FE436C" w:rsidRPr="0084570B">
        <w:rPr>
          <w:rFonts w:ascii="Times New Roman" w:eastAsia="Times New Roman" w:hAnsi="Times New Roman" w:cs="Times New Roman"/>
          <w:sz w:val="22"/>
          <w:szCs w:val="22"/>
          <w:lang w:val="en-US"/>
        </w:rPr>
        <w:t xml:space="preserve">mantle degassing and </w:t>
      </w:r>
      <w:r w:rsidR="00D77238" w:rsidRPr="0084570B">
        <w:rPr>
          <w:rFonts w:ascii="Times New Roman" w:eastAsia="Times New Roman" w:hAnsi="Times New Roman" w:cs="Times New Roman"/>
          <w:sz w:val="22"/>
          <w:szCs w:val="22"/>
          <w:lang w:val="en-US"/>
        </w:rPr>
        <w:t xml:space="preserve">volatile loss. </w:t>
      </w:r>
      <w:r w:rsidR="00D77238" w:rsidRPr="0084570B">
        <w:rPr>
          <w:rFonts w:ascii="Times New Roman" w:eastAsia="Times New Roman" w:hAnsi="Times New Roman" w:cs="Times New Roman"/>
          <w:b/>
          <w:sz w:val="22"/>
          <w:szCs w:val="22"/>
          <w:lang w:val="en-US"/>
        </w:rPr>
        <w:t>(c)</w:t>
      </w:r>
      <w:r w:rsidR="00D77238" w:rsidRPr="0084570B">
        <w:rPr>
          <w:rFonts w:ascii="Times New Roman" w:eastAsia="Times New Roman" w:hAnsi="Times New Roman" w:cs="Times New Roman"/>
          <w:sz w:val="22"/>
          <w:szCs w:val="22"/>
          <w:lang w:val="en-US"/>
        </w:rPr>
        <w:t xml:space="preserve"> Following the giant impact, an early (Hadean) crust would have formed rapidly</w:t>
      </w:r>
      <w:r w:rsidR="00F476AF" w:rsidRPr="0084570B">
        <w:rPr>
          <w:rFonts w:ascii="Times New Roman" w:eastAsia="Times New Roman" w:hAnsi="Times New Roman" w:cs="Times New Roman"/>
          <w:sz w:val="22"/>
          <w:szCs w:val="22"/>
          <w:lang w:val="en-US"/>
        </w:rPr>
        <w:t xml:space="preserve"> (</w:t>
      </w:r>
      <w:r w:rsidR="00F476AF" w:rsidRPr="0084570B">
        <w:rPr>
          <w:rFonts w:ascii="Times New Roman" w:eastAsia="Times New Roman" w:hAnsi="Times New Roman" w:cs="Times New Roman"/>
          <w:b/>
          <w:sz w:val="22"/>
          <w:szCs w:val="22"/>
          <w:lang w:val="en-US"/>
        </w:rPr>
        <w:t>Figure S12, curve B</w:t>
      </w:r>
      <w:r w:rsidR="00F476AF" w:rsidRPr="0084570B">
        <w:rPr>
          <w:rFonts w:ascii="Times New Roman" w:eastAsia="Times New Roman" w:hAnsi="Times New Roman" w:cs="Times New Roman"/>
          <w:sz w:val="22"/>
          <w:szCs w:val="22"/>
          <w:lang w:val="en-US"/>
        </w:rPr>
        <w:t>)</w:t>
      </w:r>
      <w:r w:rsidR="00D77238" w:rsidRPr="0084570B">
        <w:rPr>
          <w:rFonts w:ascii="Times New Roman" w:eastAsia="Times New Roman" w:hAnsi="Times New Roman" w:cs="Times New Roman"/>
          <w:sz w:val="22"/>
          <w:szCs w:val="22"/>
          <w:lang w:val="en-US"/>
        </w:rPr>
        <w:t>, thereby concentrating most of the incompatible elements at Earth's surface</w:t>
      </w:r>
      <w:r w:rsidR="00D77238" w:rsidRPr="0084570B">
        <w:rPr>
          <w:rFonts w:ascii="Times New Roman" w:hAnsi="Times New Roman" w:cs="Times New Roman"/>
          <w:sz w:val="22"/>
          <w:szCs w:val="22"/>
          <w:lang w:val="en-US"/>
        </w:rPr>
        <w:t xml:space="preserve">. As dictated by Nd isotope systematics in Archean mantle and crust samples, this Hadean crust would have been </w:t>
      </w:r>
      <w:r w:rsidR="00D77238" w:rsidRPr="0084570B">
        <w:rPr>
          <w:rFonts w:ascii="Times New Roman" w:eastAsia="Times New Roman" w:hAnsi="Times New Roman" w:cs="Times New Roman"/>
          <w:sz w:val="22"/>
          <w:szCs w:val="22"/>
          <w:lang w:val="en-US"/>
        </w:rPr>
        <w:t xml:space="preserve">preserved (although extensively reworked and recycled) on the timescale of up to ~1 Gyr. </w:t>
      </w:r>
      <w:r w:rsidR="00D77238" w:rsidRPr="0084570B">
        <w:rPr>
          <w:rFonts w:ascii="Times New Roman" w:eastAsia="Times New Roman" w:hAnsi="Times New Roman" w:cs="Times New Roman"/>
          <w:b/>
          <w:sz w:val="22"/>
          <w:szCs w:val="22"/>
          <w:lang w:val="en-US"/>
        </w:rPr>
        <w:t>(d)</w:t>
      </w:r>
      <w:r w:rsidR="00D77238" w:rsidRPr="0084570B">
        <w:rPr>
          <w:rFonts w:ascii="Times New Roman" w:eastAsia="Times New Roman" w:hAnsi="Times New Roman" w:cs="Times New Roman"/>
          <w:sz w:val="22"/>
          <w:szCs w:val="22"/>
          <w:lang w:val="en-US"/>
        </w:rPr>
        <w:t xml:space="preserve"> The onset of efficient incompatible element recycling within the solid Earth would only have been made possible by the emergence of modern-style "cold" subduction, long after Pu had become extinct, around 3 Gyr ago</w:t>
      </w:r>
      <w:r w:rsidR="00D77238" w:rsidRPr="0084570B">
        <w:rPr>
          <w:rFonts w:ascii="Times New Roman" w:eastAsia="Times New Roman" w:hAnsi="Times New Roman" w:cs="Times New Roman"/>
          <w:sz w:val="22"/>
          <w:szCs w:val="22"/>
          <w:lang w:val="en-US"/>
        </w:rPr>
        <w:fldChar w:fldCharType="begin" w:fldLock="1"/>
      </w:r>
      <w:r w:rsidR="003376B3">
        <w:rPr>
          <w:rFonts w:ascii="Times New Roman" w:eastAsia="Times New Roman" w:hAnsi="Times New Roman" w:cs="Times New Roman"/>
          <w:sz w:val="22"/>
          <w:szCs w:val="22"/>
          <w:lang w:val="en-US"/>
        </w:rPr>
        <w:instrText>ADDIN CSL_CITATION {"citationItems":[{"id":"ITEM-1","itemData":{"DOI":"10.1016/j.earscirev.2020.103172","ISSN":"00128252","abstract":"The Earth as a planetary system has experienced significant change since its formation c. 4.54 Gyr ago. Some of these changes have been gradual, such as secular cooling of the mantle, and some have been abrupt, such as the rapid increase in free oxygen in the atmosphere at the Archean–Proterozoic transition. Many of these changes have directly affected tectonic processes on Earth and are manifest by temporal trends within the sedimentary, igneous, and metamorphic rock record. Indeed, the timing of global onset of mobile-lid (subduction-driven) plate tectonics on our planet remains one of the fundamental points of debate within the geosciences today, and constraining the age and cause of this transition has profound implications for understanding our own planet's long-term evolution, and that for other rocky bodies in our solar system. Interpretations based on various sources of evidence have led different authors to propose a very wide range of ages for the onset of subduction-driven tectonics, which span almost all of Earth history from the Hadean to the Neoproterozoic, with this uncertainty stemming from the varying reliability of different proxies. Here, we review evidence for paleo-subduction preserved within the geological record, with a focus on metamorphic rocks and the geodynamic information that can be derived from them. First, we describe the different types of tectonic/geodynamic regimes that may occur on Earth or any other silicate body, and then review different models for the thermal evolution of the Earth and the geodynamic conditions necessary for plate tectonics to stabilize on a rocky planet. The community's current understanding of the petrology and structure of Archean and Proterozoic oceanic and continental crust is then discussed in comparison with modern-day equivalents, including how and why they differ. We then summarize evidence for the operation of subduction through time, including petrological (metamorphic), tectonic, and geochemical/isotopic data, and the results of petrological and geodynamical modeling. The styles of metamorphism in the Archean are then examined and we discuss how the secular distribution of metamorphic rock types can inform the type of geodynamic regime that operated at any point in time. In conclusion, we argue that most independent observations from the geological record and results of lithospheric-scale geodynamic modeling support a global-scale initiation of plate tectonics no later than c. 3 Ga, jus…","author":[{"dropping-particle":"","family":"Palin","given":"Richard M.","non-dropping-particle":"","parse-names":false,"suffix":""},{"dropping-particle":"","family":"Santosh","given":"M.","non-dropping-particle":"","parse-names":false,"suffix":""},{"dropping-particle":"","family":"Cao","given":"Wentao","non-dropping-particle":"","parse-names":false,"suffix":""},{"dropping-particle":"","family":"Li","given":"Shan Shan","non-dropping-particle":"","parse-names":false,"suffix":""},{"dropping-particle":"","family":"Hernández-Uribe","given":"David","non-dropping-particle":"","parse-names":false,"suffix":""},{"dropping-particle":"","family":"Parsons","given":"Andrew","non-dropping-particle":"","parse-names":false,"suffix":""}],"container-title":"Earth-Science Reviews","id":"ITEM-1","issue":"December 2019","issued":{"date-parts":[["2020"]]},"page":"103172","publisher":"Elsevier","title":"Secular change and the onset of plate tectonics on Earth","type":"article-journal","volume":"207"},"uris":["http://www.mendeley.com/documents/?uuid=04b76708-5e93-4deb-bb1a-49e70e88c772"]}],"mendeley":{"formattedCitation":"&lt;sup&gt;146&lt;/sup&gt;","plainTextFormattedCitation":"146","previouslyFormattedCitation":"&lt;sup&gt;146&lt;/sup&gt;"},"properties":{"noteIndex":0},"schema":"https://github.com/citation-style-language/schema/raw/master/csl-citation.json"}</w:instrText>
      </w:r>
      <w:r w:rsidR="00D77238" w:rsidRPr="0084570B">
        <w:rPr>
          <w:rFonts w:ascii="Times New Roman" w:eastAsia="Times New Roman" w:hAnsi="Times New Roman" w:cs="Times New Roman"/>
          <w:sz w:val="22"/>
          <w:szCs w:val="22"/>
          <w:lang w:val="en-US"/>
        </w:rPr>
        <w:fldChar w:fldCharType="separate"/>
      </w:r>
      <w:r w:rsidR="00253A47" w:rsidRPr="00253A47">
        <w:rPr>
          <w:rFonts w:ascii="Times New Roman" w:eastAsia="Times New Roman" w:hAnsi="Times New Roman" w:cs="Times New Roman"/>
          <w:noProof/>
          <w:sz w:val="22"/>
          <w:szCs w:val="22"/>
          <w:vertAlign w:val="superscript"/>
          <w:lang w:val="en-US"/>
        </w:rPr>
        <w:t>146</w:t>
      </w:r>
      <w:r w:rsidR="00D77238" w:rsidRPr="0084570B">
        <w:rPr>
          <w:rFonts w:ascii="Times New Roman" w:eastAsia="Times New Roman" w:hAnsi="Times New Roman" w:cs="Times New Roman"/>
          <w:sz w:val="22"/>
          <w:szCs w:val="22"/>
          <w:lang w:val="en-US"/>
        </w:rPr>
        <w:fldChar w:fldCharType="end"/>
      </w:r>
      <w:r w:rsidR="00D77238" w:rsidRPr="0084570B">
        <w:rPr>
          <w:rFonts w:ascii="Times New Roman" w:eastAsia="Times New Roman" w:hAnsi="Times New Roman" w:cs="Times New Roman"/>
          <w:sz w:val="22"/>
          <w:szCs w:val="22"/>
          <w:lang w:val="en-US"/>
        </w:rPr>
        <w:t xml:space="preserve">. </w:t>
      </w:r>
      <w:r w:rsidR="00D77238" w:rsidRPr="0084570B">
        <w:rPr>
          <w:rFonts w:ascii="Times New Roman" w:hAnsi="Times New Roman" w:cs="Times New Roman"/>
          <w:sz w:val="22"/>
          <w:szCs w:val="22"/>
          <w:lang w:val="en-US"/>
        </w:rPr>
        <w:t xml:space="preserve">The protracted </w:t>
      </w:r>
      <w:r w:rsidR="00D77238" w:rsidRPr="0084570B">
        <w:rPr>
          <w:rFonts w:ascii="Times New Roman" w:eastAsia="Times New Roman" w:hAnsi="Times New Roman" w:cs="Times New Roman"/>
          <w:sz w:val="22"/>
          <w:szCs w:val="22"/>
          <w:lang w:val="en-US"/>
        </w:rPr>
        <w:t>oxidation of Earth's surface then</w:t>
      </w:r>
      <w:r w:rsidR="00D77238" w:rsidRPr="0084570B">
        <w:rPr>
          <w:rFonts w:ascii="Times New Roman" w:hAnsi="Times New Roman" w:cs="Times New Roman"/>
          <w:sz w:val="22"/>
          <w:szCs w:val="22"/>
          <w:lang w:val="en-US"/>
        </w:rPr>
        <w:t xml:space="preserve"> caused a significant </w:t>
      </w:r>
      <w:r w:rsidR="00D77238" w:rsidRPr="0084570B">
        <w:rPr>
          <w:rFonts w:ascii="Times New Roman" w:eastAsia="Times New Roman" w:hAnsi="Times New Roman" w:cs="Times New Roman"/>
          <w:sz w:val="22"/>
          <w:szCs w:val="22"/>
          <w:lang w:val="en-US"/>
        </w:rPr>
        <w:t>change in the predominant surface oxidation state of U, which became soluble within oxidizing environments at the Earth's surface, t</w:t>
      </w:r>
      <w:r w:rsidR="00273185" w:rsidRPr="0084570B">
        <w:rPr>
          <w:rFonts w:ascii="Times New Roman" w:eastAsia="Times New Roman" w:hAnsi="Times New Roman" w:cs="Times New Roman"/>
          <w:sz w:val="22"/>
          <w:szCs w:val="22"/>
          <w:lang w:val="en-US"/>
        </w:rPr>
        <w:t>hus facilitating its transport</w:t>
      </w:r>
      <w:r w:rsidR="00D77238" w:rsidRPr="0084570B">
        <w:rPr>
          <w:rFonts w:ascii="Times New Roman" w:eastAsia="Times New Roman" w:hAnsi="Times New Roman" w:cs="Times New Roman"/>
          <w:sz w:val="22"/>
          <w:szCs w:val="22"/>
          <w:lang w:val="en-US"/>
        </w:rPr>
        <w:t xml:space="preserve"> from continents to the altered oceanic crust and ultimately, by subduction, back into the mantle</w:t>
      </w:r>
      <w:r w:rsidR="00D77238" w:rsidRPr="0084570B">
        <w:rPr>
          <w:rFonts w:ascii="Times New Roman" w:eastAsia="Times New Roman" w:hAnsi="Times New Roman" w:cs="Times New Roman"/>
          <w:sz w:val="22"/>
          <w:szCs w:val="22"/>
          <w:lang w:val="en-US"/>
        </w:rPr>
        <w:fldChar w:fldCharType="begin" w:fldLock="1"/>
      </w:r>
      <w:r w:rsidR="00DD29E3">
        <w:rPr>
          <w:rFonts w:ascii="Times New Roman" w:eastAsia="Times New Roman" w:hAnsi="Times New Roman" w:cs="Times New Roman"/>
          <w:sz w:val="22"/>
          <w:szCs w:val="22"/>
          <w:lang w:val="en-US"/>
        </w:rPr>
        <w:instrText>ADDIN CSL_CITATION {"citationItems":[{"id":"ITEM-1","itemData":{"DOI":"10.1130/G30852.1","ISSN":"00917613","abstract":"The Earth's mantle is divided into separate reservoirs. From basaltic lavas erupted today we know that the upper mantle is depleted in incompatible trace elements, whereas ocean island basalts (OIB) sample a deep, more enriched reservoir. The two incompatible elements potassium (K) and uranium (U) display a different ratio to each other in lavas from the upper and lower mantle reservoirs. This is surprising because they do not fractionate substantially during melting of the mantle and therefore continuous extraction of melts from the upper mantle over Earth's history cannot explain this disparity. Here a model is constructed in which U is insoluble during continental weathering in the anoxic conditions of the early Earth. This leads to recycling of oceanic crust with high K/U in the early Earth and low K/U after significant oxidative weathering commenced ca. 2200 Ma. This concept reproduces the observed K/U in both the upper and lower mantle reservoirs as well as the continental crust. The model is also shown to account for the thorium/uranium ratios and thereby Pb (lead) isotope compositions in these reservoirs. Successful model solutions imply that (1) chemical weathering fluxes to the oceans on the early Earth were significantly higher than present day, and (2) that the majority of the OIB reservoir is younger than 2200 Ma. © 2010 Geological Society of America.","author":[{"dropping-particle":"","family":"Nielsen","given":"Sune G.","non-dropping-particle":"","parse-names":false,"suffix":""}],"container-title":"Geology","id":"ITEM-1","issue":"8","issued":{"date-parts":[["2010"]]},"page":"683-686","title":"Potassium and uranium in the upper mantle controlled by Archean oceanic crust recycling","type":"article-journal","volume":"38"},"uris":["http://www.mendeley.com/documents/?uuid=2456df3d-8109-45c6-be72-eea79a0be734"]}],"mendeley":{"formattedCitation":"&lt;sup&gt;47&lt;/sup&gt;","plainTextFormattedCitation":"47","previouslyFormattedCitation":"&lt;sup&gt;47&lt;/sup&gt;"},"properties":{"noteIndex":0},"schema":"https://github.com/citation-style-language/schema/raw/master/csl-citation.json"}</w:instrText>
      </w:r>
      <w:r w:rsidR="00D77238" w:rsidRPr="0084570B">
        <w:rPr>
          <w:rFonts w:ascii="Times New Roman" w:eastAsia="Times New Roman" w:hAnsi="Times New Roman" w:cs="Times New Roman"/>
          <w:sz w:val="22"/>
          <w:szCs w:val="22"/>
          <w:lang w:val="en-US"/>
        </w:rPr>
        <w:fldChar w:fldCharType="separate"/>
      </w:r>
      <w:r w:rsidR="00937986" w:rsidRPr="0084570B">
        <w:rPr>
          <w:rFonts w:ascii="Times New Roman" w:eastAsia="Times New Roman" w:hAnsi="Times New Roman" w:cs="Times New Roman"/>
          <w:noProof/>
          <w:sz w:val="22"/>
          <w:szCs w:val="22"/>
          <w:vertAlign w:val="superscript"/>
          <w:lang w:val="en-US"/>
        </w:rPr>
        <w:t>47</w:t>
      </w:r>
      <w:r w:rsidR="00D77238" w:rsidRPr="0084570B">
        <w:rPr>
          <w:rFonts w:ascii="Times New Roman" w:eastAsia="Times New Roman" w:hAnsi="Times New Roman" w:cs="Times New Roman"/>
          <w:sz w:val="22"/>
          <w:szCs w:val="22"/>
          <w:lang w:val="en-US"/>
        </w:rPr>
        <w:fldChar w:fldCharType="end"/>
      </w:r>
      <w:r w:rsidR="00D77238" w:rsidRPr="0084570B">
        <w:rPr>
          <w:rFonts w:ascii="Times New Roman" w:eastAsia="Times New Roman" w:hAnsi="Times New Roman" w:cs="Times New Roman"/>
          <w:sz w:val="22"/>
          <w:szCs w:val="22"/>
          <w:lang w:val="en-US"/>
        </w:rPr>
        <w:t>.</w:t>
      </w:r>
    </w:p>
    <w:sectPr w:rsidR="0023375E" w:rsidRPr="00360EB0" w:rsidSect="00360EB0">
      <w:pgSz w:w="11900" w:h="16840"/>
      <w:pgMar w:top="1417" w:right="1417" w:bottom="1417" w:left="1417" w:header="708" w:footer="708" w:gutter="0"/>
      <w:lnNumType w:countBy="1" w:restart="continuous"/>
      <w:pgNumType w:start="3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DC3740" w14:textId="77777777" w:rsidR="008549F7" w:rsidRDefault="008549F7" w:rsidP="001305DE">
      <w:r>
        <w:separator/>
      </w:r>
    </w:p>
  </w:endnote>
  <w:endnote w:type="continuationSeparator" w:id="0">
    <w:p w14:paraId="3D0EE28B" w14:textId="77777777" w:rsidR="008549F7" w:rsidRDefault="008549F7" w:rsidP="00130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Gungsuh">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TIXGeneral-Regular">
    <w:altName w:val="STIXGeneral"/>
    <w:panose1 w:val="00000000000000000000"/>
    <w:charset w:val="00"/>
    <w:family w:val="auto"/>
    <w:notTrueType/>
    <w:pitch w:val="variable"/>
    <w:sig w:usb0="A00002FF" w:usb1="4203FDFF" w:usb2="02000020" w:usb3="00000000" w:csb0="8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EF90C" w14:textId="77777777" w:rsidR="00D64E23" w:rsidRDefault="00D64E23" w:rsidP="00FA2E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5B6F6F" w14:textId="77777777" w:rsidR="00D64E23" w:rsidRDefault="00D64E23" w:rsidP="00FA2EC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E0C8D" w14:textId="59600326" w:rsidR="00D64E23" w:rsidRDefault="00D64E23" w:rsidP="00FA2E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376B3">
      <w:rPr>
        <w:rStyle w:val="PageNumber"/>
        <w:noProof/>
      </w:rPr>
      <w:t>60</w:t>
    </w:r>
    <w:r>
      <w:rPr>
        <w:rStyle w:val="PageNumber"/>
      </w:rPr>
      <w:fldChar w:fldCharType="end"/>
    </w:r>
  </w:p>
  <w:p w14:paraId="6B442F78" w14:textId="77777777" w:rsidR="00D64E23" w:rsidRDefault="00D64E23" w:rsidP="00FA2EC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904CFA" w14:textId="77777777" w:rsidR="008549F7" w:rsidRDefault="008549F7" w:rsidP="001305DE">
      <w:r>
        <w:separator/>
      </w:r>
    </w:p>
  </w:footnote>
  <w:footnote w:type="continuationSeparator" w:id="0">
    <w:p w14:paraId="2B60AB45" w14:textId="77777777" w:rsidR="008549F7" w:rsidRDefault="008549F7" w:rsidP="001305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B1EE6"/>
    <w:multiLevelType w:val="multilevel"/>
    <w:tmpl w:val="770C96C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73A654B"/>
    <w:multiLevelType w:val="multilevel"/>
    <w:tmpl w:val="5AF4DE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4424944"/>
    <w:multiLevelType w:val="multilevel"/>
    <w:tmpl w:val="F000FA5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EC16B14"/>
    <w:multiLevelType w:val="multilevel"/>
    <w:tmpl w:val="770C96C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EBB6829"/>
    <w:multiLevelType w:val="multilevel"/>
    <w:tmpl w:val="770C96C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0287"/>
    <w:rsid w:val="000003F5"/>
    <w:rsid w:val="0000042E"/>
    <w:rsid w:val="00001DC7"/>
    <w:rsid w:val="000056E9"/>
    <w:rsid w:val="00006344"/>
    <w:rsid w:val="00006BE2"/>
    <w:rsid w:val="00006C6D"/>
    <w:rsid w:val="00010424"/>
    <w:rsid w:val="000105B9"/>
    <w:rsid w:val="00010732"/>
    <w:rsid w:val="0001124A"/>
    <w:rsid w:val="00011D5E"/>
    <w:rsid w:val="00012017"/>
    <w:rsid w:val="000126C8"/>
    <w:rsid w:val="00013091"/>
    <w:rsid w:val="0001340F"/>
    <w:rsid w:val="00013460"/>
    <w:rsid w:val="0001478D"/>
    <w:rsid w:val="00014C82"/>
    <w:rsid w:val="00014DD9"/>
    <w:rsid w:val="0001630C"/>
    <w:rsid w:val="0001737B"/>
    <w:rsid w:val="000175E5"/>
    <w:rsid w:val="00017B49"/>
    <w:rsid w:val="00021992"/>
    <w:rsid w:val="00021E4B"/>
    <w:rsid w:val="000222F8"/>
    <w:rsid w:val="000232CB"/>
    <w:rsid w:val="000232E8"/>
    <w:rsid w:val="000235A5"/>
    <w:rsid w:val="0002387D"/>
    <w:rsid w:val="00024486"/>
    <w:rsid w:val="00024E94"/>
    <w:rsid w:val="00025C56"/>
    <w:rsid w:val="000301BD"/>
    <w:rsid w:val="00030359"/>
    <w:rsid w:val="00032545"/>
    <w:rsid w:val="00032ACB"/>
    <w:rsid w:val="00036E23"/>
    <w:rsid w:val="00040A5E"/>
    <w:rsid w:val="00040A9D"/>
    <w:rsid w:val="000410A5"/>
    <w:rsid w:val="00042136"/>
    <w:rsid w:val="0004548D"/>
    <w:rsid w:val="00045EAD"/>
    <w:rsid w:val="00051DBC"/>
    <w:rsid w:val="000520B4"/>
    <w:rsid w:val="0005291A"/>
    <w:rsid w:val="000534B6"/>
    <w:rsid w:val="00054D0A"/>
    <w:rsid w:val="000553E5"/>
    <w:rsid w:val="00055C94"/>
    <w:rsid w:val="00055F7C"/>
    <w:rsid w:val="000607A6"/>
    <w:rsid w:val="00060D52"/>
    <w:rsid w:val="0006396F"/>
    <w:rsid w:val="00064201"/>
    <w:rsid w:val="00066027"/>
    <w:rsid w:val="0006696C"/>
    <w:rsid w:val="00066D4B"/>
    <w:rsid w:val="00070A10"/>
    <w:rsid w:val="00071224"/>
    <w:rsid w:val="0007138A"/>
    <w:rsid w:val="0007470B"/>
    <w:rsid w:val="000772EC"/>
    <w:rsid w:val="00077829"/>
    <w:rsid w:val="00077C8F"/>
    <w:rsid w:val="00080A40"/>
    <w:rsid w:val="000821FB"/>
    <w:rsid w:val="000840CA"/>
    <w:rsid w:val="000849FC"/>
    <w:rsid w:val="000866EA"/>
    <w:rsid w:val="0009205D"/>
    <w:rsid w:val="00093D46"/>
    <w:rsid w:val="00094BEF"/>
    <w:rsid w:val="0009561D"/>
    <w:rsid w:val="00096113"/>
    <w:rsid w:val="000A003E"/>
    <w:rsid w:val="000A2393"/>
    <w:rsid w:val="000A3332"/>
    <w:rsid w:val="000A36D8"/>
    <w:rsid w:val="000A45D0"/>
    <w:rsid w:val="000A4860"/>
    <w:rsid w:val="000A4AC3"/>
    <w:rsid w:val="000A5110"/>
    <w:rsid w:val="000A5292"/>
    <w:rsid w:val="000A5CE5"/>
    <w:rsid w:val="000A5DD2"/>
    <w:rsid w:val="000B0660"/>
    <w:rsid w:val="000B1D84"/>
    <w:rsid w:val="000B21A8"/>
    <w:rsid w:val="000B31C3"/>
    <w:rsid w:val="000B6178"/>
    <w:rsid w:val="000B64C6"/>
    <w:rsid w:val="000B782E"/>
    <w:rsid w:val="000C00AD"/>
    <w:rsid w:val="000C1A0B"/>
    <w:rsid w:val="000C1BF5"/>
    <w:rsid w:val="000C27D6"/>
    <w:rsid w:val="000C3B20"/>
    <w:rsid w:val="000C4723"/>
    <w:rsid w:val="000C4B3A"/>
    <w:rsid w:val="000C4BB4"/>
    <w:rsid w:val="000C530B"/>
    <w:rsid w:val="000C64DE"/>
    <w:rsid w:val="000C7466"/>
    <w:rsid w:val="000C77B9"/>
    <w:rsid w:val="000C7DEF"/>
    <w:rsid w:val="000D0043"/>
    <w:rsid w:val="000D19F2"/>
    <w:rsid w:val="000D1F6C"/>
    <w:rsid w:val="000D30A1"/>
    <w:rsid w:val="000D3FFD"/>
    <w:rsid w:val="000E0E1D"/>
    <w:rsid w:val="000E0E2B"/>
    <w:rsid w:val="000E1362"/>
    <w:rsid w:val="000E16DA"/>
    <w:rsid w:val="000E1AC5"/>
    <w:rsid w:val="000E256F"/>
    <w:rsid w:val="000E3CE8"/>
    <w:rsid w:val="000E665D"/>
    <w:rsid w:val="000E6FD4"/>
    <w:rsid w:val="000F0657"/>
    <w:rsid w:val="000F0C9E"/>
    <w:rsid w:val="000F28AB"/>
    <w:rsid w:val="000F6CF9"/>
    <w:rsid w:val="000F6F6B"/>
    <w:rsid w:val="000F75C9"/>
    <w:rsid w:val="00100D51"/>
    <w:rsid w:val="00101277"/>
    <w:rsid w:val="001045C4"/>
    <w:rsid w:val="001057E2"/>
    <w:rsid w:val="00105FFE"/>
    <w:rsid w:val="00106169"/>
    <w:rsid w:val="001076F8"/>
    <w:rsid w:val="00110981"/>
    <w:rsid w:val="00111AF6"/>
    <w:rsid w:val="0011200C"/>
    <w:rsid w:val="0011525F"/>
    <w:rsid w:val="001166D8"/>
    <w:rsid w:val="00117524"/>
    <w:rsid w:val="00121894"/>
    <w:rsid w:val="0012449B"/>
    <w:rsid w:val="00124A4D"/>
    <w:rsid w:val="00124DCB"/>
    <w:rsid w:val="0012694E"/>
    <w:rsid w:val="00126BE9"/>
    <w:rsid w:val="001304C9"/>
    <w:rsid w:val="001305DE"/>
    <w:rsid w:val="001315A5"/>
    <w:rsid w:val="00135D36"/>
    <w:rsid w:val="00136157"/>
    <w:rsid w:val="001374CD"/>
    <w:rsid w:val="00142263"/>
    <w:rsid w:val="00144CFF"/>
    <w:rsid w:val="00145292"/>
    <w:rsid w:val="00146CE0"/>
    <w:rsid w:val="0015140D"/>
    <w:rsid w:val="00151E5A"/>
    <w:rsid w:val="0015200B"/>
    <w:rsid w:val="001525B2"/>
    <w:rsid w:val="00153193"/>
    <w:rsid w:val="00153357"/>
    <w:rsid w:val="00154832"/>
    <w:rsid w:val="00155E7B"/>
    <w:rsid w:val="0015673C"/>
    <w:rsid w:val="00157792"/>
    <w:rsid w:val="00157C57"/>
    <w:rsid w:val="00160332"/>
    <w:rsid w:val="00161432"/>
    <w:rsid w:val="00161A54"/>
    <w:rsid w:val="00165339"/>
    <w:rsid w:val="0016566D"/>
    <w:rsid w:val="00166C0C"/>
    <w:rsid w:val="00167CEE"/>
    <w:rsid w:val="0017046A"/>
    <w:rsid w:val="00174775"/>
    <w:rsid w:val="001773C3"/>
    <w:rsid w:val="001812F5"/>
    <w:rsid w:val="00181A13"/>
    <w:rsid w:val="00182614"/>
    <w:rsid w:val="00182DDA"/>
    <w:rsid w:val="00184EB9"/>
    <w:rsid w:val="00185595"/>
    <w:rsid w:val="00187C96"/>
    <w:rsid w:val="001914C6"/>
    <w:rsid w:val="00191A71"/>
    <w:rsid w:val="00192F46"/>
    <w:rsid w:val="0019301B"/>
    <w:rsid w:val="00194E94"/>
    <w:rsid w:val="00195FC3"/>
    <w:rsid w:val="0019641C"/>
    <w:rsid w:val="001978F6"/>
    <w:rsid w:val="001A0F0C"/>
    <w:rsid w:val="001A139F"/>
    <w:rsid w:val="001A3A9A"/>
    <w:rsid w:val="001A479D"/>
    <w:rsid w:val="001A4ABD"/>
    <w:rsid w:val="001A5E04"/>
    <w:rsid w:val="001A60B8"/>
    <w:rsid w:val="001A64C6"/>
    <w:rsid w:val="001A6E33"/>
    <w:rsid w:val="001B1B45"/>
    <w:rsid w:val="001B216F"/>
    <w:rsid w:val="001B5576"/>
    <w:rsid w:val="001B63D5"/>
    <w:rsid w:val="001B6955"/>
    <w:rsid w:val="001B695C"/>
    <w:rsid w:val="001B70F9"/>
    <w:rsid w:val="001C35A3"/>
    <w:rsid w:val="001C4222"/>
    <w:rsid w:val="001C43FE"/>
    <w:rsid w:val="001C506F"/>
    <w:rsid w:val="001D176C"/>
    <w:rsid w:val="001D2676"/>
    <w:rsid w:val="001D2EF5"/>
    <w:rsid w:val="001D3962"/>
    <w:rsid w:val="001D3D32"/>
    <w:rsid w:val="001D47FA"/>
    <w:rsid w:val="001D55C2"/>
    <w:rsid w:val="001D6891"/>
    <w:rsid w:val="001D7056"/>
    <w:rsid w:val="001E064E"/>
    <w:rsid w:val="001E104A"/>
    <w:rsid w:val="001E16FD"/>
    <w:rsid w:val="001E19D3"/>
    <w:rsid w:val="001E2B0C"/>
    <w:rsid w:val="001E4477"/>
    <w:rsid w:val="001E4BF7"/>
    <w:rsid w:val="001F0002"/>
    <w:rsid w:val="001F13CF"/>
    <w:rsid w:val="001F1924"/>
    <w:rsid w:val="001F211B"/>
    <w:rsid w:val="001F2C76"/>
    <w:rsid w:val="001F38E4"/>
    <w:rsid w:val="001F5E4E"/>
    <w:rsid w:val="001F6A9E"/>
    <w:rsid w:val="001F6EA2"/>
    <w:rsid w:val="001F6F9B"/>
    <w:rsid w:val="002003E9"/>
    <w:rsid w:val="0020088F"/>
    <w:rsid w:val="00210526"/>
    <w:rsid w:val="00210BFD"/>
    <w:rsid w:val="00211644"/>
    <w:rsid w:val="00211B3F"/>
    <w:rsid w:val="00212922"/>
    <w:rsid w:val="00216948"/>
    <w:rsid w:val="002179DC"/>
    <w:rsid w:val="002208B7"/>
    <w:rsid w:val="002213BB"/>
    <w:rsid w:val="00221699"/>
    <w:rsid w:val="002216E6"/>
    <w:rsid w:val="00222D83"/>
    <w:rsid w:val="00223821"/>
    <w:rsid w:val="00223C22"/>
    <w:rsid w:val="00224767"/>
    <w:rsid w:val="00224FFD"/>
    <w:rsid w:val="00225064"/>
    <w:rsid w:val="002250C7"/>
    <w:rsid w:val="00225107"/>
    <w:rsid w:val="002266FB"/>
    <w:rsid w:val="00227D18"/>
    <w:rsid w:val="00230741"/>
    <w:rsid w:val="0023200B"/>
    <w:rsid w:val="002331B6"/>
    <w:rsid w:val="0023375E"/>
    <w:rsid w:val="002338F8"/>
    <w:rsid w:val="00233C91"/>
    <w:rsid w:val="0023530D"/>
    <w:rsid w:val="00240645"/>
    <w:rsid w:val="002445A3"/>
    <w:rsid w:val="002459B7"/>
    <w:rsid w:val="00245CFB"/>
    <w:rsid w:val="00245E62"/>
    <w:rsid w:val="00251734"/>
    <w:rsid w:val="002531B5"/>
    <w:rsid w:val="00253459"/>
    <w:rsid w:val="0025379F"/>
    <w:rsid w:val="00253A47"/>
    <w:rsid w:val="00254384"/>
    <w:rsid w:val="002544CF"/>
    <w:rsid w:val="002551DB"/>
    <w:rsid w:val="00257D38"/>
    <w:rsid w:val="002607CD"/>
    <w:rsid w:val="00260D8A"/>
    <w:rsid w:val="00260FCD"/>
    <w:rsid w:val="00264676"/>
    <w:rsid w:val="00264B22"/>
    <w:rsid w:val="00265BDB"/>
    <w:rsid w:val="00266210"/>
    <w:rsid w:val="00266C86"/>
    <w:rsid w:val="0026799B"/>
    <w:rsid w:val="002702D2"/>
    <w:rsid w:val="00270976"/>
    <w:rsid w:val="0027147D"/>
    <w:rsid w:val="00271A6F"/>
    <w:rsid w:val="00271C95"/>
    <w:rsid w:val="00273185"/>
    <w:rsid w:val="00274E89"/>
    <w:rsid w:val="002753FD"/>
    <w:rsid w:val="00275AF3"/>
    <w:rsid w:val="00280425"/>
    <w:rsid w:val="00280ABD"/>
    <w:rsid w:val="00280CA0"/>
    <w:rsid w:val="0028106E"/>
    <w:rsid w:val="00282FAB"/>
    <w:rsid w:val="002836AE"/>
    <w:rsid w:val="0028470A"/>
    <w:rsid w:val="00286255"/>
    <w:rsid w:val="00287421"/>
    <w:rsid w:val="00290855"/>
    <w:rsid w:val="00290A03"/>
    <w:rsid w:val="00290A2A"/>
    <w:rsid w:val="002951E9"/>
    <w:rsid w:val="002A046C"/>
    <w:rsid w:val="002A0650"/>
    <w:rsid w:val="002A0657"/>
    <w:rsid w:val="002A0C38"/>
    <w:rsid w:val="002A15CC"/>
    <w:rsid w:val="002A3255"/>
    <w:rsid w:val="002A4D27"/>
    <w:rsid w:val="002A657A"/>
    <w:rsid w:val="002A7E68"/>
    <w:rsid w:val="002B31C3"/>
    <w:rsid w:val="002B50D5"/>
    <w:rsid w:val="002B6733"/>
    <w:rsid w:val="002B6A26"/>
    <w:rsid w:val="002C0677"/>
    <w:rsid w:val="002C1359"/>
    <w:rsid w:val="002C334B"/>
    <w:rsid w:val="002C4747"/>
    <w:rsid w:val="002C5169"/>
    <w:rsid w:val="002C6075"/>
    <w:rsid w:val="002C6583"/>
    <w:rsid w:val="002C7153"/>
    <w:rsid w:val="002D0CC4"/>
    <w:rsid w:val="002D2536"/>
    <w:rsid w:val="002D4F4C"/>
    <w:rsid w:val="002D5735"/>
    <w:rsid w:val="002D5C02"/>
    <w:rsid w:val="002D6208"/>
    <w:rsid w:val="002D7528"/>
    <w:rsid w:val="002D7A2B"/>
    <w:rsid w:val="002E3507"/>
    <w:rsid w:val="002E454C"/>
    <w:rsid w:val="002E6006"/>
    <w:rsid w:val="002E63E8"/>
    <w:rsid w:val="002E78A3"/>
    <w:rsid w:val="002F0658"/>
    <w:rsid w:val="002F236B"/>
    <w:rsid w:val="002F4CEE"/>
    <w:rsid w:val="002F5424"/>
    <w:rsid w:val="002F59B9"/>
    <w:rsid w:val="002F6810"/>
    <w:rsid w:val="002F6F87"/>
    <w:rsid w:val="002F7EAD"/>
    <w:rsid w:val="00300070"/>
    <w:rsid w:val="00301129"/>
    <w:rsid w:val="0030128E"/>
    <w:rsid w:val="003027FE"/>
    <w:rsid w:val="00303A63"/>
    <w:rsid w:val="003055CE"/>
    <w:rsid w:val="00306F41"/>
    <w:rsid w:val="003123BF"/>
    <w:rsid w:val="00313337"/>
    <w:rsid w:val="00314CFA"/>
    <w:rsid w:val="0031786B"/>
    <w:rsid w:val="00317AA7"/>
    <w:rsid w:val="00321C5A"/>
    <w:rsid w:val="003242D6"/>
    <w:rsid w:val="00324D8E"/>
    <w:rsid w:val="00327118"/>
    <w:rsid w:val="0032776B"/>
    <w:rsid w:val="00330B11"/>
    <w:rsid w:val="00330D61"/>
    <w:rsid w:val="003311D1"/>
    <w:rsid w:val="00331EA1"/>
    <w:rsid w:val="00332966"/>
    <w:rsid w:val="00332C69"/>
    <w:rsid w:val="003335AF"/>
    <w:rsid w:val="003351E3"/>
    <w:rsid w:val="003353D4"/>
    <w:rsid w:val="00335A69"/>
    <w:rsid w:val="00335D16"/>
    <w:rsid w:val="003376B3"/>
    <w:rsid w:val="00340324"/>
    <w:rsid w:val="00340F98"/>
    <w:rsid w:val="003422E1"/>
    <w:rsid w:val="003431AC"/>
    <w:rsid w:val="00343D83"/>
    <w:rsid w:val="003441A0"/>
    <w:rsid w:val="003461EA"/>
    <w:rsid w:val="003467F3"/>
    <w:rsid w:val="003473A1"/>
    <w:rsid w:val="003474FE"/>
    <w:rsid w:val="00347D74"/>
    <w:rsid w:val="00352508"/>
    <w:rsid w:val="0035373E"/>
    <w:rsid w:val="00353E2F"/>
    <w:rsid w:val="00355636"/>
    <w:rsid w:val="00355D0B"/>
    <w:rsid w:val="003609A4"/>
    <w:rsid w:val="00360EB0"/>
    <w:rsid w:val="003612DA"/>
    <w:rsid w:val="003612FC"/>
    <w:rsid w:val="0036318D"/>
    <w:rsid w:val="003644DE"/>
    <w:rsid w:val="0037192C"/>
    <w:rsid w:val="00372A00"/>
    <w:rsid w:val="00373C01"/>
    <w:rsid w:val="003744E8"/>
    <w:rsid w:val="00375486"/>
    <w:rsid w:val="0037642A"/>
    <w:rsid w:val="0037688F"/>
    <w:rsid w:val="0037744D"/>
    <w:rsid w:val="00380C85"/>
    <w:rsid w:val="00380D16"/>
    <w:rsid w:val="003818BC"/>
    <w:rsid w:val="00381FF3"/>
    <w:rsid w:val="00382DD0"/>
    <w:rsid w:val="00383B4E"/>
    <w:rsid w:val="00384A2B"/>
    <w:rsid w:val="00385B89"/>
    <w:rsid w:val="003874D1"/>
    <w:rsid w:val="00387822"/>
    <w:rsid w:val="0039062D"/>
    <w:rsid w:val="00392E67"/>
    <w:rsid w:val="00394959"/>
    <w:rsid w:val="0039632D"/>
    <w:rsid w:val="0039688A"/>
    <w:rsid w:val="003A0165"/>
    <w:rsid w:val="003A0CAB"/>
    <w:rsid w:val="003A2127"/>
    <w:rsid w:val="003A25F1"/>
    <w:rsid w:val="003A28C3"/>
    <w:rsid w:val="003A2B02"/>
    <w:rsid w:val="003A4001"/>
    <w:rsid w:val="003A44C5"/>
    <w:rsid w:val="003A4EBE"/>
    <w:rsid w:val="003A652E"/>
    <w:rsid w:val="003A6D28"/>
    <w:rsid w:val="003A7CE1"/>
    <w:rsid w:val="003B1DAE"/>
    <w:rsid w:val="003B29AD"/>
    <w:rsid w:val="003B3399"/>
    <w:rsid w:val="003B38C3"/>
    <w:rsid w:val="003B4475"/>
    <w:rsid w:val="003B48C3"/>
    <w:rsid w:val="003B4AC3"/>
    <w:rsid w:val="003B5539"/>
    <w:rsid w:val="003B720A"/>
    <w:rsid w:val="003C080D"/>
    <w:rsid w:val="003C486E"/>
    <w:rsid w:val="003C7040"/>
    <w:rsid w:val="003C758F"/>
    <w:rsid w:val="003C7E5B"/>
    <w:rsid w:val="003D0826"/>
    <w:rsid w:val="003D12B4"/>
    <w:rsid w:val="003D15F0"/>
    <w:rsid w:val="003D1793"/>
    <w:rsid w:val="003D2CCD"/>
    <w:rsid w:val="003D32DA"/>
    <w:rsid w:val="003D59CA"/>
    <w:rsid w:val="003D5BEB"/>
    <w:rsid w:val="003D5DC6"/>
    <w:rsid w:val="003D6560"/>
    <w:rsid w:val="003D672D"/>
    <w:rsid w:val="003D75E2"/>
    <w:rsid w:val="003E27B9"/>
    <w:rsid w:val="003E2DD5"/>
    <w:rsid w:val="003E3302"/>
    <w:rsid w:val="003E3A2E"/>
    <w:rsid w:val="003E45F7"/>
    <w:rsid w:val="003E5D26"/>
    <w:rsid w:val="003E6236"/>
    <w:rsid w:val="003E63B7"/>
    <w:rsid w:val="003E7ABF"/>
    <w:rsid w:val="003F027C"/>
    <w:rsid w:val="003F0B84"/>
    <w:rsid w:val="003F2C44"/>
    <w:rsid w:val="003F43A7"/>
    <w:rsid w:val="003F45B8"/>
    <w:rsid w:val="003F5DB4"/>
    <w:rsid w:val="003F6311"/>
    <w:rsid w:val="003F78A5"/>
    <w:rsid w:val="004006A3"/>
    <w:rsid w:val="0040108A"/>
    <w:rsid w:val="00401740"/>
    <w:rsid w:val="00401E16"/>
    <w:rsid w:val="0040203D"/>
    <w:rsid w:val="0040269B"/>
    <w:rsid w:val="00404045"/>
    <w:rsid w:val="00404709"/>
    <w:rsid w:val="00405C7C"/>
    <w:rsid w:val="00405F87"/>
    <w:rsid w:val="00407EBA"/>
    <w:rsid w:val="00410D98"/>
    <w:rsid w:val="00411659"/>
    <w:rsid w:val="00412889"/>
    <w:rsid w:val="004142C2"/>
    <w:rsid w:val="00415309"/>
    <w:rsid w:val="00415682"/>
    <w:rsid w:val="00415AA2"/>
    <w:rsid w:val="00417040"/>
    <w:rsid w:val="00420E33"/>
    <w:rsid w:val="0042256B"/>
    <w:rsid w:val="00422E8B"/>
    <w:rsid w:val="00423DBC"/>
    <w:rsid w:val="004245AF"/>
    <w:rsid w:val="00425FCA"/>
    <w:rsid w:val="004265C2"/>
    <w:rsid w:val="004323A0"/>
    <w:rsid w:val="004324C3"/>
    <w:rsid w:val="00432575"/>
    <w:rsid w:val="00433680"/>
    <w:rsid w:val="00434870"/>
    <w:rsid w:val="00435512"/>
    <w:rsid w:val="00435D32"/>
    <w:rsid w:val="00437A81"/>
    <w:rsid w:val="0044317B"/>
    <w:rsid w:val="0044508F"/>
    <w:rsid w:val="0044704F"/>
    <w:rsid w:val="00450533"/>
    <w:rsid w:val="004555D3"/>
    <w:rsid w:val="00456D0B"/>
    <w:rsid w:val="00457EA6"/>
    <w:rsid w:val="004621CD"/>
    <w:rsid w:val="004631FB"/>
    <w:rsid w:val="00464883"/>
    <w:rsid w:val="004669BB"/>
    <w:rsid w:val="004702A0"/>
    <w:rsid w:val="004724E5"/>
    <w:rsid w:val="00472863"/>
    <w:rsid w:val="00472BE5"/>
    <w:rsid w:val="00473D3D"/>
    <w:rsid w:val="00474E61"/>
    <w:rsid w:val="004752DE"/>
    <w:rsid w:val="00475A5F"/>
    <w:rsid w:val="004773F7"/>
    <w:rsid w:val="00480026"/>
    <w:rsid w:val="00481A4C"/>
    <w:rsid w:val="00481D2E"/>
    <w:rsid w:val="0048235E"/>
    <w:rsid w:val="00483138"/>
    <w:rsid w:val="00485150"/>
    <w:rsid w:val="0048531A"/>
    <w:rsid w:val="00485735"/>
    <w:rsid w:val="00490742"/>
    <w:rsid w:val="00490E9C"/>
    <w:rsid w:val="00491157"/>
    <w:rsid w:val="00491E27"/>
    <w:rsid w:val="00491F21"/>
    <w:rsid w:val="00495599"/>
    <w:rsid w:val="00495C22"/>
    <w:rsid w:val="00495EF3"/>
    <w:rsid w:val="00497737"/>
    <w:rsid w:val="004A1B9B"/>
    <w:rsid w:val="004A22D1"/>
    <w:rsid w:val="004A35D0"/>
    <w:rsid w:val="004A3E8A"/>
    <w:rsid w:val="004A417F"/>
    <w:rsid w:val="004A4290"/>
    <w:rsid w:val="004A46A9"/>
    <w:rsid w:val="004A5DD7"/>
    <w:rsid w:val="004A6ED9"/>
    <w:rsid w:val="004B3367"/>
    <w:rsid w:val="004B398D"/>
    <w:rsid w:val="004B4DE1"/>
    <w:rsid w:val="004B51C6"/>
    <w:rsid w:val="004B5364"/>
    <w:rsid w:val="004B6094"/>
    <w:rsid w:val="004B6590"/>
    <w:rsid w:val="004C067D"/>
    <w:rsid w:val="004C1BAA"/>
    <w:rsid w:val="004C6022"/>
    <w:rsid w:val="004C6059"/>
    <w:rsid w:val="004C6473"/>
    <w:rsid w:val="004C6AE5"/>
    <w:rsid w:val="004D40FA"/>
    <w:rsid w:val="004D5899"/>
    <w:rsid w:val="004D5F86"/>
    <w:rsid w:val="004D7034"/>
    <w:rsid w:val="004D715C"/>
    <w:rsid w:val="004D72EB"/>
    <w:rsid w:val="004D79BE"/>
    <w:rsid w:val="004E18A4"/>
    <w:rsid w:val="004E1FF3"/>
    <w:rsid w:val="004E2076"/>
    <w:rsid w:val="004E2840"/>
    <w:rsid w:val="004E427F"/>
    <w:rsid w:val="004E50E9"/>
    <w:rsid w:val="004E5465"/>
    <w:rsid w:val="004E564A"/>
    <w:rsid w:val="004E6205"/>
    <w:rsid w:val="004F02A9"/>
    <w:rsid w:val="004F11EC"/>
    <w:rsid w:val="004F3AFE"/>
    <w:rsid w:val="004F4D1D"/>
    <w:rsid w:val="004F5666"/>
    <w:rsid w:val="004F78C2"/>
    <w:rsid w:val="004F7C00"/>
    <w:rsid w:val="0050060C"/>
    <w:rsid w:val="00500783"/>
    <w:rsid w:val="00501B0B"/>
    <w:rsid w:val="0050264E"/>
    <w:rsid w:val="00502F42"/>
    <w:rsid w:val="0050445E"/>
    <w:rsid w:val="00505224"/>
    <w:rsid w:val="0050590F"/>
    <w:rsid w:val="00506204"/>
    <w:rsid w:val="00507CE4"/>
    <w:rsid w:val="00507F82"/>
    <w:rsid w:val="00510D83"/>
    <w:rsid w:val="00516A45"/>
    <w:rsid w:val="005171AF"/>
    <w:rsid w:val="00521105"/>
    <w:rsid w:val="00521889"/>
    <w:rsid w:val="005228BC"/>
    <w:rsid w:val="005231FD"/>
    <w:rsid w:val="00523C42"/>
    <w:rsid w:val="0052421A"/>
    <w:rsid w:val="00524D84"/>
    <w:rsid w:val="00526267"/>
    <w:rsid w:val="005302F3"/>
    <w:rsid w:val="00530C2E"/>
    <w:rsid w:val="00533F5E"/>
    <w:rsid w:val="00534101"/>
    <w:rsid w:val="00534A56"/>
    <w:rsid w:val="00535301"/>
    <w:rsid w:val="00541738"/>
    <w:rsid w:val="005426A6"/>
    <w:rsid w:val="00543748"/>
    <w:rsid w:val="00543D1A"/>
    <w:rsid w:val="00545AEE"/>
    <w:rsid w:val="00546E95"/>
    <w:rsid w:val="00550287"/>
    <w:rsid w:val="00555335"/>
    <w:rsid w:val="00555CC7"/>
    <w:rsid w:val="0055639A"/>
    <w:rsid w:val="00556B58"/>
    <w:rsid w:val="0056172D"/>
    <w:rsid w:val="0056174C"/>
    <w:rsid w:val="00561FD7"/>
    <w:rsid w:val="005633E6"/>
    <w:rsid w:val="00563BDD"/>
    <w:rsid w:val="00566596"/>
    <w:rsid w:val="005669C8"/>
    <w:rsid w:val="00566A58"/>
    <w:rsid w:val="00567A64"/>
    <w:rsid w:val="00570F2E"/>
    <w:rsid w:val="00571BBA"/>
    <w:rsid w:val="00571E9D"/>
    <w:rsid w:val="00572AFF"/>
    <w:rsid w:val="00572FED"/>
    <w:rsid w:val="00573013"/>
    <w:rsid w:val="00575D16"/>
    <w:rsid w:val="00576E8C"/>
    <w:rsid w:val="005772BE"/>
    <w:rsid w:val="0058139C"/>
    <w:rsid w:val="00583987"/>
    <w:rsid w:val="005845F9"/>
    <w:rsid w:val="00587435"/>
    <w:rsid w:val="00590878"/>
    <w:rsid w:val="00592B05"/>
    <w:rsid w:val="00593BB1"/>
    <w:rsid w:val="00593E4C"/>
    <w:rsid w:val="00595CD0"/>
    <w:rsid w:val="005A392A"/>
    <w:rsid w:val="005A411A"/>
    <w:rsid w:val="005A4AEB"/>
    <w:rsid w:val="005A69F8"/>
    <w:rsid w:val="005A6B67"/>
    <w:rsid w:val="005A7082"/>
    <w:rsid w:val="005A72D4"/>
    <w:rsid w:val="005A76B3"/>
    <w:rsid w:val="005A7AB1"/>
    <w:rsid w:val="005B01CA"/>
    <w:rsid w:val="005B1FF5"/>
    <w:rsid w:val="005B69FA"/>
    <w:rsid w:val="005C05FC"/>
    <w:rsid w:val="005C27EC"/>
    <w:rsid w:val="005C33BE"/>
    <w:rsid w:val="005C40EC"/>
    <w:rsid w:val="005C58E1"/>
    <w:rsid w:val="005C65B7"/>
    <w:rsid w:val="005C6798"/>
    <w:rsid w:val="005C6A52"/>
    <w:rsid w:val="005C6FD2"/>
    <w:rsid w:val="005C74C3"/>
    <w:rsid w:val="005C7AD5"/>
    <w:rsid w:val="005D0706"/>
    <w:rsid w:val="005D1385"/>
    <w:rsid w:val="005D1D01"/>
    <w:rsid w:val="005D2410"/>
    <w:rsid w:val="005D4F20"/>
    <w:rsid w:val="005E0490"/>
    <w:rsid w:val="005E0BD3"/>
    <w:rsid w:val="005E0CDC"/>
    <w:rsid w:val="005E1122"/>
    <w:rsid w:val="005E30F4"/>
    <w:rsid w:val="005E3CE8"/>
    <w:rsid w:val="005E3DA2"/>
    <w:rsid w:val="005E4840"/>
    <w:rsid w:val="005E7573"/>
    <w:rsid w:val="005F0410"/>
    <w:rsid w:val="005F10B7"/>
    <w:rsid w:val="005F1547"/>
    <w:rsid w:val="005F278F"/>
    <w:rsid w:val="005F29C0"/>
    <w:rsid w:val="005F3004"/>
    <w:rsid w:val="005F3198"/>
    <w:rsid w:val="005F448E"/>
    <w:rsid w:val="005F4EFB"/>
    <w:rsid w:val="005F5BA2"/>
    <w:rsid w:val="005F74D2"/>
    <w:rsid w:val="005F7551"/>
    <w:rsid w:val="006012F5"/>
    <w:rsid w:val="00601C4A"/>
    <w:rsid w:val="00601F55"/>
    <w:rsid w:val="00601F69"/>
    <w:rsid w:val="00602585"/>
    <w:rsid w:val="00605C85"/>
    <w:rsid w:val="00607177"/>
    <w:rsid w:val="00610BCC"/>
    <w:rsid w:val="00611370"/>
    <w:rsid w:val="00613466"/>
    <w:rsid w:val="00613A39"/>
    <w:rsid w:val="00614A46"/>
    <w:rsid w:val="006158D8"/>
    <w:rsid w:val="00615F70"/>
    <w:rsid w:val="0062074A"/>
    <w:rsid w:val="00621CDD"/>
    <w:rsid w:val="00621E63"/>
    <w:rsid w:val="006244FB"/>
    <w:rsid w:val="006253A3"/>
    <w:rsid w:val="00625889"/>
    <w:rsid w:val="00625DF7"/>
    <w:rsid w:val="00626F39"/>
    <w:rsid w:val="00630D92"/>
    <w:rsid w:val="00630F0B"/>
    <w:rsid w:val="00634D26"/>
    <w:rsid w:val="00635C8D"/>
    <w:rsid w:val="006366B2"/>
    <w:rsid w:val="0064024A"/>
    <w:rsid w:val="00640738"/>
    <w:rsid w:val="006411E5"/>
    <w:rsid w:val="006424E1"/>
    <w:rsid w:val="0064281D"/>
    <w:rsid w:val="0064315C"/>
    <w:rsid w:val="00645B6B"/>
    <w:rsid w:val="00645E96"/>
    <w:rsid w:val="0064651D"/>
    <w:rsid w:val="00646E33"/>
    <w:rsid w:val="006473BC"/>
    <w:rsid w:val="00647615"/>
    <w:rsid w:val="00652887"/>
    <w:rsid w:val="0065389D"/>
    <w:rsid w:val="0065395C"/>
    <w:rsid w:val="00654145"/>
    <w:rsid w:val="00654888"/>
    <w:rsid w:val="006557B7"/>
    <w:rsid w:val="00655B0F"/>
    <w:rsid w:val="00656550"/>
    <w:rsid w:val="0066141B"/>
    <w:rsid w:val="00661C81"/>
    <w:rsid w:val="006622B9"/>
    <w:rsid w:val="00662986"/>
    <w:rsid w:val="006639B8"/>
    <w:rsid w:val="00663C5C"/>
    <w:rsid w:val="00664BF9"/>
    <w:rsid w:val="0066532F"/>
    <w:rsid w:val="006655E5"/>
    <w:rsid w:val="00665A71"/>
    <w:rsid w:val="00667D00"/>
    <w:rsid w:val="006700CE"/>
    <w:rsid w:val="00670C58"/>
    <w:rsid w:val="0067125E"/>
    <w:rsid w:val="006719BA"/>
    <w:rsid w:val="00671E5B"/>
    <w:rsid w:val="00672D31"/>
    <w:rsid w:val="00673B95"/>
    <w:rsid w:val="00673D4C"/>
    <w:rsid w:val="00674991"/>
    <w:rsid w:val="00675B67"/>
    <w:rsid w:val="00677D22"/>
    <w:rsid w:val="006801A8"/>
    <w:rsid w:val="00681CC8"/>
    <w:rsid w:val="00681D10"/>
    <w:rsid w:val="006829AA"/>
    <w:rsid w:val="00682E6C"/>
    <w:rsid w:val="006837B1"/>
    <w:rsid w:val="006857F5"/>
    <w:rsid w:val="006918BD"/>
    <w:rsid w:val="00691942"/>
    <w:rsid w:val="00692C63"/>
    <w:rsid w:val="00692EC8"/>
    <w:rsid w:val="00694E20"/>
    <w:rsid w:val="0069516F"/>
    <w:rsid w:val="00695A7A"/>
    <w:rsid w:val="00695F3B"/>
    <w:rsid w:val="00697340"/>
    <w:rsid w:val="00697401"/>
    <w:rsid w:val="006A0384"/>
    <w:rsid w:val="006A040E"/>
    <w:rsid w:val="006A0EF4"/>
    <w:rsid w:val="006A1D50"/>
    <w:rsid w:val="006A2471"/>
    <w:rsid w:val="006A2B1B"/>
    <w:rsid w:val="006A30A2"/>
    <w:rsid w:val="006A357B"/>
    <w:rsid w:val="006A377B"/>
    <w:rsid w:val="006A47F1"/>
    <w:rsid w:val="006A5D2E"/>
    <w:rsid w:val="006A5E31"/>
    <w:rsid w:val="006A7103"/>
    <w:rsid w:val="006B03D1"/>
    <w:rsid w:val="006B0D5F"/>
    <w:rsid w:val="006B235D"/>
    <w:rsid w:val="006B2663"/>
    <w:rsid w:val="006B3DB1"/>
    <w:rsid w:val="006B474F"/>
    <w:rsid w:val="006B57D9"/>
    <w:rsid w:val="006B5DCA"/>
    <w:rsid w:val="006B7AB8"/>
    <w:rsid w:val="006B7BCF"/>
    <w:rsid w:val="006C0436"/>
    <w:rsid w:val="006C08DD"/>
    <w:rsid w:val="006C146E"/>
    <w:rsid w:val="006C1F66"/>
    <w:rsid w:val="006C2FF6"/>
    <w:rsid w:val="006C5866"/>
    <w:rsid w:val="006C6285"/>
    <w:rsid w:val="006C6F4D"/>
    <w:rsid w:val="006D03F5"/>
    <w:rsid w:val="006D0982"/>
    <w:rsid w:val="006D1220"/>
    <w:rsid w:val="006D3EF6"/>
    <w:rsid w:val="006D410C"/>
    <w:rsid w:val="006D4356"/>
    <w:rsid w:val="006D5131"/>
    <w:rsid w:val="006D5950"/>
    <w:rsid w:val="006D7DC1"/>
    <w:rsid w:val="006E0123"/>
    <w:rsid w:val="006E0D22"/>
    <w:rsid w:val="006E1A46"/>
    <w:rsid w:val="006E27F6"/>
    <w:rsid w:val="006E3178"/>
    <w:rsid w:val="006E4B6F"/>
    <w:rsid w:val="006E751F"/>
    <w:rsid w:val="006E7F44"/>
    <w:rsid w:val="006F0265"/>
    <w:rsid w:val="006F1AF6"/>
    <w:rsid w:val="006F1C1A"/>
    <w:rsid w:val="006F2B87"/>
    <w:rsid w:val="006F5853"/>
    <w:rsid w:val="006F5AB6"/>
    <w:rsid w:val="006F5D38"/>
    <w:rsid w:val="006F61EE"/>
    <w:rsid w:val="006F6968"/>
    <w:rsid w:val="006F6F8D"/>
    <w:rsid w:val="006F7EF7"/>
    <w:rsid w:val="006F7FD1"/>
    <w:rsid w:val="00700261"/>
    <w:rsid w:val="00702A4E"/>
    <w:rsid w:val="00703E6E"/>
    <w:rsid w:val="00704FCA"/>
    <w:rsid w:val="00705A32"/>
    <w:rsid w:val="00706936"/>
    <w:rsid w:val="00706A76"/>
    <w:rsid w:val="00711365"/>
    <w:rsid w:val="00713796"/>
    <w:rsid w:val="0071494D"/>
    <w:rsid w:val="00716C22"/>
    <w:rsid w:val="00716CE4"/>
    <w:rsid w:val="00720771"/>
    <w:rsid w:val="007209F0"/>
    <w:rsid w:val="00720C88"/>
    <w:rsid w:val="00720CD1"/>
    <w:rsid w:val="00722D5D"/>
    <w:rsid w:val="007237F5"/>
    <w:rsid w:val="00723933"/>
    <w:rsid w:val="007239AC"/>
    <w:rsid w:val="00723B1C"/>
    <w:rsid w:val="00725232"/>
    <w:rsid w:val="007265E1"/>
    <w:rsid w:val="00727A1B"/>
    <w:rsid w:val="00731E3D"/>
    <w:rsid w:val="00734A04"/>
    <w:rsid w:val="00734AA4"/>
    <w:rsid w:val="00734D32"/>
    <w:rsid w:val="00736AF1"/>
    <w:rsid w:val="00741065"/>
    <w:rsid w:val="007410B4"/>
    <w:rsid w:val="0074303D"/>
    <w:rsid w:val="0074365B"/>
    <w:rsid w:val="00744A2F"/>
    <w:rsid w:val="00744F4B"/>
    <w:rsid w:val="00746D79"/>
    <w:rsid w:val="00747D49"/>
    <w:rsid w:val="00750E61"/>
    <w:rsid w:val="007515B2"/>
    <w:rsid w:val="007529BA"/>
    <w:rsid w:val="00755013"/>
    <w:rsid w:val="007557AD"/>
    <w:rsid w:val="00757C9F"/>
    <w:rsid w:val="00757DCE"/>
    <w:rsid w:val="00760B46"/>
    <w:rsid w:val="00760E90"/>
    <w:rsid w:val="00762811"/>
    <w:rsid w:val="00763435"/>
    <w:rsid w:val="007648BF"/>
    <w:rsid w:val="0076492A"/>
    <w:rsid w:val="00766A49"/>
    <w:rsid w:val="00766D51"/>
    <w:rsid w:val="00766DDA"/>
    <w:rsid w:val="00771323"/>
    <w:rsid w:val="00771630"/>
    <w:rsid w:val="00772C53"/>
    <w:rsid w:val="007730CE"/>
    <w:rsid w:val="00773319"/>
    <w:rsid w:val="00773913"/>
    <w:rsid w:val="00773AF1"/>
    <w:rsid w:val="00773EE6"/>
    <w:rsid w:val="007822C5"/>
    <w:rsid w:val="00783FD2"/>
    <w:rsid w:val="0078684D"/>
    <w:rsid w:val="00787F0C"/>
    <w:rsid w:val="00790FC0"/>
    <w:rsid w:val="00791BD2"/>
    <w:rsid w:val="00795049"/>
    <w:rsid w:val="0079505A"/>
    <w:rsid w:val="00797A88"/>
    <w:rsid w:val="00797D34"/>
    <w:rsid w:val="007A160C"/>
    <w:rsid w:val="007A2817"/>
    <w:rsid w:val="007A2F21"/>
    <w:rsid w:val="007A3C13"/>
    <w:rsid w:val="007A3D07"/>
    <w:rsid w:val="007A4AC2"/>
    <w:rsid w:val="007A6732"/>
    <w:rsid w:val="007A757C"/>
    <w:rsid w:val="007B066A"/>
    <w:rsid w:val="007B16D0"/>
    <w:rsid w:val="007B2113"/>
    <w:rsid w:val="007B2461"/>
    <w:rsid w:val="007B254B"/>
    <w:rsid w:val="007B2956"/>
    <w:rsid w:val="007B379E"/>
    <w:rsid w:val="007B3852"/>
    <w:rsid w:val="007B3CDA"/>
    <w:rsid w:val="007B3FD3"/>
    <w:rsid w:val="007B55F8"/>
    <w:rsid w:val="007B5E6F"/>
    <w:rsid w:val="007B727D"/>
    <w:rsid w:val="007B7E63"/>
    <w:rsid w:val="007C0A67"/>
    <w:rsid w:val="007C1C92"/>
    <w:rsid w:val="007C3CB5"/>
    <w:rsid w:val="007C3D1D"/>
    <w:rsid w:val="007C3E74"/>
    <w:rsid w:val="007C597E"/>
    <w:rsid w:val="007C787C"/>
    <w:rsid w:val="007C7B8B"/>
    <w:rsid w:val="007D0BFE"/>
    <w:rsid w:val="007D25A6"/>
    <w:rsid w:val="007D3BCF"/>
    <w:rsid w:val="007D42FB"/>
    <w:rsid w:val="007D494F"/>
    <w:rsid w:val="007D5303"/>
    <w:rsid w:val="007D5963"/>
    <w:rsid w:val="007D6CEA"/>
    <w:rsid w:val="007E335D"/>
    <w:rsid w:val="007E35D4"/>
    <w:rsid w:val="007E450D"/>
    <w:rsid w:val="007E5866"/>
    <w:rsid w:val="007F0C4F"/>
    <w:rsid w:val="007F0E6B"/>
    <w:rsid w:val="007F3941"/>
    <w:rsid w:val="007F3CC8"/>
    <w:rsid w:val="007F4DBE"/>
    <w:rsid w:val="007F62EF"/>
    <w:rsid w:val="007F6CD4"/>
    <w:rsid w:val="008019EA"/>
    <w:rsid w:val="008078B1"/>
    <w:rsid w:val="00810E0A"/>
    <w:rsid w:val="008120DE"/>
    <w:rsid w:val="00812E06"/>
    <w:rsid w:val="00813373"/>
    <w:rsid w:val="0081392F"/>
    <w:rsid w:val="0081477F"/>
    <w:rsid w:val="008151C3"/>
    <w:rsid w:val="00816845"/>
    <w:rsid w:val="0081787F"/>
    <w:rsid w:val="008178AD"/>
    <w:rsid w:val="008229BD"/>
    <w:rsid w:val="00823A21"/>
    <w:rsid w:val="0082448E"/>
    <w:rsid w:val="00825318"/>
    <w:rsid w:val="008259BE"/>
    <w:rsid w:val="008272DE"/>
    <w:rsid w:val="00830911"/>
    <w:rsid w:val="00830929"/>
    <w:rsid w:val="00830D7E"/>
    <w:rsid w:val="008319E8"/>
    <w:rsid w:val="008324CC"/>
    <w:rsid w:val="00832649"/>
    <w:rsid w:val="0083291C"/>
    <w:rsid w:val="008331D5"/>
    <w:rsid w:val="00834D34"/>
    <w:rsid w:val="00835D0B"/>
    <w:rsid w:val="00836BE8"/>
    <w:rsid w:val="00840EDE"/>
    <w:rsid w:val="00841B3B"/>
    <w:rsid w:val="0084483A"/>
    <w:rsid w:val="00845499"/>
    <w:rsid w:val="0084570B"/>
    <w:rsid w:val="00845A96"/>
    <w:rsid w:val="00845C95"/>
    <w:rsid w:val="0084613C"/>
    <w:rsid w:val="008472CF"/>
    <w:rsid w:val="00847FA2"/>
    <w:rsid w:val="00854897"/>
    <w:rsid w:val="008549F7"/>
    <w:rsid w:val="00854FEF"/>
    <w:rsid w:val="008560A0"/>
    <w:rsid w:val="00856EB2"/>
    <w:rsid w:val="00856F54"/>
    <w:rsid w:val="008602C1"/>
    <w:rsid w:val="00860F52"/>
    <w:rsid w:val="00863DC5"/>
    <w:rsid w:val="008668EF"/>
    <w:rsid w:val="0087044C"/>
    <w:rsid w:val="008709F7"/>
    <w:rsid w:val="00872992"/>
    <w:rsid w:val="00873EF7"/>
    <w:rsid w:val="008747E2"/>
    <w:rsid w:val="0087699A"/>
    <w:rsid w:val="008808DD"/>
    <w:rsid w:val="00883FB8"/>
    <w:rsid w:val="008840BB"/>
    <w:rsid w:val="008846D3"/>
    <w:rsid w:val="00885C0B"/>
    <w:rsid w:val="00886F9A"/>
    <w:rsid w:val="0088704A"/>
    <w:rsid w:val="00887C1D"/>
    <w:rsid w:val="00890925"/>
    <w:rsid w:val="0089106A"/>
    <w:rsid w:val="00891468"/>
    <w:rsid w:val="00891932"/>
    <w:rsid w:val="00891FC7"/>
    <w:rsid w:val="008933AE"/>
    <w:rsid w:val="0089356F"/>
    <w:rsid w:val="00893954"/>
    <w:rsid w:val="00893B28"/>
    <w:rsid w:val="00893E30"/>
    <w:rsid w:val="008943E2"/>
    <w:rsid w:val="008945EC"/>
    <w:rsid w:val="008948FB"/>
    <w:rsid w:val="00894FBD"/>
    <w:rsid w:val="008A010F"/>
    <w:rsid w:val="008A0BD1"/>
    <w:rsid w:val="008A7430"/>
    <w:rsid w:val="008A7886"/>
    <w:rsid w:val="008B0AF7"/>
    <w:rsid w:val="008B338A"/>
    <w:rsid w:val="008B4776"/>
    <w:rsid w:val="008B4EC0"/>
    <w:rsid w:val="008B5476"/>
    <w:rsid w:val="008B5ADF"/>
    <w:rsid w:val="008B5ECF"/>
    <w:rsid w:val="008B6A79"/>
    <w:rsid w:val="008B6B98"/>
    <w:rsid w:val="008C0F13"/>
    <w:rsid w:val="008C1201"/>
    <w:rsid w:val="008C5835"/>
    <w:rsid w:val="008C7B0F"/>
    <w:rsid w:val="008D2043"/>
    <w:rsid w:val="008D21A6"/>
    <w:rsid w:val="008D377B"/>
    <w:rsid w:val="008D4091"/>
    <w:rsid w:val="008D57C3"/>
    <w:rsid w:val="008D7146"/>
    <w:rsid w:val="008D761A"/>
    <w:rsid w:val="008E2340"/>
    <w:rsid w:val="008E46C4"/>
    <w:rsid w:val="008E521D"/>
    <w:rsid w:val="008E6676"/>
    <w:rsid w:val="008E68FA"/>
    <w:rsid w:val="008F1251"/>
    <w:rsid w:val="008F23D5"/>
    <w:rsid w:val="008F3005"/>
    <w:rsid w:val="008F3903"/>
    <w:rsid w:val="008F4413"/>
    <w:rsid w:val="008F481F"/>
    <w:rsid w:val="008F65FA"/>
    <w:rsid w:val="008F7ADF"/>
    <w:rsid w:val="00901BE7"/>
    <w:rsid w:val="009031C3"/>
    <w:rsid w:val="00905725"/>
    <w:rsid w:val="009102EB"/>
    <w:rsid w:val="0091190B"/>
    <w:rsid w:val="00911982"/>
    <w:rsid w:val="00911CFB"/>
    <w:rsid w:val="00912ED2"/>
    <w:rsid w:val="009130CB"/>
    <w:rsid w:val="00913426"/>
    <w:rsid w:val="00913EED"/>
    <w:rsid w:val="00916458"/>
    <w:rsid w:val="00917B3E"/>
    <w:rsid w:val="00917FB6"/>
    <w:rsid w:val="009208E5"/>
    <w:rsid w:val="00922ADB"/>
    <w:rsid w:val="00923138"/>
    <w:rsid w:val="00926833"/>
    <w:rsid w:val="00927C11"/>
    <w:rsid w:val="009307C0"/>
    <w:rsid w:val="00931BF9"/>
    <w:rsid w:val="00932A9A"/>
    <w:rsid w:val="00932BA6"/>
    <w:rsid w:val="009335AC"/>
    <w:rsid w:val="009335B2"/>
    <w:rsid w:val="009349F9"/>
    <w:rsid w:val="00934EFB"/>
    <w:rsid w:val="00937986"/>
    <w:rsid w:val="009379DE"/>
    <w:rsid w:val="00942FCD"/>
    <w:rsid w:val="009430DD"/>
    <w:rsid w:val="009461A0"/>
    <w:rsid w:val="0095083B"/>
    <w:rsid w:val="009509AE"/>
    <w:rsid w:val="0095162A"/>
    <w:rsid w:val="00952CB1"/>
    <w:rsid w:val="00952EE5"/>
    <w:rsid w:val="00953F8F"/>
    <w:rsid w:val="0095634A"/>
    <w:rsid w:val="009575A2"/>
    <w:rsid w:val="00957B5E"/>
    <w:rsid w:val="009612E8"/>
    <w:rsid w:val="00964453"/>
    <w:rsid w:val="00964B1D"/>
    <w:rsid w:val="009651F1"/>
    <w:rsid w:val="00966D44"/>
    <w:rsid w:val="0097003F"/>
    <w:rsid w:val="009701FF"/>
    <w:rsid w:val="0097053D"/>
    <w:rsid w:val="009729D4"/>
    <w:rsid w:val="00972A89"/>
    <w:rsid w:val="0097360E"/>
    <w:rsid w:val="00973D17"/>
    <w:rsid w:val="00974073"/>
    <w:rsid w:val="00975A58"/>
    <w:rsid w:val="00976190"/>
    <w:rsid w:val="00977882"/>
    <w:rsid w:val="00981465"/>
    <w:rsid w:val="009829FF"/>
    <w:rsid w:val="00982B35"/>
    <w:rsid w:val="00982F8B"/>
    <w:rsid w:val="0098446A"/>
    <w:rsid w:val="00984988"/>
    <w:rsid w:val="009874E3"/>
    <w:rsid w:val="00987E42"/>
    <w:rsid w:val="009902DA"/>
    <w:rsid w:val="009916EF"/>
    <w:rsid w:val="009927F2"/>
    <w:rsid w:val="00992D4B"/>
    <w:rsid w:val="00992E78"/>
    <w:rsid w:val="00994332"/>
    <w:rsid w:val="0099472C"/>
    <w:rsid w:val="0099713E"/>
    <w:rsid w:val="009978DA"/>
    <w:rsid w:val="009A0891"/>
    <w:rsid w:val="009A136E"/>
    <w:rsid w:val="009A196B"/>
    <w:rsid w:val="009A199B"/>
    <w:rsid w:val="009A1E08"/>
    <w:rsid w:val="009A1EA9"/>
    <w:rsid w:val="009A3E1C"/>
    <w:rsid w:val="009A45A0"/>
    <w:rsid w:val="009A47C4"/>
    <w:rsid w:val="009A4F88"/>
    <w:rsid w:val="009A62F2"/>
    <w:rsid w:val="009A744A"/>
    <w:rsid w:val="009A74E5"/>
    <w:rsid w:val="009A7CDC"/>
    <w:rsid w:val="009B0142"/>
    <w:rsid w:val="009B0E3B"/>
    <w:rsid w:val="009B0EB2"/>
    <w:rsid w:val="009B25A4"/>
    <w:rsid w:val="009B3A3F"/>
    <w:rsid w:val="009B4557"/>
    <w:rsid w:val="009B4660"/>
    <w:rsid w:val="009B47DA"/>
    <w:rsid w:val="009B5C62"/>
    <w:rsid w:val="009B7C5A"/>
    <w:rsid w:val="009C1593"/>
    <w:rsid w:val="009C324C"/>
    <w:rsid w:val="009C3A2C"/>
    <w:rsid w:val="009C54E1"/>
    <w:rsid w:val="009C5B76"/>
    <w:rsid w:val="009C7F2D"/>
    <w:rsid w:val="009D1334"/>
    <w:rsid w:val="009D20B4"/>
    <w:rsid w:val="009D2C8F"/>
    <w:rsid w:val="009D307E"/>
    <w:rsid w:val="009D4E90"/>
    <w:rsid w:val="009D53C9"/>
    <w:rsid w:val="009D6047"/>
    <w:rsid w:val="009D623D"/>
    <w:rsid w:val="009D70BB"/>
    <w:rsid w:val="009E1DB1"/>
    <w:rsid w:val="009E2BD5"/>
    <w:rsid w:val="009E398D"/>
    <w:rsid w:val="009E5828"/>
    <w:rsid w:val="009E58F9"/>
    <w:rsid w:val="009E6E00"/>
    <w:rsid w:val="009E792C"/>
    <w:rsid w:val="009F0CB8"/>
    <w:rsid w:val="009F4405"/>
    <w:rsid w:val="00A00C27"/>
    <w:rsid w:val="00A00E4D"/>
    <w:rsid w:val="00A02BDB"/>
    <w:rsid w:val="00A0332F"/>
    <w:rsid w:val="00A03C89"/>
    <w:rsid w:val="00A0447A"/>
    <w:rsid w:val="00A0461E"/>
    <w:rsid w:val="00A04649"/>
    <w:rsid w:val="00A05E4F"/>
    <w:rsid w:val="00A126A5"/>
    <w:rsid w:val="00A127BA"/>
    <w:rsid w:val="00A12AF1"/>
    <w:rsid w:val="00A13B19"/>
    <w:rsid w:val="00A142DD"/>
    <w:rsid w:val="00A14CD2"/>
    <w:rsid w:val="00A15A99"/>
    <w:rsid w:val="00A2266C"/>
    <w:rsid w:val="00A248A5"/>
    <w:rsid w:val="00A249A4"/>
    <w:rsid w:val="00A2520B"/>
    <w:rsid w:val="00A2799C"/>
    <w:rsid w:val="00A30034"/>
    <w:rsid w:val="00A30225"/>
    <w:rsid w:val="00A31065"/>
    <w:rsid w:val="00A335FD"/>
    <w:rsid w:val="00A3407A"/>
    <w:rsid w:val="00A34A8C"/>
    <w:rsid w:val="00A35903"/>
    <w:rsid w:val="00A372E1"/>
    <w:rsid w:val="00A37DF3"/>
    <w:rsid w:val="00A40A71"/>
    <w:rsid w:val="00A43B4E"/>
    <w:rsid w:val="00A45729"/>
    <w:rsid w:val="00A472EE"/>
    <w:rsid w:val="00A511F5"/>
    <w:rsid w:val="00A51355"/>
    <w:rsid w:val="00A54050"/>
    <w:rsid w:val="00A551F9"/>
    <w:rsid w:val="00A55A67"/>
    <w:rsid w:val="00A57479"/>
    <w:rsid w:val="00A6005B"/>
    <w:rsid w:val="00A60983"/>
    <w:rsid w:val="00A617E1"/>
    <w:rsid w:val="00A64A9F"/>
    <w:rsid w:val="00A661B3"/>
    <w:rsid w:val="00A67B06"/>
    <w:rsid w:val="00A70171"/>
    <w:rsid w:val="00A705BF"/>
    <w:rsid w:val="00A70A5C"/>
    <w:rsid w:val="00A7308B"/>
    <w:rsid w:val="00A753EC"/>
    <w:rsid w:val="00A77414"/>
    <w:rsid w:val="00A800D6"/>
    <w:rsid w:val="00A82956"/>
    <w:rsid w:val="00A8319C"/>
    <w:rsid w:val="00A832D7"/>
    <w:rsid w:val="00A83840"/>
    <w:rsid w:val="00A83B9D"/>
    <w:rsid w:val="00A85C0B"/>
    <w:rsid w:val="00A8665B"/>
    <w:rsid w:val="00A87BE9"/>
    <w:rsid w:val="00A90593"/>
    <w:rsid w:val="00A918A7"/>
    <w:rsid w:val="00A92739"/>
    <w:rsid w:val="00A939C5"/>
    <w:rsid w:val="00A93CD3"/>
    <w:rsid w:val="00A940A2"/>
    <w:rsid w:val="00A94DBE"/>
    <w:rsid w:val="00A96C24"/>
    <w:rsid w:val="00A97F3D"/>
    <w:rsid w:val="00AA0398"/>
    <w:rsid w:val="00AA0DFB"/>
    <w:rsid w:val="00AA16CE"/>
    <w:rsid w:val="00AA2A4D"/>
    <w:rsid w:val="00AA423F"/>
    <w:rsid w:val="00AA6074"/>
    <w:rsid w:val="00AA6A98"/>
    <w:rsid w:val="00AB07E3"/>
    <w:rsid w:val="00AB0833"/>
    <w:rsid w:val="00AB1538"/>
    <w:rsid w:val="00AB1AFB"/>
    <w:rsid w:val="00AB31A6"/>
    <w:rsid w:val="00AB34F7"/>
    <w:rsid w:val="00AB3515"/>
    <w:rsid w:val="00AB42E4"/>
    <w:rsid w:val="00AB72BE"/>
    <w:rsid w:val="00AB76FA"/>
    <w:rsid w:val="00AC025A"/>
    <w:rsid w:val="00AC0937"/>
    <w:rsid w:val="00AC0A73"/>
    <w:rsid w:val="00AC4FE1"/>
    <w:rsid w:val="00AC581A"/>
    <w:rsid w:val="00AD4CFD"/>
    <w:rsid w:val="00AD794D"/>
    <w:rsid w:val="00AE14C2"/>
    <w:rsid w:val="00AE3CB3"/>
    <w:rsid w:val="00AE4623"/>
    <w:rsid w:val="00AE4A91"/>
    <w:rsid w:val="00AF0BBD"/>
    <w:rsid w:val="00AF0FE8"/>
    <w:rsid w:val="00AF3539"/>
    <w:rsid w:val="00AF5481"/>
    <w:rsid w:val="00AF7548"/>
    <w:rsid w:val="00B064AD"/>
    <w:rsid w:val="00B0725E"/>
    <w:rsid w:val="00B07617"/>
    <w:rsid w:val="00B1098B"/>
    <w:rsid w:val="00B11394"/>
    <w:rsid w:val="00B11DC3"/>
    <w:rsid w:val="00B132CB"/>
    <w:rsid w:val="00B1331C"/>
    <w:rsid w:val="00B14AF5"/>
    <w:rsid w:val="00B15BA8"/>
    <w:rsid w:val="00B15F2E"/>
    <w:rsid w:val="00B168DE"/>
    <w:rsid w:val="00B16BF9"/>
    <w:rsid w:val="00B22E53"/>
    <w:rsid w:val="00B24E8A"/>
    <w:rsid w:val="00B26A65"/>
    <w:rsid w:val="00B318E4"/>
    <w:rsid w:val="00B31F11"/>
    <w:rsid w:val="00B32903"/>
    <w:rsid w:val="00B33566"/>
    <w:rsid w:val="00B34277"/>
    <w:rsid w:val="00B34F52"/>
    <w:rsid w:val="00B359CF"/>
    <w:rsid w:val="00B35BEB"/>
    <w:rsid w:val="00B37FC7"/>
    <w:rsid w:val="00B406E8"/>
    <w:rsid w:val="00B40FDE"/>
    <w:rsid w:val="00B429F2"/>
    <w:rsid w:val="00B42D4A"/>
    <w:rsid w:val="00B43C6C"/>
    <w:rsid w:val="00B44557"/>
    <w:rsid w:val="00B457C5"/>
    <w:rsid w:val="00B470D6"/>
    <w:rsid w:val="00B47FAB"/>
    <w:rsid w:val="00B5259C"/>
    <w:rsid w:val="00B5285E"/>
    <w:rsid w:val="00B528E4"/>
    <w:rsid w:val="00B530FA"/>
    <w:rsid w:val="00B55FD2"/>
    <w:rsid w:val="00B5693A"/>
    <w:rsid w:val="00B60183"/>
    <w:rsid w:val="00B60596"/>
    <w:rsid w:val="00B608D3"/>
    <w:rsid w:val="00B60DD2"/>
    <w:rsid w:val="00B61E6E"/>
    <w:rsid w:val="00B623D4"/>
    <w:rsid w:val="00B626DE"/>
    <w:rsid w:val="00B634EC"/>
    <w:rsid w:val="00B6516C"/>
    <w:rsid w:val="00B65A44"/>
    <w:rsid w:val="00B65F1C"/>
    <w:rsid w:val="00B67936"/>
    <w:rsid w:val="00B70E69"/>
    <w:rsid w:val="00B7266A"/>
    <w:rsid w:val="00B72E7D"/>
    <w:rsid w:val="00B72FBF"/>
    <w:rsid w:val="00B74834"/>
    <w:rsid w:val="00B76092"/>
    <w:rsid w:val="00B77DFE"/>
    <w:rsid w:val="00B829EA"/>
    <w:rsid w:val="00B837F1"/>
    <w:rsid w:val="00B84716"/>
    <w:rsid w:val="00B84F3A"/>
    <w:rsid w:val="00B8584A"/>
    <w:rsid w:val="00B85D23"/>
    <w:rsid w:val="00B86B35"/>
    <w:rsid w:val="00B86EC8"/>
    <w:rsid w:val="00B879A4"/>
    <w:rsid w:val="00B905A0"/>
    <w:rsid w:val="00B913DA"/>
    <w:rsid w:val="00B915CB"/>
    <w:rsid w:val="00B916F0"/>
    <w:rsid w:val="00B91CF1"/>
    <w:rsid w:val="00B93056"/>
    <w:rsid w:val="00B93E41"/>
    <w:rsid w:val="00B96641"/>
    <w:rsid w:val="00B96A07"/>
    <w:rsid w:val="00B9797B"/>
    <w:rsid w:val="00B97FE9"/>
    <w:rsid w:val="00BA0387"/>
    <w:rsid w:val="00BA19E8"/>
    <w:rsid w:val="00BA219A"/>
    <w:rsid w:val="00BA3916"/>
    <w:rsid w:val="00BA5A02"/>
    <w:rsid w:val="00BA60C3"/>
    <w:rsid w:val="00BA622C"/>
    <w:rsid w:val="00BB070E"/>
    <w:rsid w:val="00BB0865"/>
    <w:rsid w:val="00BB238E"/>
    <w:rsid w:val="00BB2955"/>
    <w:rsid w:val="00BB3AEB"/>
    <w:rsid w:val="00BB486F"/>
    <w:rsid w:val="00BB67B8"/>
    <w:rsid w:val="00BC007A"/>
    <w:rsid w:val="00BC0986"/>
    <w:rsid w:val="00BC0BD2"/>
    <w:rsid w:val="00BC1ECF"/>
    <w:rsid w:val="00BC21E8"/>
    <w:rsid w:val="00BC27E1"/>
    <w:rsid w:val="00BC3168"/>
    <w:rsid w:val="00BC31C8"/>
    <w:rsid w:val="00BC490C"/>
    <w:rsid w:val="00BC4C50"/>
    <w:rsid w:val="00BC5DE4"/>
    <w:rsid w:val="00BC6AD2"/>
    <w:rsid w:val="00BC795E"/>
    <w:rsid w:val="00BD03FC"/>
    <w:rsid w:val="00BD2604"/>
    <w:rsid w:val="00BD2FDE"/>
    <w:rsid w:val="00BD3402"/>
    <w:rsid w:val="00BD3A28"/>
    <w:rsid w:val="00BD5B31"/>
    <w:rsid w:val="00BE0627"/>
    <w:rsid w:val="00BE0B06"/>
    <w:rsid w:val="00BE0FA9"/>
    <w:rsid w:val="00BE193E"/>
    <w:rsid w:val="00BE2106"/>
    <w:rsid w:val="00BE341A"/>
    <w:rsid w:val="00BE41BC"/>
    <w:rsid w:val="00BE66C7"/>
    <w:rsid w:val="00BE6C29"/>
    <w:rsid w:val="00BE71F4"/>
    <w:rsid w:val="00BE7FCD"/>
    <w:rsid w:val="00BF04FA"/>
    <w:rsid w:val="00BF0CCB"/>
    <w:rsid w:val="00BF1A83"/>
    <w:rsid w:val="00BF589C"/>
    <w:rsid w:val="00BF669E"/>
    <w:rsid w:val="00BF7487"/>
    <w:rsid w:val="00C0069C"/>
    <w:rsid w:val="00C065EE"/>
    <w:rsid w:val="00C0661A"/>
    <w:rsid w:val="00C072F7"/>
    <w:rsid w:val="00C10F91"/>
    <w:rsid w:val="00C13108"/>
    <w:rsid w:val="00C154AA"/>
    <w:rsid w:val="00C15A1C"/>
    <w:rsid w:val="00C16B9A"/>
    <w:rsid w:val="00C17B64"/>
    <w:rsid w:val="00C22B1E"/>
    <w:rsid w:val="00C23F45"/>
    <w:rsid w:val="00C2429C"/>
    <w:rsid w:val="00C24306"/>
    <w:rsid w:val="00C24E6F"/>
    <w:rsid w:val="00C251A5"/>
    <w:rsid w:val="00C25257"/>
    <w:rsid w:val="00C25BD8"/>
    <w:rsid w:val="00C276C5"/>
    <w:rsid w:val="00C30E2C"/>
    <w:rsid w:val="00C30EFE"/>
    <w:rsid w:val="00C36852"/>
    <w:rsid w:val="00C36DA5"/>
    <w:rsid w:val="00C3719C"/>
    <w:rsid w:val="00C377B9"/>
    <w:rsid w:val="00C445F5"/>
    <w:rsid w:val="00C446A4"/>
    <w:rsid w:val="00C4507A"/>
    <w:rsid w:val="00C453C1"/>
    <w:rsid w:val="00C454CE"/>
    <w:rsid w:val="00C46F34"/>
    <w:rsid w:val="00C47886"/>
    <w:rsid w:val="00C50874"/>
    <w:rsid w:val="00C53E40"/>
    <w:rsid w:val="00C54800"/>
    <w:rsid w:val="00C556FF"/>
    <w:rsid w:val="00C55921"/>
    <w:rsid w:val="00C57C9D"/>
    <w:rsid w:val="00C601E5"/>
    <w:rsid w:val="00C61468"/>
    <w:rsid w:val="00C61A61"/>
    <w:rsid w:val="00C61DF5"/>
    <w:rsid w:val="00C64B65"/>
    <w:rsid w:val="00C65D33"/>
    <w:rsid w:val="00C65D96"/>
    <w:rsid w:val="00C66607"/>
    <w:rsid w:val="00C71288"/>
    <w:rsid w:val="00C71B72"/>
    <w:rsid w:val="00C71DE2"/>
    <w:rsid w:val="00C73546"/>
    <w:rsid w:val="00C746F0"/>
    <w:rsid w:val="00C756CB"/>
    <w:rsid w:val="00C7649B"/>
    <w:rsid w:val="00C76ACF"/>
    <w:rsid w:val="00C81A3B"/>
    <w:rsid w:val="00C81F90"/>
    <w:rsid w:val="00C8203A"/>
    <w:rsid w:val="00C82F2C"/>
    <w:rsid w:val="00C870D8"/>
    <w:rsid w:val="00C87305"/>
    <w:rsid w:val="00C90031"/>
    <w:rsid w:val="00C90BAD"/>
    <w:rsid w:val="00C93231"/>
    <w:rsid w:val="00C9361A"/>
    <w:rsid w:val="00C938E9"/>
    <w:rsid w:val="00C95B79"/>
    <w:rsid w:val="00C96482"/>
    <w:rsid w:val="00C97DF9"/>
    <w:rsid w:val="00CA1B8E"/>
    <w:rsid w:val="00CA26F5"/>
    <w:rsid w:val="00CA5F7F"/>
    <w:rsid w:val="00CB265A"/>
    <w:rsid w:val="00CB2C8F"/>
    <w:rsid w:val="00CB2D21"/>
    <w:rsid w:val="00CB2EC1"/>
    <w:rsid w:val="00CB3AF6"/>
    <w:rsid w:val="00CB6099"/>
    <w:rsid w:val="00CB734D"/>
    <w:rsid w:val="00CB798E"/>
    <w:rsid w:val="00CC0DFF"/>
    <w:rsid w:val="00CC12B3"/>
    <w:rsid w:val="00CC23DD"/>
    <w:rsid w:val="00CC2A76"/>
    <w:rsid w:val="00CC2F21"/>
    <w:rsid w:val="00CC3939"/>
    <w:rsid w:val="00CC4C80"/>
    <w:rsid w:val="00CC519E"/>
    <w:rsid w:val="00CC52DF"/>
    <w:rsid w:val="00CC554C"/>
    <w:rsid w:val="00CC584D"/>
    <w:rsid w:val="00CC5D76"/>
    <w:rsid w:val="00CC5D81"/>
    <w:rsid w:val="00CD0543"/>
    <w:rsid w:val="00CD2B6E"/>
    <w:rsid w:val="00CD2F98"/>
    <w:rsid w:val="00CD43EC"/>
    <w:rsid w:val="00CD44E6"/>
    <w:rsid w:val="00CD5814"/>
    <w:rsid w:val="00CD5A64"/>
    <w:rsid w:val="00CD72F6"/>
    <w:rsid w:val="00CD7F00"/>
    <w:rsid w:val="00CE1BD7"/>
    <w:rsid w:val="00CE4335"/>
    <w:rsid w:val="00CE5507"/>
    <w:rsid w:val="00CE6933"/>
    <w:rsid w:val="00CF142E"/>
    <w:rsid w:val="00CF3E6A"/>
    <w:rsid w:val="00CF4AD3"/>
    <w:rsid w:val="00CF589E"/>
    <w:rsid w:val="00CF6554"/>
    <w:rsid w:val="00CF6ED9"/>
    <w:rsid w:val="00CF7AB0"/>
    <w:rsid w:val="00D00CAE"/>
    <w:rsid w:val="00D01A95"/>
    <w:rsid w:val="00D0328C"/>
    <w:rsid w:val="00D07C3B"/>
    <w:rsid w:val="00D10A0E"/>
    <w:rsid w:val="00D10FC5"/>
    <w:rsid w:val="00D117B9"/>
    <w:rsid w:val="00D11987"/>
    <w:rsid w:val="00D1245C"/>
    <w:rsid w:val="00D12F21"/>
    <w:rsid w:val="00D135AA"/>
    <w:rsid w:val="00D14DB2"/>
    <w:rsid w:val="00D15800"/>
    <w:rsid w:val="00D15FAB"/>
    <w:rsid w:val="00D172E2"/>
    <w:rsid w:val="00D17CF2"/>
    <w:rsid w:val="00D20309"/>
    <w:rsid w:val="00D2043C"/>
    <w:rsid w:val="00D20B70"/>
    <w:rsid w:val="00D212BB"/>
    <w:rsid w:val="00D220E5"/>
    <w:rsid w:val="00D223E6"/>
    <w:rsid w:val="00D2421F"/>
    <w:rsid w:val="00D259FF"/>
    <w:rsid w:val="00D262C2"/>
    <w:rsid w:val="00D2779A"/>
    <w:rsid w:val="00D30B08"/>
    <w:rsid w:val="00D30C95"/>
    <w:rsid w:val="00D310D8"/>
    <w:rsid w:val="00D311C3"/>
    <w:rsid w:val="00D31590"/>
    <w:rsid w:val="00D31923"/>
    <w:rsid w:val="00D32D8D"/>
    <w:rsid w:val="00D33BA5"/>
    <w:rsid w:val="00D359F7"/>
    <w:rsid w:val="00D36362"/>
    <w:rsid w:val="00D36BA9"/>
    <w:rsid w:val="00D3740C"/>
    <w:rsid w:val="00D37836"/>
    <w:rsid w:val="00D4036C"/>
    <w:rsid w:val="00D407D7"/>
    <w:rsid w:val="00D41667"/>
    <w:rsid w:val="00D423F5"/>
    <w:rsid w:val="00D42D25"/>
    <w:rsid w:val="00D4410E"/>
    <w:rsid w:val="00D44687"/>
    <w:rsid w:val="00D46564"/>
    <w:rsid w:val="00D46C08"/>
    <w:rsid w:val="00D47278"/>
    <w:rsid w:val="00D5053A"/>
    <w:rsid w:val="00D50DDE"/>
    <w:rsid w:val="00D52943"/>
    <w:rsid w:val="00D53F6A"/>
    <w:rsid w:val="00D542AD"/>
    <w:rsid w:val="00D549EB"/>
    <w:rsid w:val="00D576DF"/>
    <w:rsid w:val="00D57852"/>
    <w:rsid w:val="00D57F5D"/>
    <w:rsid w:val="00D6035C"/>
    <w:rsid w:val="00D61886"/>
    <w:rsid w:val="00D62BF7"/>
    <w:rsid w:val="00D63527"/>
    <w:rsid w:val="00D64E23"/>
    <w:rsid w:val="00D7083A"/>
    <w:rsid w:val="00D70C8C"/>
    <w:rsid w:val="00D72FD9"/>
    <w:rsid w:val="00D74747"/>
    <w:rsid w:val="00D77238"/>
    <w:rsid w:val="00D8039E"/>
    <w:rsid w:val="00D80898"/>
    <w:rsid w:val="00D81D8C"/>
    <w:rsid w:val="00D85FC6"/>
    <w:rsid w:val="00D866AA"/>
    <w:rsid w:val="00D86D39"/>
    <w:rsid w:val="00D872CB"/>
    <w:rsid w:val="00D87516"/>
    <w:rsid w:val="00D87A3B"/>
    <w:rsid w:val="00D90DE1"/>
    <w:rsid w:val="00D90EC1"/>
    <w:rsid w:val="00D91C3F"/>
    <w:rsid w:val="00D9232A"/>
    <w:rsid w:val="00D93451"/>
    <w:rsid w:val="00D94141"/>
    <w:rsid w:val="00D94798"/>
    <w:rsid w:val="00D9488B"/>
    <w:rsid w:val="00D95A97"/>
    <w:rsid w:val="00D964B4"/>
    <w:rsid w:val="00D971FA"/>
    <w:rsid w:val="00DA0DCD"/>
    <w:rsid w:val="00DA16D3"/>
    <w:rsid w:val="00DA1B15"/>
    <w:rsid w:val="00DA2BDB"/>
    <w:rsid w:val="00DA2E13"/>
    <w:rsid w:val="00DA3380"/>
    <w:rsid w:val="00DA391A"/>
    <w:rsid w:val="00DA4314"/>
    <w:rsid w:val="00DA537E"/>
    <w:rsid w:val="00DA5FB4"/>
    <w:rsid w:val="00DA7034"/>
    <w:rsid w:val="00DB189E"/>
    <w:rsid w:val="00DB2C5E"/>
    <w:rsid w:val="00DB3D67"/>
    <w:rsid w:val="00DB4142"/>
    <w:rsid w:val="00DB58B3"/>
    <w:rsid w:val="00DB5D30"/>
    <w:rsid w:val="00DB5D38"/>
    <w:rsid w:val="00DB68AA"/>
    <w:rsid w:val="00DB7810"/>
    <w:rsid w:val="00DC00B3"/>
    <w:rsid w:val="00DC398E"/>
    <w:rsid w:val="00DC56E0"/>
    <w:rsid w:val="00DC74EB"/>
    <w:rsid w:val="00DC7E25"/>
    <w:rsid w:val="00DD1C06"/>
    <w:rsid w:val="00DD21F8"/>
    <w:rsid w:val="00DD29E3"/>
    <w:rsid w:val="00DD2CB0"/>
    <w:rsid w:val="00DD3CC3"/>
    <w:rsid w:val="00DD6185"/>
    <w:rsid w:val="00DD7689"/>
    <w:rsid w:val="00DD79CB"/>
    <w:rsid w:val="00DE11E4"/>
    <w:rsid w:val="00DE2AF4"/>
    <w:rsid w:val="00DE2BDD"/>
    <w:rsid w:val="00DE3904"/>
    <w:rsid w:val="00DE439B"/>
    <w:rsid w:val="00DE78A1"/>
    <w:rsid w:val="00DF1AF0"/>
    <w:rsid w:val="00DF3B87"/>
    <w:rsid w:val="00DF5042"/>
    <w:rsid w:val="00DF5908"/>
    <w:rsid w:val="00E02931"/>
    <w:rsid w:val="00E03C67"/>
    <w:rsid w:val="00E044AC"/>
    <w:rsid w:val="00E06C7C"/>
    <w:rsid w:val="00E06D7F"/>
    <w:rsid w:val="00E12191"/>
    <w:rsid w:val="00E1395D"/>
    <w:rsid w:val="00E13FE6"/>
    <w:rsid w:val="00E1602D"/>
    <w:rsid w:val="00E16F36"/>
    <w:rsid w:val="00E17EB5"/>
    <w:rsid w:val="00E207D9"/>
    <w:rsid w:val="00E226BE"/>
    <w:rsid w:val="00E23210"/>
    <w:rsid w:val="00E23FBA"/>
    <w:rsid w:val="00E25284"/>
    <w:rsid w:val="00E2587D"/>
    <w:rsid w:val="00E303C0"/>
    <w:rsid w:val="00E30AE8"/>
    <w:rsid w:val="00E350BF"/>
    <w:rsid w:val="00E35A17"/>
    <w:rsid w:val="00E35C12"/>
    <w:rsid w:val="00E37BAD"/>
    <w:rsid w:val="00E41816"/>
    <w:rsid w:val="00E46EBA"/>
    <w:rsid w:val="00E5031B"/>
    <w:rsid w:val="00E5112A"/>
    <w:rsid w:val="00E51389"/>
    <w:rsid w:val="00E519CC"/>
    <w:rsid w:val="00E51BCE"/>
    <w:rsid w:val="00E51DC3"/>
    <w:rsid w:val="00E52E7B"/>
    <w:rsid w:val="00E53B4E"/>
    <w:rsid w:val="00E56BB7"/>
    <w:rsid w:val="00E5752B"/>
    <w:rsid w:val="00E621B1"/>
    <w:rsid w:val="00E649DE"/>
    <w:rsid w:val="00E651B9"/>
    <w:rsid w:val="00E654F3"/>
    <w:rsid w:val="00E6749F"/>
    <w:rsid w:val="00E71393"/>
    <w:rsid w:val="00E72F77"/>
    <w:rsid w:val="00E73629"/>
    <w:rsid w:val="00E744D0"/>
    <w:rsid w:val="00E75120"/>
    <w:rsid w:val="00E753BB"/>
    <w:rsid w:val="00E7587E"/>
    <w:rsid w:val="00E76ADD"/>
    <w:rsid w:val="00E8015C"/>
    <w:rsid w:val="00E8195E"/>
    <w:rsid w:val="00E8282A"/>
    <w:rsid w:val="00E82B6A"/>
    <w:rsid w:val="00E8324D"/>
    <w:rsid w:val="00E83805"/>
    <w:rsid w:val="00E84748"/>
    <w:rsid w:val="00E84DB2"/>
    <w:rsid w:val="00E84F28"/>
    <w:rsid w:val="00E861A3"/>
    <w:rsid w:val="00E868E4"/>
    <w:rsid w:val="00E87519"/>
    <w:rsid w:val="00E87CEE"/>
    <w:rsid w:val="00E901A5"/>
    <w:rsid w:val="00E906BE"/>
    <w:rsid w:val="00E918FD"/>
    <w:rsid w:val="00E94F8D"/>
    <w:rsid w:val="00E971F0"/>
    <w:rsid w:val="00EA36E5"/>
    <w:rsid w:val="00EA5A36"/>
    <w:rsid w:val="00EB0449"/>
    <w:rsid w:val="00EB08EE"/>
    <w:rsid w:val="00EB092F"/>
    <w:rsid w:val="00EB0F14"/>
    <w:rsid w:val="00EB1DE1"/>
    <w:rsid w:val="00EB3A90"/>
    <w:rsid w:val="00EB4E2E"/>
    <w:rsid w:val="00EB560B"/>
    <w:rsid w:val="00EB6F97"/>
    <w:rsid w:val="00EB749A"/>
    <w:rsid w:val="00EB7C18"/>
    <w:rsid w:val="00EC10A8"/>
    <w:rsid w:val="00EC11B9"/>
    <w:rsid w:val="00EC37D0"/>
    <w:rsid w:val="00EC3E24"/>
    <w:rsid w:val="00EC65D2"/>
    <w:rsid w:val="00EC7080"/>
    <w:rsid w:val="00EC7E85"/>
    <w:rsid w:val="00ED139C"/>
    <w:rsid w:val="00ED1EC4"/>
    <w:rsid w:val="00ED2645"/>
    <w:rsid w:val="00ED5F59"/>
    <w:rsid w:val="00EE0FE8"/>
    <w:rsid w:val="00EE1530"/>
    <w:rsid w:val="00EE1F83"/>
    <w:rsid w:val="00EE2335"/>
    <w:rsid w:val="00EE23BE"/>
    <w:rsid w:val="00EE4502"/>
    <w:rsid w:val="00EE5FF0"/>
    <w:rsid w:val="00EF0D9B"/>
    <w:rsid w:val="00EF1684"/>
    <w:rsid w:val="00EF3E94"/>
    <w:rsid w:val="00EF52D9"/>
    <w:rsid w:val="00EF543B"/>
    <w:rsid w:val="00EF54E7"/>
    <w:rsid w:val="00EF6A2F"/>
    <w:rsid w:val="00EF76A7"/>
    <w:rsid w:val="00F01594"/>
    <w:rsid w:val="00F03114"/>
    <w:rsid w:val="00F0402D"/>
    <w:rsid w:val="00F05016"/>
    <w:rsid w:val="00F05CD7"/>
    <w:rsid w:val="00F06625"/>
    <w:rsid w:val="00F07AD8"/>
    <w:rsid w:val="00F10923"/>
    <w:rsid w:val="00F12E69"/>
    <w:rsid w:val="00F15251"/>
    <w:rsid w:val="00F17A8C"/>
    <w:rsid w:val="00F2018E"/>
    <w:rsid w:val="00F21079"/>
    <w:rsid w:val="00F21887"/>
    <w:rsid w:val="00F229E2"/>
    <w:rsid w:val="00F23D9E"/>
    <w:rsid w:val="00F25022"/>
    <w:rsid w:val="00F251C8"/>
    <w:rsid w:val="00F25D77"/>
    <w:rsid w:val="00F32F8E"/>
    <w:rsid w:val="00F33F34"/>
    <w:rsid w:val="00F345E4"/>
    <w:rsid w:val="00F372B1"/>
    <w:rsid w:val="00F4009A"/>
    <w:rsid w:val="00F41329"/>
    <w:rsid w:val="00F438F7"/>
    <w:rsid w:val="00F44120"/>
    <w:rsid w:val="00F476AF"/>
    <w:rsid w:val="00F47BC8"/>
    <w:rsid w:val="00F52A8E"/>
    <w:rsid w:val="00F54F54"/>
    <w:rsid w:val="00F55023"/>
    <w:rsid w:val="00F551D4"/>
    <w:rsid w:val="00F56728"/>
    <w:rsid w:val="00F569A1"/>
    <w:rsid w:val="00F56BBF"/>
    <w:rsid w:val="00F57ED6"/>
    <w:rsid w:val="00F61619"/>
    <w:rsid w:val="00F621A0"/>
    <w:rsid w:val="00F64CDF"/>
    <w:rsid w:val="00F654A5"/>
    <w:rsid w:val="00F65B41"/>
    <w:rsid w:val="00F667C9"/>
    <w:rsid w:val="00F7022A"/>
    <w:rsid w:val="00F7180D"/>
    <w:rsid w:val="00F7287A"/>
    <w:rsid w:val="00F73069"/>
    <w:rsid w:val="00F73AC4"/>
    <w:rsid w:val="00F75DC5"/>
    <w:rsid w:val="00F77D56"/>
    <w:rsid w:val="00F80030"/>
    <w:rsid w:val="00F804EE"/>
    <w:rsid w:val="00F81009"/>
    <w:rsid w:val="00F8172E"/>
    <w:rsid w:val="00F81F53"/>
    <w:rsid w:val="00F835FB"/>
    <w:rsid w:val="00F8483B"/>
    <w:rsid w:val="00F848EA"/>
    <w:rsid w:val="00F85B57"/>
    <w:rsid w:val="00F86A0D"/>
    <w:rsid w:val="00F875F2"/>
    <w:rsid w:val="00F8762A"/>
    <w:rsid w:val="00F90609"/>
    <w:rsid w:val="00F91CE6"/>
    <w:rsid w:val="00F92360"/>
    <w:rsid w:val="00F92444"/>
    <w:rsid w:val="00F95C92"/>
    <w:rsid w:val="00F96B73"/>
    <w:rsid w:val="00FA19A5"/>
    <w:rsid w:val="00FA2C22"/>
    <w:rsid w:val="00FA2ECF"/>
    <w:rsid w:val="00FA372D"/>
    <w:rsid w:val="00FA569F"/>
    <w:rsid w:val="00FA5B88"/>
    <w:rsid w:val="00FA71C1"/>
    <w:rsid w:val="00FA73B5"/>
    <w:rsid w:val="00FB0697"/>
    <w:rsid w:val="00FB1A8C"/>
    <w:rsid w:val="00FB35AA"/>
    <w:rsid w:val="00FB4226"/>
    <w:rsid w:val="00FB588D"/>
    <w:rsid w:val="00FB6042"/>
    <w:rsid w:val="00FB640B"/>
    <w:rsid w:val="00FB6B20"/>
    <w:rsid w:val="00FB70B5"/>
    <w:rsid w:val="00FB72B6"/>
    <w:rsid w:val="00FC1448"/>
    <w:rsid w:val="00FC2398"/>
    <w:rsid w:val="00FC25BC"/>
    <w:rsid w:val="00FC3AEF"/>
    <w:rsid w:val="00FC4FEC"/>
    <w:rsid w:val="00FC745E"/>
    <w:rsid w:val="00FD250D"/>
    <w:rsid w:val="00FD2594"/>
    <w:rsid w:val="00FD3C39"/>
    <w:rsid w:val="00FD5ACF"/>
    <w:rsid w:val="00FD64CB"/>
    <w:rsid w:val="00FD764F"/>
    <w:rsid w:val="00FD7BF7"/>
    <w:rsid w:val="00FE09BA"/>
    <w:rsid w:val="00FE2A0E"/>
    <w:rsid w:val="00FE2BCD"/>
    <w:rsid w:val="00FE36EC"/>
    <w:rsid w:val="00FE436C"/>
    <w:rsid w:val="00FE79C9"/>
    <w:rsid w:val="00FE7C7E"/>
    <w:rsid w:val="00FF0406"/>
    <w:rsid w:val="00FF076D"/>
    <w:rsid w:val="00FF38AC"/>
    <w:rsid w:val="00FF3BEC"/>
    <w:rsid w:val="00FF4653"/>
    <w:rsid w:val="00FF53EF"/>
    <w:rsid w:val="00FF748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6B90FA5"/>
  <w15:docId w15:val="{10F53BAE-AAF9-ED4C-B28B-CAB5178A1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uz-Cyrl-UZ"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rPr>
  </w:style>
  <w:style w:type="paragraph" w:styleId="Heading5">
    <w:name w:val="heading 5"/>
    <w:basedOn w:val="Normal1"/>
    <w:next w:val="Normal1"/>
    <w:pPr>
      <w:keepNext/>
      <w:keepLines/>
      <w:spacing w:before="220" w:after="40"/>
      <w:outlineLvl w:val="4"/>
    </w:pPr>
    <w:rPr>
      <w:b/>
      <w:sz w:val="22"/>
      <w:szCs w:val="22"/>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table" w:customStyle="1" w:styleId="TableNormal1">
    <w:name w:val="Table Normal1"/>
    <w:tblPr>
      <w:tblCellMar>
        <w:top w:w="0" w:type="dxa"/>
        <w:left w:w="0" w:type="dxa"/>
        <w:bottom w:w="0" w:type="dxa"/>
        <w:right w:w="0" w:type="dxa"/>
      </w:tblCellMar>
    </w:tblPr>
  </w:style>
  <w:style w:type="paragraph" w:styleId="Title">
    <w:name w:val="Title"/>
    <w:basedOn w:val="Normal1"/>
    <w:next w:val="Normal1"/>
    <w:pPr>
      <w:keepNext/>
      <w:keepLines/>
      <w:spacing w:before="480" w:after="120"/>
    </w:pPr>
    <w:rPr>
      <w:b/>
      <w:sz w:val="72"/>
      <w:szCs w:val="72"/>
    </w:rPr>
  </w:style>
  <w:style w:type="paragraph" w:styleId="Subtitle">
    <w:name w:val="Subtitle"/>
    <w:basedOn w:val="Normal1"/>
    <w:next w:val="Normal1"/>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1"/>
    <w:tblPr>
      <w:tblStyleRowBandSize w:val="1"/>
      <w:tblStyleColBandSize w:val="1"/>
      <w:tblCellMar>
        <w:left w:w="108" w:type="dxa"/>
        <w:right w:w="108"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840E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0EDE"/>
    <w:rPr>
      <w:rFonts w:ascii="Lucida Grande" w:hAnsi="Lucida Grande" w:cs="Lucida Grande"/>
      <w:sz w:val="18"/>
      <w:szCs w:val="18"/>
    </w:rPr>
  </w:style>
  <w:style w:type="character" w:styleId="Emphasis">
    <w:name w:val="Emphasis"/>
    <w:basedOn w:val="DefaultParagraphFont"/>
    <w:uiPriority w:val="20"/>
    <w:qFormat/>
    <w:rsid w:val="00D87A3B"/>
    <w:rPr>
      <w:i/>
      <w:iCs/>
    </w:rPr>
  </w:style>
  <w:style w:type="paragraph" w:styleId="Header">
    <w:name w:val="header"/>
    <w:basedOn w:val="Normal"/>
    <w:link w:val="HeaderChar"/>
    <w:uiPriority w:val="99"/>
    <w:unhideWhenUsed/>
    <w:rsid w:val="001305DE"/>
    <w:pPr>
      <w:tabs>
        <w:tab w:val="center" w:pos="4536"/>
        <w:tab w:val="right" w:pos="9072"/>
      </w:tabs>
    </w:pPr>
  </w:style>
  <w:style w:type="character" w:customStyle="1" w:styleId="HeaderChar">
    <w:name w:val="Header Char"/>
    <w:basedOn w:val="DefaultParagraphFont"/>
    <w:link w:val="Header"/>
    <w:uiPriority w:val="99"/>
    <w:rsid w:val="001305DE"/>
  </w:style>
  <w:style w:type="paragraph" w:styleId="Footer">
    <w:name w:val="footer"/>
    <w:basedOn w:val="Normal"/>
    <w:link w:val="FooterChar"/>
    <w:uiPriority w:val="99"/>
    <w:unhideWhenUsed/>
    <w:rsid w:val="001305DE"/>
    <w:pPr>
      <w:tabs>
        <w:tab w:val="center" w:pos="4536"/>
        <w:tab w:val="right" w:pos="9072"/>
      </w:tabs>
    </w:pPr>
  </w:style>
  <w:style w:type="character" w:customStyle="1" w:styleId="FooterChar">
    <w:name w:val="Footer Char"/>
    <w:basedOn w:val="DefaultParagraphFont"/>
    <w:link w:val="Footer"/>
    <w:uiPriority w:val="99"/>
    <w:rsid w:val="001305DE"/>
  </w:style>
  <w:style w:type="character" w:styleId="Hyperlink">
    <w:name w:val="Hyperlink"/>
    <w:basedOn w:val="DefaultParagraphFont"/>
    <w:uiPriority w:val="99"/>
    <w:unhideWhenUsed/>
    <w:rsid w:val="004D40FA"/>
    <w:rPr>
      <w:color w:val="0000FF" w:themeColor="hyperlink"/>
      <w:u w:val="single"/>
    </w:rPr>
  </w:style>
  <w:style w:type="paragraph" w:customStyle="1" w:styleId="Affiliation">
    <w:name w:val="Affiliation"/>
    <w:basedOn w:val="Normal"/>
    <w:qFormat/>
    <w:rsid w:val="004D40FA"/>
    <w:pPr>
      <w:spacing w:before="120"/>
    </w:pPr>
    <w:rPr>
      <w:rFonts w:ascii="Times New Roman" w:eastAsia="Times New Roman" w:hAnsi="Times New Roman" w:cs="Times New Roman"/>
      <w:lang w:val="en-US" w:eastAsia="en-US"/>
    </w:rPr>
  </w:style>
  <w:style w:type="paragraph" w:styleId="CommentSubject">
    <w:name w:val="annotation subject"/>
    <w:basedOn w:val="CommentText"/>
    <w:next w:val="CommentText"/>
    <w:link w:val="CommentSubjectChar"/>
    <w:uiPriority w:val="99"/>
    <w:semiHidden/>
    <w:unhideWhenUsed/>
    <w:rsid w:val="00D2421F"/>
    <w:rPr>
      <w:b/>
      <w:bCs/>
      <w:sz w:val="20"/>
      <w:szCs w:val="20"/>
    </w:rPr>
  </w:style>
  <w:style w:type="character" w:customStyle="1" w:styleId="CommentSubjectChar">
    <w:name w:val="Comment Subject Char"/>
    <w:basedOn w:val="CommentTextChar"/>
    <w:link w:val="CommentSubject"/>
    <w:uiPriority w:val="99"/>
    <w:semiHidden/>
    <w:rsid w:val="00D2421F"/>
    <w:rPr>
      <w:b/>
      <w:bCs/>
      <w:sz w:val="20"/>
      <w:szCs w:val="20"/>
    </w:rPr>
  </w:style>
  <w:style w:type="paragraph" w:styleId="Revision">
    <w:name w:val="Revision"/>
    <w:hidden/>
    <w:uiPriority w:val="99"/>
    <w:semiHidden/>
    <w:rsid w:val="00A92739"/>
  </w:style>
  <w:style w:type="character" w:customStyle="1" w:styleId="hlfld-abstract">
    <w:name w:val="hlfld-abstract"/>
    <w:basedOn w:val="DefaultParagraphFont"/>
    <w:rsid w:val="004E6205"/>
  </w:style>
  <w:style w:type="paragraph" w:customStyle="1" w:styleId="Default">
    <w:name w:val="Default"/>
    <w:rsid w:val="004E6205"/>
    <w:pPr>
      <w:widowControl w:val="0"/>
      <w:autoSpaceDE w:val="0"/>
      <w:autoSpaceDN w:val="0"/>
      <w:adjustRightInd w:val="0"/>
    </w:pPr>
    <w:rPr>
      <w:rFonts w:ascii="Times New Roman" w:eastAsiaTheme="minorEastAsia" w:hAnsi="Times New Roman" w:cs="Times New Roman"/>
      <w:color w:val="000000"/>
      <w:lang w:val="fr-FR"/>
    </w:rPr>
  </w:style>
  <w:style w:type="character" w:customStyle="1" w:styleId="captions">
    <w:name w:val="captions"/>
    <w:basedOn w:val="DefaultParagraphFont"/>
    <w:rsid w:val="009B4660"/>
  </w:style>
  <w:style w:type="character" w:styleId="PlaceholderText">
    <w:name w:val="Placeholder Text"/>
    <w:basedOn w:val="DefaultParagraphFont"/>
    <w:uiPriority w:val="99"/>
    <w:semiHidden/>
    <w:rsid w:val="009B4660"/>
    <w:rPr>
      <w:color w:val="808080"/>
    </w:rPr>
  </w:style>
  <w:style w:type="character" w:customStyle="1" w:styleId="x4k7w5x">
    <w:name w:val="x4k7w5x"/>
    <w:basedOn w:val="DefaultParagraphFont"/>
    <w:rsid w:val="00194E94"/>
  </w:style>
  <w:style w:type="character" w:customStyle="1" w:styleId="hgkelc">
    <w:name w:val="hgkelc"/>
    <w:basedOn w:val="DefaultParagraphFont"/>
    <w:rsid w:val="00DC56E0"/>
  </w:style>
  <w:style w:type="character" w:styleId="LineNumber">
    <w:name w:val="line number"/>
    <w:basedOn w:val="DefaultParagraphFont"/>
    <w:uiPriority w:val="99"/>
    <w:semiHidden/>
    <w:unhideWhenUsed/>
    <w:rsid w:val="00EB08EE"/>
  </w:style>
  <w:style w:type="character" w:customStyle="1" w:styleId="mw-mmv-title">
    <w:name w:val="mw-mmv-title"/>
    <w:basedOn w:val="DefaultParagraphFont"/>
    <w:rsid w:val="00290855"/>
  </w:style>
  <w:style w:type="paragraph" w:styleId="NormalWeb">
    <w:name w:val="Normal (Web)"/>
    <w:basedOn w:val="Normal"/>
    <w:uiPriority w:val="99"/>
    <w:unhideWhenUsed/>
    <w:rsid w:val="00290855"/>
    <w:pPr>
      <w:spacing w:before="100" w:beforeAutospacing="1" w:after="100" w:afterAutospacing="1"/>
    </w:pPr>
    <w:rPr>
      <w:rFonts w:ascii="Times" w:hAnsi="Times" w:cs="Times New Roman"/>
      <w:sz w:val="20"/>
      <w:szCs w:val="20"/>
      <w:lang w:val="fr-FR"/>
    </w:rPr>
  </w:style>
  <w:style w:type="character" w:styleId="PageNumber">
    <w:name w:val="page number"/>
    <w:basedOn w:val="DefaultParagraphFont"/>
    <w:uiPriority w:val="99"/>
    <w:semiHidden/>
    <w:unhideWhenUsed/>
    <w:rsid w:val="00FA2ECF"/>
  </w:style>
  <w:style w:type="character" w:styleId="FollowedHyperlink">
    <w:name w:val="FollowedHyperlink"/>
    <w:basedOn w:val="DefaultParagraphFont"/>
    <w:uiPriority w:val="99"/>
    <w:semiHidden/>
    <w:unhideWhenUsed/>
    <w:rsid w:val="00CA26F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185135">
      <w:bodyDiv w:val="1"/>
      <w:marLeft w:val="0"/>
      <w:marRight w:val="0"/>
      <w:marTop w:val="0"/>
      <w:marBottom w:val="0"/>
      <w:divBdr>
        <w:top w:val="none" w:sz="0" w:space="0" w:color="auto"/>
        <w:left w:val="none" w:sz="0" w:space="0" w:color="auto"/>
        <w:bottom w:val="none" w:sz="0" w:space="0" w:color="auto"/>
        <w:right w:val="none" w:sz="0" w:space="0" w:color="auto"/>
      </w:divBdr>
    </w:div>
    <w:div w:id="1311405275">
      <w:bodyDiv w:val="1"/>
      <w:marLeft w:val="0"/>
      <w:marRight w:val="0"/>
      <w:marTop w:val="0"/>
      <w:marBottom w:val="0"/>
      <w:divBdr>
        <w:top w:val="none" w:sz="0" w:space="0" w:color="auto"/>
        <w:left w:val="none" w:sz="0" w:space="0" w:color="auto"/>
        <w:bottom w:val="none" w:sz="0" w:space="0" w:color="auto"/>
        <w:right w:val="none" w:sz="0" w:space="0" w:color="auto"/>
      </w:divBdr>
    </w:div>
    <w:div w:id="1317297899">
      <w:bodyDiv w:val="1"/>
      <w:marLeft w:val="0"/>
      <w:marRight w:val="0"/>
      <w:marTop w:val="0"/>
      <w:marBottom w:val="0"/>
      <w:divBdr>
        <w:top w:val="none" w:sz="0" w:space="0" w:color="auto"/>
        <w:left w:val="none" w:sz="0" w:space="0" w:color="auto"/>
        <w:bottom w:val="none" w:sz="0" w:space="0" w:color="auto"/>
        <w:right w:val="none" w:sz="0" w:space="0" w:color="auto"/>
      </w:divBdr>
    </w:div>
    <w:div w:id="1917401680">
      <w:bodyDiv w:val="1"/>
      <w:marLeft w:val="0"/>
      <w:marRight w:val="0"/>
      <w:marTop w:val="0"/>
      <w:marBottom w:val="0"/>
      <w:divBdr>
        <w:top w:val="none" w:sz="0" w:space="0" w:color="auto"/>
        <w:left w:val="none" w:sz="0" w:space="0" w:color="auto"/>
        <w:bottom w:val="none" w:sz="0" w:space="0" w:color="auto"/>
        <w:right w:val="none" w:sz="0" w:space="0" w:color="auto"/>
      </w:divBdr>
    </w:div>
    <w:div w:id="2013487124">
      <w:bodyDiv w:val="1"/>
      <w:marLeft w:val="0"/>
      <w:marRight w:val="0"/>
      <w:marTop w:val="0"/>
      <w:marBottom w:val="0"/>
      <w:divBdr>
        <w:top w:val="none" w:sz="0" w:space="0" w:color="auto"/>
        <w:left w:val="none" w:sz="0" w:space="0" w:color="auto"/>
        <w:bottom w:val="none" w:sz="0" w:space="0" w:color="auto"/>
        <w:right w:val="none" w:sz="0" w:space="0" w:color="auto"/>
      </w:divBdr>
      <w:divsChild>
        <w:div w:id="1708751323">
          <w:marLeft w:val="0"/>
          <w:marRight w:val="0"/>
          <w:marTop w:val="0"/>
          <w:marBottom w:val="0"/>
          <w:divBdr>
            <w:top w:val="none" w:sz="0" w:space="0" w:color="auto"/>
            <w:left w:val="none" w:sz="0" w:space="0" w:color="auto"/>
            <w:bottom w:val="none" w:sz="0" w:space="0" w:color="auto"/>
            <w:right w:val="none" w:sz="0" w:space="0" w:color="auto"/>
          </w:divBdr>
        </w:div>
        <w:div w:id="175933092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jpe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21825-CBEA-8148-8DEF-4D89ECAFA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482</TotalTime>
  <Pages>36</Pages>
  <Words>62846</Words>
  <Characters>358228</Characters>
  <Application>Microsoft Office Word</Application>
  <DocSecurity>0</DocSecurity>
  <Lines>2985</Lines>
  <Paragraphs>840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CRPG</Company>
  <LinksUpToDate>false</LinksUpToDate>
  <CharactersWithSpaces>420234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Byrne</dc:creator>
  <cp:lastModifiedBy>Poonam Mutha</cp:lastModifiedBy>
  <cp:revision>17</cp:revision>
  <dcterms:created xsi:type="dcterms:W3CDTF">2023-05-02T10:18:00Z</dcterms:created>
  <dcterms:modified xsi:type="dcterms:W3CDTF">2023-05-24T10:50:00Z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11c3ba44-0fe8-3ac7-af37-7d8fac26c1ff</vt:lpwstr>
  </property>
  <property fmtid="{D5CDD505-2E9C-101B-9397-08002B2CF9AE}" pid="4" name="Mendeley Citation Style_1">
    <vt:lpwstr>http://www.zotero.org/styles/nature</vt:lpwstr>
  </property>
  <property fmtid="{D5CDD505-2E9C-101B-9397-08002B2CF9AE}" pid="5" name="Mendeley Recent Style Id 0_1">
    <vt:lpwstr>http://www.zotero.org/styles/american-sociological-association</vt:lpwstr>
  </property>
  <property fmtid="{D5CDD505-2E9C-101B-9397-08002B2CF9AE}" pid="6" name="Mendeley Recent Style Name 0_1">
    <vt:lpwstr>American Sociological Association 6th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17th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Cite Them Right 10th edition - Harvard</vt:lpwstr>
  </property>
  <property fmtid="{D5CDD505-2E9C-101B-9397-08002B2CF9AE}" pid="11" name="Mendeley Recent Style Id 3_1">
    <vt:lpwstr>http://www.zotero.org/styles/geochemical-perspectives-letters</vt:lpwstr>
  </property>
  <property fmtid="{D5CDD505-2E9C-101B-9397-08002B2CF9AE}" pid="12" name="Mendeley Recent Style Name 3_1">
    <vt:lpwstr>Geochemical Perspectives Letters</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http://www.zotero.org/styles/quaternary-science-reviews</vt:lpwstr>
  </property>
  <property fmtid="{D5CDD505-2E9C-101B-9397-08002B2CF9AE}" pid="22" name="Mendeley Recent Style Name 8_1">
    <vt:lpwstr>Quaternary Science Reviews</vt:lpwstr>
  </property>
  <property fmtid="{D5CDD505-2E9C-101B-9397-08002B2CF9AE}" pid="23" name="Mendeley Recent Style Id 9_1">
    <vt:lpwstr>http://www.zotero.org/styles/science-advances</vt:lpwstr>
  </property>
  <property fmtid="{D5CDD505-2E9C-101B-9397-08002B2CF9AE}" pid="24" name="Mendeley Recent Style Name 9_1">
    <vt:lpwstr>Science Advances</vt:lpwstr>
  </property>
</Properties>
</file>