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BCAE75" w14:textId="5B34C684" w:rsidR="001760E5" w:rsidRDefault="00D81EFA">
      <w:r>
        <w:rPr>
          <w:rFonts w:ascii="Palatino Linotype" w:eastAsia="Times New Roman" w:hAnsi="Palatino Linotype" w:cs="Times New Roman"/>
          <w:noProof/>
          <w:color w:val="000000"/>
          <w:sz w:val="18"/>
          <w:szCs w:val="18"/>
          <w:lang w:val="fr-FR" w:eastAsia="fr-FR"/>
        </w:rPr>
        <w:drawing>
          <wp:inline distT="0" distB="0" distL="0" distR="0" wp14:anchorId="75BBCBC0" wp14:editId="40847F68">
            <wp:extent cx="3191851" cy="3888000"/>
            <wp:effectExtent l="0" t="0" r="889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al abstract.png"/>
                    <pic:cNvPicPr/>
                  </pic:nvPicPr>
                  <pic:blipFill rotWithShape="1">
                    <a:blip r:embed="rId4">
                      <a:extLst>
                        <a:ext uri="{28A0092B-C50C-407E-A947-70E740481C1C}">
                          <a14:useLocalDpi xmlns:a14="http://schemas.microsoft.com/office/drawing/2010/main" val="0"/>
                        </a:ext>
                      </a:extLst>
                    </a:blip>
                    <a:srcRect l="28617" r="25205"/>
                    <a:stretch/>
                  </pic:blipFill>
                  <pic:spPr bwMode="auto">
                    <a:xfrm>
                      <a:off x="0" y="0"/>
                      <a:ext cx="3191851" cy="3888000"/>
                    </a:xfrm>
                    <a:prstGeom prst="rect">
                      <a:avLst/>
                    </a:prstGeom>
                    <a:ln>
                      <a:noFill/>
                    </a:ln>
                    <a:extLst>
                      <a:ext uri="{53640926-AAD7-44D8-BBD7-CCE9431645EC}">
                        <a14:shadowObscured xmlns:a14="http://schemas.microsoft.com/office/drawing/2010/main"/>
                      </a:ext>
                    </a:extLst>
                  </pic:spPr>
                </pic:pic>
              </a:graphicData>
            </a:graphic>
          </wp:inline>
        </w:drawing>
      </w:r>
    </w:p>
    <w:p w14:paraId="1E46655B" w14:textId="77777777" w:rsidR="00D81EFA" w:rsidRPr="004F0C02" w:rsidRDefault="00D81EFA" w:rsidP="00D81EFA">
      <w:pPr>
        <w:adjustRightInd w:val="0"/>
        <w:snapToGrid w:val="0"/>
        <w:spacing w:before="240" w:after="120" w:line="228" w:lineRule="auto"/>
        <w:jc w:val="both"/>
        <w:rPr>
          <w:rFonts w:ascii="Palatino Linotype" w:eastAsia="Times New Roman" w:hAnsi="Palatino Linotype" w:cs="Times New Roman"/>
          <w:b/>
          <w:color w:val="000000"/>
          <w:sz w:val="18"/>
          <w:szCs w:val="20"/>
          <w:lang w:bidi="en-US"/>
        </w:rPr>
      </w:pPr>
      <w:r w:rsidRPr="004F0C02">
        <w:rPr>
          <w:rFonts w:ascii="Palatino Linotype" w:eastAsia="DengXian" w:hAnsi="Palatino Linotype" w:cs="Times New Roman"/>
          <w:b/>
          <w:bCs/>
          <w:color w:val="000000"/>
          <w:kern w:val="24"/>
          <w:sz w:val="18"/>
          <w:szCs w:val="18"/>
          <w:lang w:val="en-GB" w:bidi="en-US"/>
        </w:rPr>
        <w:t>Graphical abstract. Schematic summary describing effect of La Bourboule thermal spring water on keratinocyte activity</w:t>
      </w:r>
      <w:r w:rsidRPr="004F0C02">
        <w:rPr>
          <w:rFonts w:ascii="Palatino Linotype" w:eastAsia="Times New Roman" w:hAnsi="Palatino Linotype" w:cs="Times New Roman"/>
          <w:color w:val="000000"/>
          <w:sz w:val="18"/>
          <w:szCs w:val="18"/>
          <w:lang w:val="en-GB" w:bidi="en-US"/>
        </w:rPr>
        <w:t xml:space="preserve">. </w:t>
      </w:r>
      <w:r w:rsidRPr="004F0C02">
        <w:rPr>
          <w:rFonts w:ascii="Palatino Linotype" w:eastAsia="DengXian" w:hAnsi="Palatino Linotype" w:cs="Times New Roman"/>
          <w:color w:val="000000"/>
          <w:kern w:val="24"/>
          <w:sz w:val="18"/>
          <w:szCs w:val="18"/>
          <w:lang w:val="en-GB" w:bidi="en-US"/>
        </w:rPr>
        <w:t>Our data suggest that BW may modulate release of MMPs and cytokines as well as expression of genes involved in cellular cholesterol homeostasis. By this way, cell migration, inflammation, and ECM are controlled in conditions that facilitate wound healing. Broken arrows mean down-regulation of mRNA or protein accumulation and pointing arrows upregulation. ABCA1, ATP-binding cassette 1; ABCG1, ATP binding cassette subfamily G member 1; ECM, extracellular matrix; IDOL, inducible degrader of the LDLR; IL6, interleukin 6; TGFβ, transforming growth factor beta; TNFα, tumor necrosis factor alpha; MMP, matrix metallopeptidase.</w:t>
      </w:r>
    </w:p>
    <w:p w14:paraId="12B0A8BF" w14:textId="77777777" w:rsidR="00D81EFA" w:rsidRDefault="00D81EFA"/>
    <w:sectPr w:rsidR="00D81E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DengXian">
    <w:altName w:val="等线"/>
    <w:panose1 w:val="02010600030101010101"/>
    <w:charset w:val="86"/>
    <w:family w:val="auto"/>
    <w:pitch w:val="variable"/>
    <w:sig w:usb0="00000000"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FA"/>
    <w:rsid w:val="006E225C"/>
    <w:rsid w:val="008A3324"/>
    <w:rsid w:val="0096107C"/>
    <w:rsid w:val="00996CDB"/>
    <w:rsid w:val="009B6A41"/>
    <w:rsid w:val="00BA546E"/>
    <w:rsid w:val="00D81EFA"/>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51762"/>
  <w15:chartTrackingRefBased/>
  <w15:docId w15:val="{0162BAF2-4CEA-4432-BB9C-B5FFFCB9A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Words>
  <Characters>641</Characters>
  <Application>Microsoft Office Word</Application>
  <DocSecurity>0</DocSecurity>
  <Lines>8</Lines>
  <Paragraphs>2</Paragraphs>
  <ScaleCrop>false</ScaleCrop>
  <Company>Springer Nature</Company>
  <LinksUpToDate>false</LinksUpToDate>
  <CharactersWithSpaces>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2023-05-09T08:15:00Z</dcterms:created>
  <dcterms:modified xsi:type="dcterms:W3CDTF">2023-05-09T08:15:00Z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1fc7651a-4ab7-432a-9776-664c41b3a68f</vt:lpwstr>
  </property>
</Properties>
</file>