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S1: Plasmids used to create CCC by HDTV.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A. Schematic representation of plasmids used for hydrodynamic </w:t>
      </w:r>
      <w:proofErr w:type="spellStart"/>
      <w:r>
        <w:rPr>
          <w:sz w:val="24"/>
          <w:szCs w:val="24"/>
          <w:lang w:val="en-US"/>
        </w:rPr>
        <w:t>teil</w:t>
      </w:r>
      <w:proofErr w:type="spellEnd"/>
      <w:r>
        <w:rPr>
          <w:sz w:val="24"/>
          <w:szCs w:val="24"/>
          <w:lang w:val="en-US"/>
        </w:rPr>
        <w:t xml:space="preserve"> vein injections (</w:t>
      </w:r>
      <w:proofErr w:type="spellStart"/>
      <w:r>
        <w:rPr>
          <w:sz w:val="24"/>
          <w:szCs w:val="24"/>
          <w:lang w:val="en-US"/>
        </w:rPr>
        <w:t>HDTVi</w:t>
      </w:r>
      <w:proofErr w:type="spellEnd"/>
      <w:r>
        <w:rPr>
          <w:sz w:val="24"/>
          <w:szCs w:val="24"/>
          <w:lang w:val="en-US"/>
        </w:rPr>
        <w:t xml:space="preserve">).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B. H&amp;E analysis of tumor tissues from NOTCH/AKT and NOTCH/AKT/sgp27 vehicle treated mice. (Scale bar: 100 </w:t>
      </w:r>
      <w:proofErr w:type="spellStart"/>
      <w:r>
        <w:rPr>
          <w:sz w:val="24"/>
          <w:szCs w:val="24"/>
          <w:lang w:val="en-US"/>
        </w:rPr>
        <w:t>μm</w:t>
      </w:r>
      <w:proofErr w:type="spellEnd"/>
      <w:r>
        <w:rPr>
          <w:sz w:val="24"/>
          <w:szCs w:val="24"/>
          <w:lang w:val="en-US"/>
        </w:rPr>
        <w:t xml:space="preserve">)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C. Proliferative marker - Ki67 (left panel) and statistical analysis (right panel) of tumor tissues from NOTCH/AKT and NOTCH/AKT/sgp27 vehicle treated mice. (Scale bar: 100 </w:t>
      </w:r>
      <w:proofErr w:type="spellStart"/>
      <w:r>
        <w:rPr>
          <w:sz w:val="24"/>
          <w:szCs w:val="24"/>
          <w:lang w:val="en-US"/>
        </w:rPr>
        <w:t>μm</w:t>
      </w:r>
      <w:proofErr w:type="spellEnd"/>
      <w:r>
        <w:rPr>
          <w:sz w:val="24"/>
          <w:szCs w:val="24"/>
          <w:lang w:val="en-US"/>
        </w:rPr>
        <w:t>)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Fig. S2: Body weight and liver enzymes in vehicle treated mice.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A. Liver weight. B. Body weight. C. liver/body weight ratio. D, E, F liver enzymes.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G. total bilirubin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Fig. S3: Body weight and liver enzymes in gemcitabine treated mice.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A. Liver weight. B. Body weight. C. liver/body weight ratio. D, E, F liver enzymes.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G. total bilirubin</w:t>
      </w:r>
    </w:p>
    <w:p>
      <w:pPr>
        <w:rPr>
          <w:sz w:val="24"/>
          <w:szCs w:val="24"/>
          <w:lang w:val="en-US"/>
        </w:rPr>
      </w:pPr>
    </w:p>
    <w:p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Fig. S4: Loss of p27 leads to the unscheduled Homologous Recombination during the G1 phase of the cell cycle.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p27-/-, p27+/+, p27c-k- MEF cells were synchronized using serum starvation and release. Cells were irradiated during the S (A) or G1 (B) phase. 1 h after irradiation presence of Homologous Recombination pRAD51 was quantitated using fluorescence microscopy 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S5: Loss of p27kip1 enhances double strand repair by homologous recombination.</w:t>
      </w:r>
    </w:p>
    <w:p>
      <w:pPr>
        <w:rPr>
          <w:sz w:val="24"/>
          <w:szCs w:val="24"/>
          <w:lang w:val="en-US"/>
        </w:rPr>
      </w:pPr>
      <w:bookmarkStart w:id="0" w:name="_Hlk120627429"/>
      <w:r>
        <w:rPr>
          <w:sz w:val="24"/>
          <w:szCs w:val="24"/>
          <w:lang w:val="en-US"/>
        </w:rPr>
        <w:t xml:space="preserve">MEF cells (p27-/-, p27+/+ or p27c-k-) </w:t>
      </w:r>
      <w:bookmarkEnd w:id="0"/>
      <w:r>
        <w:rPr>
          <w:sz w:val="24"/>
          <w:szCs w:val="24"/>
          <w:lang w:val="en-US"/>
        </w:rPr>
        <w:t xml:space="preserve">stably expressing the </w:t>
      </w:r>
      <w:proofErr w:type="spellStart"/>
      <w:r>
        <w:rPr>
          <w:sz w:val="24"/>
          <w:szCs w:val="24"/>
          <w:lang w:val="en-US"/>
        </w:rPr>
        <w:t>pDRGFP</w:t>
      </w:r>
      <w:proofErr w:type="spellEnd"/>
      <w:r>
        <w:rPr>
          <w:sz w:val="24"/>
          <w:szCs w:val="24"/>
          <w:lang w:val="en-US"/>
        </w:rPr>
        <w:t xml:space="preserve"> plasmid were transfected with a </w:t>
      </w:r>
      <w:proofErr w:type="spellStart"/>
      <w:r>
        <w:rPr>
          <w:sz w:val="24"/>
          <w:szCs w:val="24"/>
          <w:lang w:val="en-US"/>
        </w:rPr>
        <w:t>pCBASceI</w:t>
      </w:r>
      <w:proofErr w:type="spellEnd"/>
      <w:r>
        <w:rPr>
          <w:sz w:val="24"/>
          <w:szCs w:val="24"/>
          <w:lang w:val="en-US"/>
        </w:rPr>
        <w:t xml:space="preserve"> plasmid to induce a DNA double strand break in the </w:t>
      </w:r>
      <w:proofErr w:type="spellStart"/>
      <w:r>
        <w:rPr>
          <w:sz w:val="24"/>
          <w:szCs w:val="24"/>
          <w:lang w:val="en-US"/>
        </w:rPr>
        <w:t>SceI</w:t>
      </w:r>
      <w:proofErr w:type="spellEnd"/>
      <w:r>
        <w:rPr>
          <w:sz w:val="24"/>
          <w:szCs w:val="24"/>
          <w:lang w:val="en-US"/>
        </w:rPr>
        <w:t xml:space="preserve"> recognition site of the GFP sequence. Homologous recombination-based repair was measured by detection of GFP expression by flow cytometry.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A. The principle of the method.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B. Experimental design of the experiment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S6: Deletion of p27 using CRISPR/Cas in S/P cells.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Efficiency of p27 deletion in to the two independent p27-/- S/P cell lines was determined using Western Blotting.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S7: Single and double phosphorylation mutants of RAD17 sites (RAD17S635A, RAD17S645A and RAD17AA) similarly to caffeine reduced or prevented dissociation of p27 from RAD17 after irradiation.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HeLa cells in which endogenous RAD17 was depleted by siRNA were used to reintroduce WT RAD17 or different mutant forms of the protein (Flag-tagged). The cells were pretreated with caffeine for 30 min, irradiated with 4 </w:t>
      </w:r>
      <w:proofErr w:type="spellStart"/>
      <w:r>
        <w:rPr>
          <w:sz w:val="24"/>
          <w:szCs w:val="24"/>
          <w:lang w:val="en-US"/>
        </w:rPr>
        <w:t>Gy</w:t>
      </w:r>
      <w:proofErr w:type="spellEnd"/>
      <w:r>
        <w:rPr>
          <w:sz w:val="24"/>
          <w:szCs w:val="24"/>
          <w:lang w:val="en-US"/>
        </w:rPr>
        <w:t xml:space="preserve"> and lysed 1h post-irradiation. Formation of p27/RAD17 complexes was analyzed by immunoprecipitation and Western Blotting.</w:t>
      </w: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Fig. S8: Binding of p27 to RAD17 is required to prevent premature phosphorylation of RAD17 by ATM during G0 and G1.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HeLa cells in which endogenous RAD17 was depleted by siRNA were used to reintroduce WT RAD17 or double (635, 645) mutant form of the protein (Flag-</w:t>
      </w:r>
      <w:proofErr w:type="spellStart"/>
      <w:r>
        <w:rPr>
          <w:sz w:val="24"/>
          <w:szCs w:val="24"/>
          <w:lang w:val="en-US"/>
        </w:rPr>
        <w:t>taged</w:t>
      </w:r>
      <w:proofErr w:type="spellEnd"/>
      <w:r>
        <w:rPr>
          <w:sz w:val="24"/>
          <w:szCs w:val="24"/>
          <w:lang w:val="en-US"/>
        </w:rPr>
        <w:t xml:space="preserve">). Cells after depletion of p27 using </w:t>
      </w:r>
      <w:proofErr w:type="spellStart"/>
      <w:r>
        <w:rPr>
          <w:sz w:val="24"/>
          <w:szCs w:val="24"/>
          <w:lang w:val="en-US"/>
        </w:rPr>
        <w:t>si</w:t>
      </w:r>
      <w:proofErr w:type="spellEnd"/>
      <w:r>
        <w:rPr>
          <w:sz w:val="24"/>
          <w:szCs w:val="24"/>
          <w:lang w:val="en-US"/>
        </w:rPr>
        <w:t xml:space="preserve">-RNA were synchronized using serum starvation and release were irradiated 4Gy.  Protein expression and complex formation of RAD17 and ATM or </w:t>
      </w:r>
      <w:proofErr w:type="spellStart"/>
      <w:r>
        <w:rPr>
          <w:sz w:val="24"/>
          <w:szCs w:val="24"/>
          <w:lang w:val="en-US"/>
        </w:rPr>
        <w:t>pATM</w:t>
      </w:r>
      <w:proofErr w:type="spellEnd"/>
      <w:r>
        <w:rPr>
          <w:sz w:val="24"/>
          <w:szCs w:val="24"/>
          <w:lang w:val="en-US"/>
        </w:rPr>
        <w:t xml:space="preserve"> was determined by immunoprecipitation and Western Blotting.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Fig. S9: Loss of RAD17 phosphorylation did not prevent ATM binding but prevented binding to MRN components and yH2AX </w:t>
      </w:r>
      <w:proofErr w:type="spellStart"/>
      <w:r>
        <w:rPr>
          <w:b/>
          <w:sz w:val="24"/>
          <w:szCs w:val="24"/>
          <w:lang w:val="en-US"/>
        </w:rPr>
        <w:t>apearence</w:t>
      </w:r>
      <w:proofErr w:type="spellEnd"/>
      <w:r>
        <w:rPr>
          <w:b/>
          <w:sz w:val="24"/>
          <w:szCs w:val="24"/>
          <w:lang w:val="en-US"/>
        </w:rPr>
        <w:t>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HeLa cells in which endogenous p27 and RAD17 was depleted by siRNA. In parallel WT RAD17 or double (635; 645) mutant forms of the protein was reintroduced. Next cells were irradiated 4Gy.  Protein expression and complex formation was determined by immunoprecipitation and Western Blotting after 30 or 60 min.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Fig. S10: During G0 and G1 phase p27 in preventing premature MRN interaction with RAD17 on damaged DNA independently of ability to inhibit cyclin </w:t>
      </w:r>
      <w:proofErr w:type="spellStart"/>
      <w:r>
        <w:rPr>
          <w:b/>
          <w:sz w:val="24"/>
          <w:szCs w:val="24"/>
          <w:lang w:val="en-US"/>
        </w:rPr>
        <w:t>cdk</w:t>
      </w:r>
      <w:proofErr w:type="spellEnd"/>
      <w:r>
        <w:rPr>
          <w:b/>
          <w:sz w:val="24"/>
          <w:szCs w:val="24"/>
          <w:lang w:val="en-US"/>
        </w:rPr>
        <w:t xml:space="preserve"> complex.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MEF cells (p27-/-, p27+/+ or p27c-k-) were synchronized using serum starvation and release and irradiated 4Gy. Cells were lysed on different times post-irradiation and chromatin associated proteins were isolated to determine RAD17-MRN complex formation by immunoprecipitation and Western Blotting.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S11: Inhibition of ATM and PARP in organoids derived from Notch/</w:t>
      </w:r>
      <w:proofErr w:type="spellStart"/>
      <w:r>
        <w:rPr>
          <w:b/>
          <w:sz w:val="24"/>
          <w:szCs w:val="24"/>
          <w:lang w:val="en-US"/>
        </w:rPr>
        <w:t>Akt</w:t>
      </w:r>
      <w:proofErr w:type="spellEnd"/>
      <w:r>
        <w:rPr>
          <w:b/>
          <w:sz w:val="24"/>
          <w:szCs w:val="24"/>
          <w:lang w:val="en-US"/>
        </w:rPr>
        <w:t xml:space="preserve">/sgp27 mice promote apoptosis after DNA damage.  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A. Organoids were treated with different DDR targeting drugs in combination with irradiation (1Gy) for 48h. Analysis of cleaved caspase 3 were determined by Western Blotting.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bookmarkStart w:id="1" w:name="_GoBack"/>
      <w:bookmarkEnd w:id="1"/>
      <w:r>
        <w:rPr>
          <w:sz w:val="24"/>
          <w:szCs w:val="24"/>
          <w:lang w:val="en-US"/>
        </w:rPr>
        <w:t>. Organoids were treated with different DDR targeting drugs in combination with gemcitabine for 48h. Analysis of cleaved caspase 3 were determined by Western Blotting.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S12: Organoids derived from Notch/</w:t>
      </w:r>
      <w:proofErr w:type="spellStart"/>
      <w:r>
        <w:rPr>
          <w:b/>
          <w:sz w:val="24"/>
          <w:szCs w:val="24"/>
          <w:lang w:val="en-US"/>
        </w:rPr>
        <w:t>Akt</w:t>
      </w:r>
      <w:proofErr w:type="spellEnd"/>
      <w:r>
        <w:rPr>
          <w:b/>
          <w:sz w:val="24"/>
          <w:szCs w:val="24"/>
          <w:lang w:val="en-US"/>
        </w:rPr>
        <w:t>/ and Notch/</w:t>
      </w:r>
      <w:proofErr w:type="spellStart"/>
      <w:r>
        <w:rPr>
          <w:b/>
          <w:sz w:val="24"/>
          <w:szCs w:val="24"/>
          <w:lang w:val="en-US"/>
        </w:rPr>
        <w:t>Akt</w:t>
      </w:r>
      <w:proofErr w:type="spellEnd"/>
      <w:r>
        <w:rPr>
          <w:b/>
          <w:sz w:val="24"/>
          <w:szCs w:val="24"/>
          <w:lang w:val="en-US"/>
        </w:rPr>
        <w:t>/sgp27 mice were only marginally sensitive to ATM and PARP inhibitors.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Viability assays of p27kip1 WT and p27kip1 KD CCA organoids in response to ATM and PARP inhibitors as quantitated using </w:t>
      </w:r>
      <w:proofErr w:type="spellStart"/>
      <w:r>
        <w:rPr>
          <w:sz w:val="24"/>
          <w:szCs w:val="24"/>
          <w:lang w:val="en-US"/>
        </w:rPr>
        <w:t>CellTiter</w:t>
      </w:r>
      <w:proofErr w:type="spellEnd"/>
      <w:r>
        <w:rPr>
          <w:sz w:val="24"/>
          <w:szCs w:val="24"/>
          <w:lang w:val="en-US"/>
        </w:rPr>
        <w:t xml:space="preserve">-Glo® Luminescent Cell Viability Assay.   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Fig. S13: Loss (but not c-k- mutation) of p27 in MEFs sensitizes to PARP inhibition after irradiation.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MEF cells (p27-/-, p27+/+ or p27c-k-) were treated with different concentration of </w:t>
      </w:r>
      <w:proofErr w:type="spellStart"/>
      <w:r>
        <w:rPr>
          <w:sz w:val="24"/>
          <w:szCs w:val="24"/>
          <w:lang w:val="en-US"/>
        </w:rPr>
        <w:t>olaparib</w:t>
      </w:r>
      <w:proofErr w:type="spellEnd"/>
      <w:r>
        <w:rPr>
          <w:sz w:val="24"/>
          <w:szCs w:val="24"/>
          <w:lang w:val="en-US"/>
        </w:rPr>
        <w:t xml:space="preserve"> and irradiated 4Gy. Cells were stained using annexing/PI and analyzed using flow cytometry.</w:t>
      </w:r>
    </w:p>
    <w:p>
      <w:pPr>
        <w:rPr>
          <w:sz w:val="24"/>
          <w:szCs w:val="24"/>
          <w:lang w:val="en-US"/>
        </w:rPr>
      </w:pPr>
    </w:p>
    <w:p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Tab. S1: Characteristics of cluster 1-3 corresponding to figure 6.</w:t>
      </w:r>
    </w:p>
    <w:p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Characteristics of cluster 1-3 are listed including total number of patients (n), number (%) of well (G1), moderately (G2) and poorly differentiated (G3) tumors, p27 IHC scores (median [interquartile range]) and γH2AX-IHC-Scores (median [interquartile range]) for each cluster and respective p- values of the multiple group comparisons (Kruskal-Wallis and Chi square test).</w:t>
      </w: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5201B"/>
    <w:multiLevelType w:val="hybridMultilevel"/>
    <w:tmpl w:val="FA7AB502"/>
    <w:lvl w:ilvl="0" w:tplc="53DA532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A31D2F"/>
    <w:multiLevelType w:val="hybridMultilevel"/>
    <w:tmpl w:val="C8D05D7A"/>
    <w:lvl w:ilvl="0" w:tplc="FDF6725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64FE2D-633E-4F3F-99CA-7F03C6879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Calibri" w:hAnsi="Arial" w:cs="Times New Roman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715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Universitaetsklinikum Tuebingen</Company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Przemyslaw Bozko</dc:creator>
  <cp:keywords/>
  <dc:description/>
  <cp:lastModifiedBy>Dr. Przemyslaw Bozko</cp:lastModifiedBy>
  <cp:revision>56</cp:revision>
  <cp:lastPrinted>2023-04-26T11:48:00Z</cp:lastPrinted>
  <dcterms:created xsi:type="dcterms:W3CDTF">2022-11-28T16:28:00Z</dcterms:created>
  <dcterms:modified xsi:type="dcterms:W3CDTF">2023-04-26T12:10:00Z</dcterms:modified>
</cp:coreProperties>
</file>