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087B0" w14:textId="77777777" w:rsidR="003B5B0D" w:rsidRPr="006A64FA" w:rsidRDefault="003B5B0D" w:rsidP="003B5B0D">
      <w:pPr>
        <w:pStyle w:val="Web"/>
        <w:rPr>
          <w:rFonts w:ascii="Times New Roman" w:hAnsi="Times New Roman" w:cs="Times New Roman"/>
          <w:b/>
          <w:bCs/>
          <w:sz w:val="32"/>
          <w:szCs w:val="32"/>
        </w:rPr>
      </w:pPr>
      <w:r w:rsidRPr="006A64FA">
        <w:rPr>
          <w:rFonts w:ascii="Times New Roman" w:hAnsi="Times New Roman" w:cs="Times New Roman"/>
          <w:b/>
          <w:bCs/>
          <w:sz w:val="32"/>
          <w:szCs w:val="32"/>
        </w:rPr>
        <w:t xml:space="preserve">Supporting information </w:t>
      </w:r>
    </w:p>
    <w:p w14:paraId="5442303F" w14:textId="77777777" w:rsidR="003B5B0D" w:rsidRPr="006A64FA" w:rsidRDefault="003B5B0D" w:rsidP="003B5B0D">
      <w:pPr>
        <w:pStyle w:val="Web"/>
        <w:rPr>
          <w:rFonts w:ascii="Times New Roman" w:hAnsi="Times New Roman" w:cs="Times New Roman"/>
        </w:rPr>
      </w:pPr>
      <w:r w:rsidRPr="006A64FA">
        <w:rPr>
          <w:rFonts w:ascii="Times New Roman" w:hAnsi="Times New Roman" w:cs="Times New Roman"/>
          <w:b/>
          <w:bCs/>
        </w:rPr>
        <w:t xml:space="preserve">Figure S1: Morphological changes, cell-fold changes, and stemness markers expression of </w:t>
      </w:r>
      <w:proofErr w:type="spellStart"/>
      <w:r w:rsidRPr="006A64FA">
        <w:rPr>
          <w:rFonts w:ascii="Times New Roman" w:hAnsi="Times New Roman" w:cs="Times New Roman"/>
          <w:b/>
          <w:bCs/>
        </w:rPr>
        <w:t>PaC</w:t>
      </w:r>
      <w:proofErr w:type="spellEnd"/>
      <w:r w:rsidRPr="006A64FA">
        <w:rPr>
          <w:rFonts w:ascii="Times New Roman" w:hAnsi="Times New Roman" w:cs="Times New Roman"/>
          <w:b/>
          <w:bCs/>
        </w:rPr>
        <w:t xml:space="preserve">-sphere cells derived from six </w:t>
      </w:r>
      <w:proofErr w:type="spellStart"/>
      <w:r w:rsidRPr="006A64FA">
        <w:rPr>
          <w:rFonts w:ascii="Times New Roman" w:hAnsi="Times New Roman" w:cs="Times New Roman"/>
          <w:b/>
          <w:bCs/>
        </w:rPr>
        <w:t>PaC</w:t>
      </w:r>
      <w:proofErr w:type="spellEnd"/>
      <w:r w:rsidRPr="006A64FA">
        <w:rPr>
          <w:rFonts w:ascii="Times New Roman" w:hAnsi="Times New Roman" w:cs="Times New Roman"/>
          <w:b/>
          <w:bCs/>
        </w:rPr>
        <w:t xml:space="preserve"> cell lines. </w:t>
      </w:r>
      <w:proofErr w:type="spellStart"/>
      <w:r w:rsidRPr="006A64FA">
        <w:rPr>
          <w:rFonts w:ascii="Times New Roman" w:hAnsi="Times New Roman" w:cs="Times New Roman"/>
        </w:rPr>
        <w:t>PaC</w:t>
      </w:r>
      <w:proofErr w:type="spellEnd"/>
      <w:r w:rsidRPr="006A64FA">
        <w:rPr>
          <w:rFonts w:ascii="Times New Roman" w:hAnsi="Times New Roman" w:cs="Times New Roman"/>
        </w:rPr>
        <w:t>-sphere cells derived from human (</w:t>
      </w:r>
      <w:r w:rsidRPr="006A64FA">
        <w:rPr>
          <w:rFonts w:ascii="Times New Roman" w:hAnsi="Times New Roman" w:cs="Times New Roman"/>
          <w:b/>
          <w:bCs/>
        </w:rPr>
        <w:t xml:space="preserve">A) </w:t>
      </w:r>
      <w:r w:rsidRPr="006A64FA">
        <w:rPr>
          <w:rFonts w:ascii="Times New Roman" w:hAnsi="Times New Roman" w:cs="Times New Roman"/>
        </w:rPr>
        <w:t>CFPAC1, (</w:t>
      </w:r>
      <w:r w:rsidRPr="006A64FA">
        <w:rPr>
          <w:rFonts w:ascii="Times New Roman" w:hAnsi="Times New Roman" w:cs="Times New Roman"/>
          <w:b/>
          <w:bCs/>
        </w:rPr>
        <w:t xml:space="preserve">B) </w:t>
      </w:r>
      <w:r w:rsidRPr="006A64FA">
        <w:rPr>
          <w:rFonts w:ascii="Times New Roman" w:hAnsi="Times New Roman" w:cs="Times New Roman"/>
        </w:rPr>
        <w:t>SU8686, (</w:t>
      </w:r>
      <w:r w:rsidRPr="006A64FA">
        <w:rPr>
          <w:rFonts w:ascii="Times New Roman" w:hAnsi="Times New Roman" w:cs="Times New Roman"/>
          <w:b/>
          <w:bCs/>
        </w:rPr>
        <w:t xml:space="preserve">C) </w:t>
      </w:r>
      <w:r w:rsidRPr="006A64FA">
        <w:rPr>
          <w:rFonts w:ascii="Times New Roman" w:hAnsi="Times New Roman" w:cs="Times New Roman"/>
        </w:rPr>
        <w:t>HPAF2, (</w:t>
      </w:r>
      <w:r w:rsidRPr="006A64FA">
        <w:rPr>
          <w:rFonts w:ascii="Times New Roman" w:hAnsi="Times New Roman" w:cs="Times New Roman"/>
          <w:b/>
          <w:bCs/>
        </w:rPr>
        <w:t>D</w:t>
      </w:r>
      <w:r w:rsidRPr="006A64FA">
        <w:rPr>
          <w:rFonts w:ascii="Times New Roman" w:hAnsi="Times New Roman" w:cs="Times New Roman"/>
        </w:rPr>
        <w:t>) ASPC1, (</w:t>
      </w:r>
      <w:r w:rsidRPr="006A64FA">
        <w:rPr>
          <w:rFonts w:ascii="Times New Roman" w:hAnsi="Times New Roman" w:cs="Times New Roman"/>
          <w:b/>
          <w:bCs/>
        </w:rPr>
        <w:t>E</w:t>
      </w:r>
      <w:r w:rsidRPr="006A64FA">
        <w:rPr>
          <w:rFonts w:ascii="Times New Roman" w:hAnsi="Times New Roman" w:cs="Times New Roman"/>
        </w:rPr>
        <w:t>) MIAPaCa-2, and (</w:t>
      </w:r>
      <w:r w:rsidRPr="006A64FA">
        <w:rPr>
          <w:rFonts w:ascii="Times New Roman" w:hAnsi="Times New Roman" w:cs="Times New Roman"/>
          <w:b/>
          <w:bCs/>
        </w:rPr>
        <w:t>F</w:t>
      </w:r>
      <w:r w:rsidRPr="006A64FA">
        <w:rPr>
          <w:rFonts w:ascii="Times New Roman" w:hAnsi="Times New Roman" w:cs="Times New Roman"/>
        </w:rPr>
        <w:t>) Capan1 cells at days 0 and 8 using 2D culture system. Sphere cells were then collected at the indicated time points for cell surface CD44 and CD133 expression assessed by flow cytometric analysis. Optical microscopy observed cell-fold changes correlated with CD44 and CD133 expressions and morphological changes during the sphere-induction period.</w:t>
      </w:r>
    </w:p>
    <w:p w14:paraId="0A41BB67" w14:textId="77777777" w:rsidR="003B5B0D" w:rsidRPr="006A64FA" w:rsidRDefault="003B5B0D" w:rsidP="003B5B0D">
      <w:pPr>
        <w:rPr>
          <w:rFonts w:ascii="Times New Roman" w:hAnsi="Times New Roman" w:cs="Times New Roman"/>
        </w:rPr>
      </w:pPr>
    </w:p>
    <w:p w14:paraId="16BF2215" w14:textId="1EC5D6CC" w:rsidR="003B5B0D" w:rsidRPr="006A64FA" w:rsidRDefault="003B5B0D" w:rsidP="003B5B0D">
      <w:pPr>
        <w:pStyle w:val="Web"/>
        <w:rPr>
          <w:rFonts w:ascii="Times New Roman" w:hAnsi="Times New Roman" w:cs="Times New Roman"/>
        </w:rPr>
      </w:pPr>
      <w:r w:rsidRPr="006A64FA">
        <w:rPr>
          <w:rFonts w:ascii="Times New Roman" w:hAnsi="Times New Roman" w:cs="Times New Roman"/>
          <w:b/>
          <w:bCs/>
        </w:rPr>
        <w:t xml:space="preserve">Figure S2: Morphological changes and stemness markers expression of </w:t>
      </w:r>
      <w:proofErr w:type="spellStart"/>
      <w:r w:rsidRPr="006A64FA">
        <w:rPr>
          <w:rFonts w:ascii="Times New Roman" w:hAnsi="Times New Roman" w:cs="Times New Roman"/>
          <w:b/>
          <w:bCs/>
        </w:rPr>
        <w:t>PaC</w:t>
      </w:r>
      <w:proofErr w:type="spellEnd"/>
      <w:r w:rsidRPr="006A64FA">
        <w:rPr>
          <w:rFonts w:ascii="Times New Roman" w:hAnsi="Times New Roman" w:cs="Times New Roman"/>
          <w:b/>
          <w:bCs/>
        </w:rPr>
        <w:t xml:space="preserve">-sphere cells derived from MIAPaCa-2, Capan1, and </w:t>
      </w:r>
      <w:r w:rsidR="00975C9A">
        <w:rPr>
          <w:rFonts w:ascii="Times New Roman" w:hAnsi="Times New Roman" w:cs="Times New Roman"/>
          <w:b/>
          <w:bCs/>
        </w:rPr>
        <w:t>CAF</w:t>
      </w:r>
      <w:r w:rsidRPr="006A64FA">
        <w:rPr>
          <w:rFonts w:ascii="Times New Roman" w:hAnsi="Times New Roman" w:cs="Times New Roman"/>
          <w:b/>
          <w:bCs/>
        </w:rPr>
        <w:t xml:space="preserve"> cells. </w:t>
      </w:r>
      <w:proofErr w:type="spellStart"/>
      <w:r w:rsidRPr="006A64FA">
        <w:rPr>
          <w:rFonts w:ascii="Times New Roman" w:hAnsi="Times New Roman" w:cs="Times New Roman"/>
        </w:rPr>
        <w:t>PaC</w:t>
      </w:r>
      <w:proofErr w:type="spellEnd"/>
      <w:r w:rsidRPr="006A64FA">
        <w:rPr>
          <w:rFonts w:ascii="Times New Roman" w:hAnsi="Times New Roman" w:cs="Times New Roman"/>
        </w:rPr>
        <w:t xml:space="preserve">-sphere cells derived from human </w:t>
      </w:r>
      <w:r w:rsidRPr="006A64FA">
        <w:rPr>
          <w:rFonts w:ascii="Times New Roman" w:hAnsi="Times New Roman" w:cs="Times New Roman"/>
          <w:b/>
          <w:bCs/>
        </w:rPr>
        <w:t xml:space="preserve">(A and B) </w:t>
      </w:r>
      <w:proofErr w:type="spellStart"/>
      <w:r w:rsidRPr="006A64FA">
        <w:rPr>
          <w:rFonts w:ascii="Times New Roman" w:hAnsi="Times New Roman" w:cs="Times New Roman"/>
        </w:rPr>
        <w:t>MIAPaCa</w:t>
      </w:r>
      <w:proofErr w:type="spellEnd"/>
      <w:r w:rsidRPr="006A64FA">
        <w:rPr>
          <w:rFonts w:ascii="Times New Roman" w:hAnsi="Times New Roman" w:cs="Times New Roman"/>
        </w:rPr>
        <w:t xml:space="preserve">- 2, </w:t>
      </w:r>
      <w:r w:rsidRPr="006A64FA">
        <w:rPr>
          <w:rFonts w:ascii="Times New Roman" w:hAnsi="Times New Roman" w:cs="Times New Roman"/>
          <w:b/>
          <w:bCs/>
        </w:rPr>
        <w:t xml:space="preserve">(C and D) </w:t>
      </w:r>
      <w:r w:rsidRPr="006A64FA">
        <w:rPr>
          <w:rFonts w:ascii="Times New Roman" w:hAnsi="Times New Roman" w:cs="Times New Roman"/>
        </w:rPr>
        <w:t xml:space="preserve">Capan1, and </w:t>
      </w:r>
      <w:r w:rsidRPr="006A64FA">
        <w:rPr>
          <w:rFonts w:ascii="Times New Roman" w:hAnsi="Times New Roman" w:cs="Times New Roman"/>
          <w:b/>
          <w:bCs/>
        </w:rPr>
        <w:t xml:space="preserve">(E and F) </w:t>
      </w:r>
      <w:r w:rsidR="00975C9A">
        <w:rPr>
          <w:rFonts w:ascii="Times New Roman" w:hAnsi="Times New Roman" w:cs="Times New Roman"/>
        </w:rPr>
        <w:t>CAF</w:t>
      </w:r>
      <w:r w:rsidRPr="006A64FA">
        <w:rPr>
          <w:rFonts w:ascii="Times New Roman" w:hAnsi="Times New Roman" w:cs="Times New Roman"/>
        </w:rPr>
        <w:t xml:space="preserve"> cells at days 4, 8, 12, and 16 using 2D culture system. Sphere cells were then collected at each indicated time point for cell surface markers CD44 and CD133 expression assessed using flow cytometric analysis, cell morphological changes by optical microscopy imaging, and cell-fold change correlated with CD44 and CD133 expressions during the sphere-induction period. </w:t>
      </w:r>
    </w:p>
    <w:p w14:paraId="3D8B33EE" w14:textId="77777777" w:rsidR="003B5B0D" w:rsidRPr="006A64FA" w:rsidRDefault="003B5B0D" w:rsidP="003B5B0D">
      <w:pPr>
        <w:pStyle w:val="Web"/>
        <w:rPr>
          <w:rFonts w:ascii="Times New Roman" w:hAnsi="Times New Roman" w:cs="Times New Roman"/>
        </w:rPr>
      </w:pPr>
    </w:p>
    <w:p w14:paraId="2054030F" w14:textId="4C77349B" w:rsidR="003B5B0D" w:rsidRPr="006A64FA" w:rsidRDefault="003B5B0D" w:rsidP="003B5B0D">
      <w:pPr>
        <w:pStyle w:val="Web"/>
        <w:shd w:val="clear" w:color="auto" w:fill="FFFFFF"/>
        <w:rPr>
          <w:rFonts w:ascii="Times New Roman" w:hAnsi="Times New Roman" w:cs="Times New Roman"/>
          <w:color w:val="000000" w:themeColor="text1"/>
        </w:rPr>
      </w:pPr>
      <w:r w:rsidRPr="006A64FA">
        <w:rPr>
          <w:rFonts w:ascii="Times New Roman" w:hAnsi="Times New Roman" w:cs="Times New Roman"/>
          <w:b/>
          <w:bCs/>
          <w:color w:val="000000" w:themeColor="text1"/>
        </w:rPr>
        <w:t>Figure S3. N-Cadherin levels were significantly increased in spheres under 3D culture system compared to 2D culture condition.</w:t>
      </w:r>
      <w:r w:rsidRPr="006A64FA">
        <w:rPr>
          <w:rFonts w:ascii="Times New Roman" w:hAnsi="Times New Roman" w:cs="Times New Roman"/>
          <w:color w:val="000000" w:themeColor="text1"/>
        </w:rPr>
        <w:t xml:space="preserve"> Human </w:t>
      </w:r>
      <w:proofErr w:type="spellStart"/>
      <w:r w:rsidRPr="006A64FA">
        <w:rPr>
          <w:rFonts w:ascii="Times New Roman" w:hAnsi="Times New Roman" w:cs="Times New Roman"/>
          <w:color w:val="000000" w:themeColor="text1"/>
        </w:rPr>
        <w:t>PaC</w:t>
      </w:r>
      <w:proofErr w:type="spellEnd"/>
      <w:r w:rsidRPr="006A64FA">
        <w:rPr>
          <w:rFonts w:ascii="Times New Roman" w:hAnsi="Times New Roman" w:cs="Times New Roman"/>
          <w:color w:val="000000" w:themeColor="text1"/>
        </w:rPr>
        <w:t xml:space="preserve"> cells, MIA PaCa-2 and Capan1, and </w:t>
      </w:r>
      <w:r w:rsidR="00975C9A">
        <w:rPr>
          <w:rFonts w:ascii="Times New Roman" w:hAnsi="Times New Roman" w:cs="Times New Roman"/>
          <w:color w:val="000000" w:themeColor="text1"/>
        </w:rPr>
        <w:t>CAF</w:t>
      </w:r>
      <w:r w:rsidRPr="006A64FA">
        <w:rPr>
          <w:rFonts w:ascii="Times New Roman" w:hAnsi="Times New Roman" w:cs="Times New Roman"/>
          <w:color w:val="000000" w:themeColor="text1"/>
        </w:rPr>
        <w:t xml:space="preserve"> cells with parental (p)-and sphere-type from 2D and 3D culture conditions were collected for cell surface E-Cadherin and N-Cadherin levels examination using flow cytometry analysis. Data represented are the ratios of </w:t>
      </w:r>
      <w:proofErr w:type="spellStart"/>
      <w:r w:rsidRPr="006A64FA">
        <w:rPr>
          <w:rFonts w:ascii="Times New Roman" w:hAnsi="Times New Roman" w:cs="Times New Roman"/>
          <w:color w:val="000000" w:themeColor="text1"/>
        </w:rPr>
        <w:t>E-Cadherin+Ncadherin</w:t>
      </w:r>
      <w:proofErr w:type="spellEnd"/>
      <w:r w:rsidRPr="006A64FA">
        <w:rPr>
          <w:rFonts w:ascii="Times New Roman" w:hAnsi="Times New Roman" w:cs="Times New Roman"/>
          <w:color w:val="000000" w:themeColor="text1"/>
        </w:rPr>
        <w:t xml:space="preserve">+ cells (%) to E-Cadherin+ cells (%) and N-Cadherin+ cells (%), respectively. </w:t>
      </w:r>
      <w:r>
        <w:rPr>
          <w:rFonts w:ascii="Times New Roman" w:hAnsi="Times New Roman" w:cs="Times New Roman"/>
          <w:color w:val="000000" w:themeColor="text1"/>
        </w:rPr>
        <w:t>(</w:t>
      </w:r>
      <w:r w:rsidRPr="006A64FA">
        <w:rPr>
          <w:rFonts w:ascii="Times New Roman" w:hAnsi="Times New Roman" w:cs="Times New Roman"/>
          <w:color w:val="000000" w:themeColor="text1"/>
        </w:rPr>
        <w:t>*p &lt; 0.05; **p &lt; 0.01; ***p &lt; 0.001.</w:t>
      </w:r>
      <w:r>
        <w:rPr>
          <w:rFonts w:ascii="Times New Roman" w:hAnsi="Times New Roman" w:cs="Times New Roman"/>
          <w:color w:val="000000" w:themeColor="text1"/>
        </w:rPr>
        <w:t>)</w:t>
      </w:r>
    </w:p>
    <w:p w14:paraId="520628DF" w14:textId="77777777" w:rsidR="003B5B0D" w:rsidRPr="006A64FA" w:rsidRDefault="003B5B0D" w:rsidP="003B5B0D">
      <w:pPr>
        <w:rPr>
          <w:rFonts w:ascii="Times New Roman" w:hAnsi="Times New Roman" w:cs="Times New Roman"/>
        </w:rPr>
      </w:pPr>
    </w:p>
    <w:p w14:paraId="515AC55B" w14:textId="2AF34687" w:rsidR="003B5B0D" w:rsidRPr="006A64FA" w:rsidRDefault="003B5B0D" w:rsidP="003B5B0D">
      <w:pPr>
        <w:pStyle w:val="Web"/>
        <w:rPr>
          <w:rFonts w:ascii="Times New Roman" w:hAnsi="Times New Roman" w:cs="Times New Roman"/>
          <w:color w:val="000000" w:themeColor="text1"/>
        </w:rPr>
      </w:pPr>
      <w:r w:rsidRPr="006A64FA">
        <w:rPr>
          <w:rFonts w:ascii="Times New Roman" w:hAnsi="Times New Roman" w:cs="Times New Roman"/>
          <w:b/>
          <w:bCs/>
          <w:color w:val="000000" w:themeColor="text1"/>
        </w:rPr>
        <w:t xml:space="preserve">Figure S4: CXCR3 expression of </w:t>
      </w:r>
      <w:proofErr w:type="spellStart"/>
      <w:r w:rsidRPr="006A64FA">
        <w:rPr>
          <w:rFonts w:ascii="Times New Roman" w:hAnsi="Times New Roman" w:cs="Times New Roman"/>
          <w:b/>
          <w:bCs/>
          <w:color w:val="000000" w:themeColor="text1"/>
        </w:rPr>
        <w:t>PaC</w:t>
      </w:r>
      <w:proofErr w:type="spellEnd"/>
      <w:r w:rsidRPr="006A64FA">
        <w:rPr>
          <w:rFonts w:ascii="Times New Roman" w:hAnsi="Times New Roman" w:cs="Times New Roman"/>
          <w:b/>
          <w:bCs/>
          <w:color w:val="000000" w:themeColor="text1"/>
        </w:rPr>
        <w:t xml:space="preserve"> parental and sphere cells derived from individual or co-culture cells in 3D culture system.</w:t>
      </w:r>
      <w:r w:rsidRPr="006A64FA">
        <w:rPr>
          <w:rFonts w:ascii="Times New Roman" w:hAnsi="Times New Roman" w:cs="Times New Roman"/>
          <w:color w:val="000000" w:themeColor="text1"/>
        </w:rPr>
        <w:t xml:space="preserve"> A day 4 induction of </w:t>
      </w:r>
      <w:proofErr w:type="spellStart"/>
      <w:r w:rsidRPr="006A64FA">
        <w:rPr>
          <w:rFonts w:ascii="Times New Roman" w:hAnsi="Times New Roman" w:cs="Times New Roman"/>
          <w:color w:val="000000" w:themeColor="text1"/>
        </w:rPr>
        <w:t>PaC</w:t>
      </w:r>
      <w:proofErr w:type="spellEnd"/>
      <w:r w:rsidRPr="006A64FA">
        <w:rPr>
          <w:rFonts w:ascii="Times New Roman" w:hAnsi="Times New Roman" w:cs="Times New Roman"/>
          <w:color w:val="000000" w:themeColor="text1"/>
        </w:rPr>
        <w:t xml:space="preserve"> sphere cells derived from human </w:t>
      </w:r>
      <w:r w:rsidRPr="006A64FA">
        <w:rPr>
          <w:rFonts w:ascii="Times New Roman" w:hAnsi="Times New Roman" w:cs="Times New Roman"/>
          <w:b/>
          <w:bCs/>
          <w:color w:val="000000" w:themeColor="text1"/>
        </w:rPr>
        <w:t>(upper panel)</w:t>
      </w:r>
      <w:r w:rsidRPr="006A64FA">
        <w:rPr>
          <w:rFonts w:ascii="Times New Roman" w:hAnsi="Times New Roman" w:cs="Times New Roman"/>
          <w:color w:val="000000" w:themeColor="text1"/>
        </w:rPr>
        <w:t xml:space="preserve"> </w:t>
      </w:r>
      <w:r w:rsidR="00975C9A">
        <w:rPr>
          <w:rFonts w:ascii="Times New Roman" w:hAnsi="Times New Roman" w:cs="Times New Roman"/>
          <w:color w:val="000000" w:themeColor="text1"/>
        </w:rPr>
        <w:t>CAF</w:t>
      </w:r>
      <w:r w:rsidRPr="006A64FA">
        <w:rPr>
          <w:rFonts w:ascii="Times New Roman" w:hAnsi="Times New Roman" w:cs="Times New Roman"/>
          <w:color w:val="000000" w:themeColor="text1"/>
        </w:rPr>
        <w:t>, (</w:t>
      </w:r>
      <w:r w:rsidRPr="006A64FA">
        <w:rPr>
          <w:rFonts w:ascii="Times New Roman" w:hAnsi="Times New Roman" w:cs="Times New Roman"/>
          <w:b/>
          <w:bCs/>
          <w:color w:val="000000" w:themeColor="text1"/>
        </w:rPr>
        <w:t xml:space="preserve">middle panel) </w:t>
      </w:r>
      <w:r w:rsidRPr="006A64FA">
        <w:rPr>
          <w:rFonts w:ascii="Times New Roman" w:hAnsi="Times New Roman" w:cs="Times New Roman"/>
          <w:color w:val="000000" w:themeColor="text1"/>
        </w:rPr>
        <w:t xml:space="preserve">MIAPaCa-2, and </w:t>
      </w:r>
      <w:r w:rsidRPr="006A64FA">
        <w:rPr>
          <w:rFonts w:ascii="Times New Roman" w:hAnsi="Times New Roman" w:cs="Times New Roman"/>
          <w:b/>
          <w:bCs/>
          <w:color w:val="000000" w:themeColor="text1"/>
        </w:rPr>
        <w:t>(lower panel)</w:t>
      </w:r>
      <w:r w:rsidRPr="006A64FA">
        <w:rPr>
          <w:rFonts w:ascii="Times New Roman" w:hAnsi="Times New Roman" w:cs="Times New Roman"/>
          <w:color w:val="000000" w:themeColor="text1"/>
        </w:rPr>
        <w:t xml:space="preserve"> Capan1 cells cultured either alone or in combination. Represented </w:t>
      </w:r>
      <w:r w:rsidRPr="006A64FA">
        <w:rPr>
          <w:rFonts w:ascii="Times New Roman" w:hAnsi="Times New Roman" w:cs="Times New Roman"/>
          <w:color w:val="000000" w:themeColor="text1"/>
        </w:rPr>
        <w:lastRenderedPageBreak/>
        <w:t>dot-plot results were cell surface CXCR3 expression assessed by flow cytometric analysis.</w:t>
      </w:r>
    </w:p>
    <w:p w14:paraId="225225CD" w14:textId="77777777" w:rsidR="003B5B0D" w:rsidRPr="006A64FA" w:rsidRDefault="003B5B0D" w:rsidP="003B5B0D">
      <w:pPr>
        <w:rPr>
          <w:rFonts w:ascii="Times New Roman" w:hAnsi="Times New Roman" w:cs="Times New Roman"/>
        </w:rPr>
      </w:pPr>
    </w:p>
    <w:p w14:paraId="4480F8F9" w14:textId="77777777" w:rsidR="003B5B0D" w:rsidRPr="006A64FA" w:rsidRDefault="003B5B0D" w:rsidP="003B5B0D">
      <w:pPr>
        <w:pStyle w:val="Web"/>
        <w:shd w:val="clear" w:color="auto" w:fill="FFFFFF"/>
        <w:rPr>
          <w:rFonts w:ascii="Times New Roman" w:hAnsi="Times New Roman" w:cs="Times New Roman"/>
          <w:color w:val="000000" w:themeColor="text1"/>
        </w:rPr>
      </w:pPr>
      <w:r w:rsidRPr="006A64FA">
        <w:rPr>
          <w:rFonts w:ascii="Times New Roman" w:hAnsi="Times New Roman" w:cs="Times New Roman"/>
          <w:b/>
          <w:bCs/>
          <w:color w:val="000000" w:themeColor="text1"/>
        </w:rPr>
        <w:t xml:space="preserve">Figure S5A. Compare the growth inhibition of cisplatin (CDDP) and paclitaxel (PTX), respectively in MIA PaCa-2 parental cells (MIA PaCa-2-P) and MIA PaCa-2 induced-spheroid cells (MIA PaCa-2-sphere) derived from days 1, 5, and 9 pretreated with 1 </w:t>
      </w:r>
      <w:r w:rsidRPr="006A64FA">
        <w:rPr>
          <w:rFonts w:ascii="Cambria Math" w:hAnsi="Cambria Math" w:cs="Cambria Math"/>
          <w:b/>
          <w:bCs/>
          <w:color w:val="000000" w:themeColor="text1"/>
        </w:rPr>
        <w:t>𝝻</w:t>
      </w:r>
      <w:r w:rsidRPr="006A64FA">
        <w:rPr>
          <w:rFonts w:ascii="Times New Roman" w:hAnsi="Times New Roman" w:cs="Times New Roman"/>
          <w:b/>
          <w:bCs/>
          <w:color w:val="000000" w:themeColor="text1"/>
        </w:rPr>
        <w:t xml:space="preserve">M CDDP + 1 </w:t>
      </w:r>
      <w:proofErr w:type="spellStart"/>
      <w:r w:rsidRPr="006A64FA">
        <w:rPr>
          <w:rFonts w:ascii="Times New Roman" w:hAnsi="Times New Roman" w:cs="Times New Roman"/>
          <w:b/>
          <w:bCs/>
          <w:color w:val="000000" w:themeColor="text1"/>
        </w:rPr>
        <w:t>nM</w:t>
      </w:r>
      <w:proofErr w:type="spellEnd"/>
      <w:r w:rsidRPr="006A64FA">
        <w:rPr>
          <w:rFonts w:ascii="Times New Roman" w:hAnsi="Times New Roman" w:cs="Times New Roman"/>
          <w:b/>
          <w:bCs/>
          <w:color w:val="000000" w:themeColor="text1"/>
        </w:rPr>
        <w:t xml:space="preserve"> PTX in 2D- and 1.4 </w:t>
      </w:r>
      <w:r w:rsidRPr="006A64FA">
        <w:rPr>
          <w:rFonts w:ascii="Cambria Math" w:hAnsi="Cambria Math" w:cs="Cambria Math"/>
          <w:b/>
          <w:bCs/>
          <w:color w:val="000000" w:themeColor="text1"/>
        </w:rPr>
        <w:t>𝝻</w:t>
      </w:r>
      <w:r w:rsidRPr="006A64FA">
        <w:rPr>
          <w:rFonts w:ascii="Times New Roman" w:hAnsi="Times New Roman" w:cs="Times New Roman"/>
          <w:b/>
          <w:bCs/>
          <w:color w:val="000000" w:themeColor="text1"/>
        </w:rPr>
        <w:t xml:space="preserve">M CDDP + 1.4 </w:t>
      </w:r>
      <w:proofErr w:type="spellStart"/>
      <w:r w:rsidRPr="006A64FA">
        <w:rPr>
          <w:rFonts w:ascii="Times New Roman" w:hAnsi="Times New Roman" w:cs="Times New Roman"/>
          <w:b/>
          <w:bCs/>
          <w:color w:val="000000" w:themeColor="text1"/>
        </w:rPr>
        <w:t>nM</w:t>
      </w:r>
      <w:proofErr w:type="spellEnd"/>
      <w:r w:rsidRPr="006A64FA">
        <w:rPr>
          <w:rFonts w:ascii="Times New Roman" w:hAnsi="Times New Roman" w:cs="Times New Roman"/>
          <w:b/>
          <w:bCs/>
          <w:color w:val="000000" w:themeColor="text1"/>
        </w:rPr>
        <w:t xml:space="preserve"> PTX in 3D- culture conditions.</w:t>
      </w:r>
      <w:r w:rsidRPr="006A64FA">
        <w:rPr>
          <w:rFonts w:ascii="Times New Roman" w:hAnsi="Times New Roman" w:cs="Times New Roman"/>
          <w:color w:val="000000" w:themeColor="text1"/>
        </w:rPr>
        <w:t xml:space="preserve"> Both CDDP and PTX were tested in the concentration ranges of 1.0-2.2 </w:t>
      </w:r>
      <w:r w:rsidRPr="006A64FA">
        <w:rPr>
          <w:rFonts w:ascii="Cambria Math" w:hAnsi="Cambria Math" w:cs="Cambria Math"/>
          <w:color w:val="000000" w:themeColor="text1"/>
        </w:rPr>
        <w:t>𝝻</w:t>
      </w:r>
      <w:r w:rsidRPr="006A64FA">
        <w:rPr>
          <w:rFonts w:ascii="Times New Roman" w:hAnsi="Times New Roman" w:cs="Times New Roman"/>
          <w:color w:val="000000" w:themeColor="text1"/>
        </w:rPr>
        <w:t xml:space="preserve">M and 1.0-2.2 </w:t>
      </w:r>
      <w:proofErr w:type="spellStart"/>
      <w:r w:rsidRPr="006A64FA">
        <w:rPr>
          <w:rFonts w:ascii="Times New Roman" w:hAnsi="Times New Roman" w:cs="Times New Roman"/>
          <w:color w:val="000000" w:themeColor="text1"/>
        </w:rPr>
        <w:t>nM</w:t>
      </w:r>
      <w:proofErr w:type="spellEnd"/>
      <w:r w:rsidRPr="006A64FA">
        <w:rPr>
          <w:rFonts w:ascii="Times New Roman" w:hAnsi="Times New Roman" w:cs="Times New Roman"/>
          <w:color w:val="000000" w:themeColor="text1"/>
        </w:rPr>
        <w:t xml:space="preserve">, respectively. The growth inhibition effect was considered significant when the inhibition rate was around 50% (IC50; green symbol). The IC50 of CDDP and PTX in A, 2D culture condition and B, 3D culture condition, respectively, are shown by indicated green color bars. Data shown were acquired from three independent experiments. </w:t>
      </w:r>
      <w:r w:rsidRPr="006A64FA">
        <w:rPr>
          <w:rFonts w:ascii="Times New Roman" w:hAnsi="Times New Roman" w:cs="Times New Roman"/>
          <w:b/>
          <w:bCs/>
          <w:color w:val="000000" w:themeColor="text1"/>
        </w:rPr>
        <w:t xml:space="preserve">S5B. Compare the growth inhibition of cisplatin (CDDP) and paclitaxel (PTX), respectively, in Capan1 parental cells (Capan1-P) and Capan1 induced-spheroid cells (Capan1-sphere) derived from days 1, 5, and 9 pretreated with 1 </w:t>
      </w:r>
      <w:r w:rsidRPr="006A64FA">
        <w:rPr>
          <w:rFonts w:ascii="Cambria Math" w:hAnsi="Cambria Math" w:cs="Cambria Math"/>
          <w:b/>
          <w:bCs/>
          <w:color w:val="000000" w:themeColor="text1"/>
        </w:rPr>
        <w:t>𝝻</w:t>
      </w:r>
      <w:r w:rsidRPr="006A64FA">
        <w:rPr>
          <w:rFonts w:ascii="Times New Roman" w:hAnsi="Times New Roman" w:cs="Times New Roman"/>
          <w:b/>
          <w:bCs/>
          <w:color w:val="000000" w:themeColor="text1"/>
        </w:rPr>
        <w:t xml:space="preserve">M CDDP + 1 </w:t>
      </w:r>
      <w:proofErr w:type="spellStart"/>
      <w:r w:rsidRPr="006A64FA">
        <w:rPr>
          <w:rFonts w:ascii="Times New Roman" w:hAnsi="Times New Roman" w:cs="Times New Roman"/>
          <w:b/>
          <w:bCs/>
          <w:color w:val="000000" w:themeColor="text1"/>
        </w:rPr>
        <w:t>nM</w:t>
      </w:r>
      <w:proofErr w:type="spellEnd"/>
      <w:r w:rsidRPr="006A64FA">
        <w:rPr>
          <w:rFonts w:ascii="Times New Roman" w:hAnsi="Times New Roman" w:cs="Times New Roman"/>
          <w:b/>
          <w:bCs/>
          <w:color w:val="000000" w:themeColor="text1"/>
        </w:rPr>
        <w:t xml:space="preserve"> PTX in 2D- and 1.4 </w:t>
      </w:r>
      <w:r w:rsidRPr="006A64FA">
        <w:rPr>
          <w:rFonts w:ascii="Cambria Math" w:hAnsi="Cambria Math" w:cs="Cambria Math"/>
          <w:b/>
          <w:bCs/>
          <w:color w:val="000000" w:themeColor="text1"/>
        </w:rPr>
        <w:t>𝝻</w:t>
      </w:r>
      <w:r w:rsidRPr="006A64FA">
        <w:rPr>
          <w:rFonts w:ascii="Times New Roman" w:hAnsi="Times New Roman" w:cs="Times New Roman"/>
          <w:b/>
          <w:bCs/>
          <w:color w:val="000000" w:themeColor="text1"/>
        </w:rPr>
        <w:t xml:space="preserve">M CDDP + 1.4 </w:t>
      </w:r>
      <w:proofErr w:type="spellStart"/>
      <w:r w:rsidRPr="006A64FA">
        <w:rPr>
          <w:rFonts w:ascii="Times New Roman" w:hAnsi="Times New Roman" w:cs="Times New Roman"/>
          <w:b/>
          <w:bCs/>
          <w:color w:val="000000" w:themeColor="text1"/>
        </w:rPr>
        <w:t>nM</w:t>
      </w:r>
      <w:proofErr w:type="spellEnd"/>
      <w:r w:rsidRPr="006A64FA">
        <w:rPr>
          <w:rFonts w:ascii="Times New Roman" w:hAnsi="Times New Roman" w:cs="Times New Roman"/>
          <w:b/>
          <w:bCs/>
          <w:color w:val="000000" w:themeColor="text1"/>
        </w:rPr>
        <w:t xml:space="preserve"> PTX in 3D- culture conditions.</w:t>
      </w:r>
      <w:r w:rsidRPr="006A64FA">
        <w:rPr>
          <w:rFonts w:ascii="Times New Roman" w:hAnsi="Times New Roman" w:cs="Times New Roman"/>
          <w:color w:val="000000" w:themeColor="text1"/>
        </w:rPr>
        <w:t xml:space="preserve"> Both CDDP and PTX were tested in the concentration ranges of 1.0-2.2 </w:t>
      </w:r>
      <w:r w:rsidRPr="006A64FA">
        <w:rPr>
          <w:rFonts w:ascii="Cambria Math" w:hAnsi="Cambria Math" w:cs="Cambria Math"/>
          <w:color w:val="000000" w:themeColor="text1"/>
        </w:rPr>
        <w:t>𝝻</w:t>
      </w:r>
      <w:r w:rsidRPr="006A64FA">
        <w:rPr>
          <w:rFonts w:ascii="Times New Roman" w:hAnsi="Times New Roman" w:cs="Times New Roman"/>
          <w:color w:val="000000" w:themeColor="text1"/>
        </w:rPr>
        <w:t xml:space="preserve">M and 1.0-2.2 </w:t>
      </w:r>
      <w:proofErr w:type="spellStart"/>
      <w:r w:rsidRPr="006A64FA">
        <w:rPr>
          <w:rFonts w:ascii="Times New Roman" w:hAnsi="Times New Roman" w:cs="Times New Roman"/>
          <w:color w:val="000000" w:themeColor="text1"/>
        </w:rPr>
        <w:t>nM</w:t>
      </w:r>
      <w:proofErr w:type="spellEnd"/>
      <w:r w:rsidRPr="006A64FA">
        <w:rPr>
          <w:rFonts w:ascii="Times New Roman" w:hAnsi="Times New Roman" w:cs="Times New Roman"/>
          <w:color w:val="000000" w:themeColor="text1"/>
        </w:rPr>
        <w:t xml:space="preserve">, respectively. The growth inhibition effect was considered significant when the inhibition rate was around 50% (IC50; green symbol). The IC50 of CDDP and PTX in A, 2D culture condition and B, 3D culture condition, respectively, are shown by indicated green color bars. Data shown were acquired from three independent experiments. </w:t>
      </w:r>
    </w:p>
    <w:p w14:paraId="22DC3795" w14:textId="77777777" w:rsidR="003B5B0D" w:rsidRPr="006A64FA" w:rsidRDefault="003B5B0D" w:rsidP="003B5B0D">
      <w:pPr>
        <w:rPr>
          <w:rFonts w:ascii="Times New Roman" w:hAnsi="Times New Roman" w:cs="Times New Roman"/>
        </w:rPr>
      </w:pPr>
    </w:p>
    <w:p w14:paraId="754D21C6" w14:textId="77777777" w:rsidR="003B5B0D" w:rsidRPr="006A64FA" w:rsidRDefault="003B5B0D" w:rsidP="003B5B0D">
      <w:pPr>
        <w:pStyle w:val="Web"/>
        <w:shd w:val="clear" w:color="auto" w:fill="FFFFFF"/>
        <w:rPr>
          <w:rFonts w:ascii="Times New Roman" w:hAnsi="Times New Roman" w:cs="Times New Roman"/>
          <w:b/>
          <w:bCs/>
          <w:color w:val="000000" w:themeColor="text1"/>
        </w:rPr>
      </w:pPr>
      <w:r w:rsidRPr="006A64FA">
        <w:rPr>
          <w:rFonts w:ascii="Times New Roman" w:hAnsi="Times New Roman" w:cs="Times New Roman"/>
          <w:b/>
          <w:bCs/>
          <w:color w:val="000000" w:themeColor="text1"/>
        </w:rPr>
        <w:t xml:space="preserve">Figure S6. Endogenous PAR1 expression in human MIA PaCa-2 and Capan1 cells. </w:t>
      </w:r>
      <w:proofErr w:type="spellStart"/>
      <w:r w:rsidRPr="006A64FA">
        <w:rPr>
          <w:rFonts w:ascii="Times New Roman" w:hAnsi="Times New Roman" w:cs="Times New Roman"/>
          <w:color w:val="000000" w:themeColor="text1"/>
        </w:rPr>
        <w:t>PaC</w:t>
      </w:r>
      <w:proofErr w:type="spellEnd"/>
      <w:r w:rsidRPr="006A64FA">
        <w:rPr>
          <w:rFonts w:ascii="Times New Roman" w:hAnsi="Times New Roman" w:cs="Times New Roman"/>
          <w:color w:val="000000" w:themeColor="text1"/>
        </w:rPr>
        <w:t xml:space="preserve"> cell lines MIA PaCa-2 and Capan1 were cultured for PAR1 level screening. Flow cytometry analysis of PAR1 surface expression on both cell lines using PE-anti-PAR1 </w:t>
      </w:r>
      <w:r>
        <w:rPr>
          <w:rFonts w:ascii="Times New Roman" w:hAnsi="Times New Roman" w:cs="Times New Roman"/>
          <w:color w:val="000000" w:themeColor="text1"/>
        </w:rPr>
        <w:t>antibody</w:t>
      </w:r>
      <w:r w:rsidRPr="006A64FA">
        <w:rPr>
          <w:rFonts w:ascii="Times New Roman" w:hAnsi="Times New Roman" w:cs="Times New Roman"/>
          <w:color w:val="000000" w:themeColor="text1"/>
        </w:rPr>
        <w:t xml:space="preserve"> versus an isotype control. PI staining was used for cell apoptosis detection. All data represent are at least from three independent experiments.</w:t>
      </w:r>
      <w:r w:rsidRPr="006A64FA">
        <w:rPr>
          <w:rFonts w:ascii="Times New Roman" w:hAnsi="Times New Roman" w:cs="Times New Roman" w:hint="eastAsia"/>
          <w:color w:val="000000" w:themeColor="text1"/>
        </w:rPr>
        <w:t xml:space="preserve"> </w:t>
      </w:r>
    </w:p>
    <w:p w14:paraId="39FE34FC" w14:textId="77777777" w:rsidR="00A6719C" w:rsidRPr="003B5B0D" w:rsidRDefault="00A6719C"/>
    <w:sectPr w:rsidR="00A6719C" w:rsidRPr="003B5B0D" w:rsidSect="00C721E9">
      <w:footerReference w:type="even" r:id="rId6"/>
      <w:footerReference w:type="default" r:id="rId7"/>
      <w:pgSz w:w="11900" w:h="16840"/>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30D22" w14:textId="77777777" w:rsidR="006A1DE0" w:rsidRDefault="006A1DE0">
      <w:r>
        <w:separator/>
      </w:r>
    </w:p>
  </w:endnote>
  <w:endnote w:type="continuationSeparator" w:id="0">
    <w:p w14:paraId="3F20CE47" w14:textId="77777777" w:rsidR="006A1DE0" w:rsidRDefault="006A1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1233576991"/>
      <w:docPartObj>
        <w:docPartGallery w:val="Page Numbers (Bottom of Page)"/>
        <w:docPartUnique/>
      </w:docPartObj>
    </w:sdtPr>
    <w:sdtContent>
      <w:p w14:paraId="2B15902F" w14:textId="77777777" w:rsidR="00352789" w:rsidRDefault="00000000" w:rsidP="002C1AC4">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end"/>
        </w:r>
      </w:p>
    </w:sdtContent>
  </w:sdt>
  <w:p w14:paraId="75491A3C" w14:textId="77777777" w:rsidR="00352789" w:rsidRDefault="0000000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191463699"/>
      <w:docPartObj>
        <w:docPartGallery w:val="Page Numbers (Bottom of Page)"/>
        <w:docPartUnique/>
      </w:docPartObj>
    </w:sdtPr>
    <w:sdtContent>
      <w:p w14:paraId="2B0A99AD" w14:textId="77777777" w:rsidR="00352789" w:rsidRDefault="00000000" w:rsidP="002C1AC4">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p>
    </w:sdtContent>
  </w:sdt>
  <w:p w14:paraId="50B64BBA" w14:textId="77777777" w:rsidR="00352789"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22F71" w14:textId="77777777" w:rsidR="006A1DE0" w:rsidRDefault="006A1DE0">
      <w:r>
        <w:separator/>
      </w:r>
    </w:p>
  </w:footnote>
  <w:footnote w:type="continuationSeparator" w:id="0">
    <w:p w14:paraId="4AC0C79F" w14:textId="77777777" w:rsidR="006A1DE0" w:rsidRDefault="006A1D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B0D"/>
    <w:rsid w:val="00004E2B"/>
    <w:rsid w:val="00022C94"/>
    <w:rsid w:val="00024309"/>
    <w:rsid w:val="00024E3A"/>
    <w:rsid w:val="00030408"/>
    <w:rsid w:val="00042902"/>
    <w:rsid w:val="00052389"/>
    <w:rsid w:val="000674ED"/>
    <w:rsid w:val="0008018D"/>
    <w:rsid w:val="0008399E"/>
    <w:rsid w:val="000870A0"/>
    <w:rsid w:val="000903E2"/>
    <w:rsid w:val="00097008"/>
    <w:rsid w:val="000B2C97"/>
    <w:rsid w:val="000B3082"/>
    <w:rsid w:val="000B4D96"/>
    <w:rsid w:val="000B63E8"/>
    <w:rsid w:val="0013092A"/>
    <w:rsid w:val="00141AEE"/>
    <w:rsid w:val="0014775F"/>
    <w:rsid w:val="00147AD3"/>
    <w:rsid w:val="00151C47"/>
    <w:rsid w:val="001774D4"/>
    <w:rsid w:val="001B441E"/>
    <w:rsid w:val="001C2E10"/>
    <w:rsid w:val="001C5D73"/>
    <w:rsid w:val="001F6A8F"/>
    <w:rsid w:val="00221912"/>
    <w:rsid w:val="00224350"/>
    <w:rsid w:val="00252345"/>
    <w:rsid w:val="002735C7"/>
    <w:rsid w:val="00280843"/>
    <w:rsid w:val="00292607"/>
    <w:rsid w:val="00296949"/>
    <w:rsid w:val="002B400B"/>
    <w:rsid w:val="002C498C"/>
    <w:rsid w:val="002C65D0"/>
    <w:rsid w:val="002C741C"/>
    <w:rsid w:val="002C7EE5"/>
    <w:rsid w:val="002E6C84"/>
    <w:rsid w:val="002F2E18"/>
    <w:rsid w:val="002F45A3"/>
    <w:rsid w:val="002F562A"/>
    <w:rsid w:val="00314ED8"/>
    <w:rsid w:val="00316D01"/>
    <w:rsid w:val="00331BED"/>
    <w:rsid w:val="00332BD6"/>
    <w:rsid w:val="00357DF0"/>
    <w:rsid w:val="00367EE2"/>
    <w:rsid w:val="00374F37"/>
    <w:rsid w:val="003765CE"/>
    <w:rsid w:val="00382A0B"/>
    <w:rsid w:val="0039208F"/>
    <w:rsid w:val="00394EE6"/>
    <w:rsid w:val="003A17ED"/>
    <w:rsid w:val="003A2C00"/>
    <w:rsid w:val="003B5B0D"/>
    <w:rsid w:val="003B7C12"/>
    <w:rsid w:val="00406863"/>
    <w:rsid w:val="004235E2"/>
    <w:rsid w:val="00437F62"/>
    <w:rsid w:val="0045004E"/>
    <w:rsid w:val="00452A8E"/>
    <w:rsid w:val="0045349D"/>
    <w:rsid w:val="004545BE"/>
    <w:rsid w:val="00457378"/>
    <w:rsid w:val="00467F59"/>
    <w:rsid w:val="00480251"/>
    <w:rsid w:val="00482F01"/>
    <w:rsid w:val="0048352B"/>
    <w:rsid w:val="00487A31"/>
    <w:rsid w:val="00491C00"/>
    <w:rsid w:val="00494DD9"/>
    <w:rsid w:val="004A30D0"/>
    <w:rsid w:val="004A43D9"/>
    <w:rsid w:val="004A5644"/>
    <w:rsid w:val="004B3965"/>
    <w:rsid w:val="004B7DC4"/>
    <w:rsid w:val="004C1CE3"/>
    <w:rsid w:val="004E4E30"/>
    <w:rsid w:val="004F70B3"/>
    <w:rsid w:val="00505D10"/>
    <w:rsid w:val="005068E6"/>
    <w:rsid w:val="00513945"/>
    <w:rsid w:val="0052190A"/>
    <w:rsid w:val="0056086E"/>
    <w:rsid w:val="00561EC5"/>
    <w:rsid w:val="00562273"/>
    <w:rsid w:val="005625AA"/>
    <w:rsid w:val="005763B3"/>
    <w:rsid w:val="00576E81"/>
    <w:rsid w:val="0059016F"/>
    <w:rsid w:val="00591F3B"/>
    <w:rsid w:val="005B5A8B"/>
    <w:rsid w:val="005C64B5"/>
    <w:rsid w:val="005C64F4"/>
    <w:rsid w:val="005E499E"/>
    <w:rsid w:val="005F59CC"/>
    <w:rsid w:val="006009BF"/>
    <w:rsid w:val="006171A7"/>
    <w:rsid w:val="00627665"/>
    <w:rsid w:val="006372C2"/>
    <w:rsid w:val="00647852"/>
    <w:rsid w:val="00651DE2"/>
    <w:rsid w:val="006569B4"/>
    <w:rsid w:val="00665035"/>
    <w:rsid w:val="00670E73"/>
    <w:rsid w:val="00673614"/>
    <w:rsid w:val="00682F84"/>
    <w:rsid w:val="006861A7"/>
    <w:rsid w:val="00697464"/>
    <w:rsid w:val="006A1DE0"/>
    <w:rsid w:val="006A5395"/>
    <w:rsid w:val="006A7F55"/>
    <w:rsid w:val="006B16D3"/>
    <w:rsid w:val="006B22FB"/>
    <w:rsid w:val="006B2F56"/>
    <w:rsid w:val="006D10C9"/>
    <w:rsid w:val="006E1AC4"/>
    <w:rsid w:val="006F037F"/>
    <w:rsid w:val="006F2E43"/>
    <w:rsid w:val="00702051"/>
    <w:rsid w:val="007034D4"/>
    <w:rsid w:val="00704CE8"/>
    <w:rsid w:val="00704F83"/>
    <w:rsid w:val="0071223A"/>
    <w:rsid w:val="00732388"/>
    <w:rsid w:val="00735B72"/>
    <w:rsid w:val="00754359"/>
    <w:rsid w:val="00756E76"/>
    <w:rsid w:val="00764F41"/>
    <w:rsid w:val="00791CEA"/>
    <w:rsid w:val="007A410F"/>
    <w:rsid w:val="007E33AD"/>
    <w:rsid w:val="007F46D5"/>
    <w:rsid w:val="00805265"/>
    <w:rsid w:val="008164AE"/>
    <w:rsid w:val="00836FB7"/>
    <w:rsid w:val="00857270"/>
    <w:rsid w:val="008610D5"/>
    <w:rsid w:val="008802F8"/>
    <w:rsid w:val="008833F2"/>
    <w:rsid w:val="00886C8D"/>
    <w:rsid w:val="00895CDC"/>
    <w:rsid w:val="008A0B61"/>
    <w:rsid w:val="008A4D94"/>
    <w:rsid w:val="008A53A6"/>
    <w:rsid w:val="008B3248"/>
    <w:rsid w:val="008C0DA7"/>
    <w:rsid w:val="008D5CCB"/>
    <w:rsid w:val="008E15F1"/>
    <w:rsid w:val="008E7D28"/>
    <w:rsid w:val="00916882"/>
    <w:rsid w:val="00916FA0"/>
    <w:rsid w:val="009630FB"/>
    <w:rsid w:val="0097322C"/>
    <w:rsid w:val="00975C9A"/>
    <w:rsid w:val="00981A9A"/>
    <w:rsid w:val="00991987"/>
    <w:rsid w:val="009B528A"/>
    <w:rsid w:val="009B7A2A"/>
    <w:rsid w:val="009C7A84"/>
    <w:rsid w:val="009D7793"/>
    <w:rsid w:val="009E551F"/>
    <w:rsid w:val="009E5995"/>
    <w:rsid w:val="009E7E1A"/>
    <w:rsid w:val="00A21542"/>
    <w:rsid w:val="00A26FD4"/>
    <w:rsid w:val="00A31E93"/>
    <w:rsid w:val="00A45579"/>
    <w:rsid w:val="00A501CE"/>
    <w:rsid w:val="00A52BF6"/>
    <w:rsid w:val="00A56ED6"/>
    <w:rsid w:val="00A6719C"/>
    <w:rsid w:val="00A72A0B"/>
    <w:rsid w:val="00A91991"/>
    <w:rsid w:val="00A933F3"/>
    <w:rsid w:val="00A94A1B"/>
    <w:rsid w:val="00A96225"/>
    <w:rsid w:val="00AE5108"/>
    <w:rsid w:val="00AE6E70"/>
    <w:rsid w:val="00AF10A3"/>
    <w:rsid w:val="00B255D6"/>
    <w:rsid w:val="00B35D5B"/>
    <w:rsid w:val="00B47D24"/>
    <w:rsid w:val="00B7490C"/>
    <w:rsid w:val="00B752D5"/>
    <w:rsid w:val="00B81E2E"/>
    <w:rsid w:val="00B82BEC"/>
    <w:rsid w:val="00B83662"/>
    <w:rsid w:val="00B85F6C"/>
    <w:rsid w:val="00B97A6F"/>
    <w:rsid w:val="00BB7CF0"/>
    <w:rsid w:val="00BD2591"/>
    <w:rsid w:val="00BF0BD8"/>
    <w:rsid w:val="00C065A3"/>
    <w:rsid w:val="00C066CF"/>
    <w:rsid w:val="00C31278"/>
    <w:rsid w:val="00C351BD"/>
    <w:rsid w:val="00C407D3"/>
    <w:rsid w:val="00C425EB"/>
    <w:rsid w:val="00C533BA"/>
    <w:rsid w:val="00C60C56"/>
    <w:rsid w:val="00C64088"/>
    <w:rsid w:val="00C7600F"/>
    <w:rsid w:val="00C7718F"/>
    <w:rsid w:val="00C9500A"/>
    <w:rsid w:val="00C95659"/>
    <w:rsid w:val="00CA2136"/>
    <w:rsid w:val="00CB6A6D"/>
    <w:rsid w:val="00CC0990"/>
    <w:rsid w:val="00CC3E4F"/>
    <w:rsid w:val="00CD5910"/>
    <w:rsid w:val="00CE0ED9"/>
    <w:rsid w:val="00CE452B"/>
    <w:rsid w:val="00CE4DD9"/>
    <w:rsid w:val="00D06294"/>
    <w:rsid w:val="00D12D7B"/>
    <w:rsid w:val="00D13BDD"/>
    <w:rsid w:val="00D23BEA"/>
    <w:rsid w:val="00D31655"/>
    <w:rsid w:val="00D3282E"/>
    <w:rsid w:val="00D4336D"/>
    <w:rsid w:val="00D44A5A"/>
    <w:rsid w:val="00D63349"/>
    <w:rsid w:val="00D63EC0"/>
    <w:rsid w:val="00D86EA3"/>
    <w:rsid w:val="00DB071A"/>
    <w:rsid w:val="00DB3C79"/>
    <w:rsid w:val="00DB4055"/>
    <w:rsid w:val="00DC2B3D"/>
    <w:rsid w:val="00DC6668"/>
    <w:rsid w:val="00DD0D8B"/>
    <w:rsid w:val="00DD4BDF"/>
    <w:rsid w:val="00DD722D"/>
    <w:rsid w:val="00DE7817"/>
    <w:rsid w:val="00DF0A82"/>
    <w:rsid w:val="00E21359"/>
    <w:rsid w:val="00E311CC"/>
    <w:rsid w:val="00E34E21"/>
    <w:rsid w:val="00E351EE"/>
    <w:rsid w:val="00E641DD"/>
    <w:rsid w:val="00E65A0A"/>
    <w:rsid w:val="00E70764"/>
    <w:rsid w:val="00E81729"/>
    <w:rsid w:val="00E8282E"/>
    <w:rsid w:val="00E950A3"/>
    <w:rsid w:val="00E97CA1"/>
    <w:rsid w:val="00EA1EBF"/>
    <w:rsid w:val="00EB0711"/>
    <w:rsid w:val="00EC152A"/>
    <w:rsid w:val="00EC2FDD"/>
    <w:rsid w:val="00EC4C00"/>
    <w:rsid w:val="00EC78E8"/>
    <w:rsid w:val="00ED6810"/>
    <w:rsid w:val="00F01F85"/>
    <w:rsid w:val="00F03935"/>
    <w:rsid w:val="00F04344"/>
    <w:rsid w:val="00F21230"/>
    <w:rsid w:val="00F534F9"/>
    <w:rsid w:val="00F56BCF"/>
    <w:rsid w:val="00F60832"/>
    <w:rsid w:val="00F65F11"/>
    <w:rsid w:val="00F663C5"/>
    <w:rsid w:val="00F82F65"/>
    <w:rsid w:val="00F96C16"/>
    <w:rsid w:val="00FB22D0"/>
    <w:rsid w:val="00FC05F3"/>
    <w:rsid w:val="00FC6C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7E1B636A"/>
  <w15:chartTrackingRefBased/>
  <w15:docId w15:val="{743C9A77-BDF1-D041-9784-A08ABF7BB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B0D"/>
    <w:rPr>
      <w:rFonts w:ascii="新細明體" w:eastAsia="新細明體" w:hAnsi="新細明體" w:cs="新細明體"/>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B5B0D"/>
    <w:pPr>
      <w:widowControl w:val="0"/>
      <w:tabs>
        <w:tab w:val="center" w:pos="4153"/>
        <w:tab w:val="right" w:pos="8306"/>
      </w:tabs>
      <w:snapToGrid w:val="0"/>
    </w:pPr>
    <w:rPr>
      <w:rFonts w:asciiTheme="minorHAnsi" w:eastAsiaTheme="minorEastAsia" w:hAnsiTheme="minorHAnsi" w:cstheme="minorBidi"/>
      <w:kern w:val="2"/>
      <w:sz w:val="20"/>
      <w:szCs w:val="20"/>
    </w:rPr>
  </w:style>
  <w:style w:type="character" w:customStyle="1" w:styleId="a4">
    <w:name w:val="頁尾 字元"/>
    <w:basedOn w:val="a0"/>
    <w:link w:val="a3"/>
    <w:uiPriority w:val="99"/>
    <w:rsid w:val="003B5B0D"/>
    <w:rPr>
      <w:sz w:val="20"/>
      <w:szCs w:val="20"/>
    </w:rPr>
  </w:style>
  <w:style w:type="character" w:styleId="a5">
    <w:name w:val="page number"/>
    <w:basedOn w:val="a0"/>
    <w:uiPriority w:val="99"/>
    <w:semiHidden/>
    <w:unhideWhenUsed/>
    <w:rsid w:val="003B5B0D"/>
  </w:style>
  <w:style w:type="paragraph" w:styleId="Web">
    <w:name w:val="Normal (Web)"/>
    <w:basedOn w:val="a"/>
    <w:uiPriority w:val="99"/>
    <w:unhideWhenUsed/>
    <w:rsid w:val="003B5B0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細明體"/>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新細明體"/>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3423</Characters>
  <Application>Microsoft Office Word</Application>
  <DocSecurity>0</DocSecurity>
  <Lines>28</Lines>
  <Paragraphs>8</Paragraphs>
  <ScaleCrop>false</ScaleCrop>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2022-10-15T05:58:00Z</dcterms:created>
  <dcterms:modified xsi:type="dcterms:W3CDTF">2023-04-30T04:08:00Z</dcterms:modified>
</cp:coreProperties>
</file>