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BAB61" w14:textId="77777777" w:rsidR="00BC6603" w:rsidRPr="00E74566" w:rsidRDefault="00BC6603" w:rsidP="00BC6603">
      <w:pPr>
        <w:spacing w:line="480" w:lineRule="auto"/>
        <w:jc w:val="center"/>
        <w:rPr>
          <w:b/>
          <w:bCs/>
          <w:lang w:val="en-US"/>
        </w:rPr>
      </w:pPr>
      <w:r w:rsidRPr="00E74566">
        <w:rPr>
          <w:b/>
          <w:bCs/>
          <w:lang w:val="en-US"/>
        </w:rPr>
        <w:t>ONLINE METHODS</w:t>
      </w:r>
    </w:p>
    <w:p w14:paraId="2F5A5918" w14:textId="77777777" w:rsidR="00BC6603" w:rsidRPr="00E74566" w:rsidRDefault="00BC6603" w:rsidP="00BC6603">
      <w:pPr>
        <w:spacing w:line="480" w:lineRule="auto"/>
        <w:rPr>
          <w:b/>
          <w:bCs/>
          <w:i/>
          <w:iCs/>
          <w:lang w:val="en-US"/>
        </w:rPr>
      </w:pPr>
      <w:r w:rsidRPr="00E74566">
        <w:rPr>
          <w:b/>
          <w:bCs/>
          <w:i/>
          <w:iCs/>
          <w:lang w:val="en-US"/>
        </w:rPr>
        <w:t>Patient sampling</w:t>
      </w:r>
    </w:p>
    <w:p w14:paraId="3818B1AE" w14:textId="77777777" w:rsidR="00BC6603" w:rsidRPr="00E74566" w:rsidRDefault="00BC6603" w:rsidP="00BC6603">
      <w:pPr>
        <w:autoSpaceDE w:val="0"/>
        <w:autoSpaceDN w:val="0"/>
        <w:adjustRightInd w:val="0"/>
        <w:spacing w:line="480" w:lineRule="auto"/>
        <w:ind w:firstLine="708"/>
        <w:rPr>
          <w:lang w:val="en-US"/>
        </w:rPr>
      </w:pPr>
      <w:r w:rsidRPr="00E74566">
        <w:rPr>
          <w:lang w:val="en-US"/>
        </w:rPr>
        <w:t xml:space="preserve">Biological samples to be tested </w:t>
      </w:r>
      <w:r>
        <w:rPr>
          <w:lang w:val="en-US"/>
        </w:rPr>
        <w:t>by</w:t>
      </w:r>
      <w:r w:rsidRPr="00E74566">
        <w:rPr>
          <w:lang w:val="en-US"/>
        </w:rPr>
        <w:t xml:space="preserve"> RT-PCR were obtained and prepared as follows. Nasopharyngeal and vaginal swabs were obtained following US Center for Disease Control and Prevention guidelines.</w:t>
      </w:r>
      <w:r w:rsidRPr="00E74566">
        <w:rPr>
          <w:lang w:val="en-US"/>
        </w:rPr>
        <w:fldChar w:fldCharType="begin"/>
      </w:r>
      <w:r w:rsidRPr="00E74566">
        <w:rPr>
          <w:lang w:val="en-US"/>
        </w:rPr>
        <w:instrText xml:space="preserve"> ADDIN ZOTERO_ITEM CSL_CITATION {"citationID":"XBx2Xwjr","properties":{"formattedCitation":"\\super 1,2\\nosupersub{}","plainCitation":"1,2","noteIndex":0},"citationItems":[{"id":1446,"uris":["http://zotero.org/users/4371648/items/7NGL79SP"],"uri":["http://zotero.org/users/4371648/items/7NGL79SP"],"itemData":{"id":1446,"type":"report","title":"https://www.cdc.gov/coronavirus/2019-ncov/hcp/inpatient-obstetric-healthcare-guidance.html"}},{"id":1486,"uris":["http://zotero.org/users/4371648/items/K26VCKRY"],"uri":["http://zotero.org/users/4371648/items/K26VCKRY"],"itemData":{"id":1486,"type":"article","title":"https://www.cdc.gov/groupbstrep/downloads/gbs_swab_sheet21.pdf"}}],"schema":"https://github.com/citation-style-language/schema/raw/master/csl-citation.json"} </w:instrText>
      </w:r>
      <w:r w:rsidRPr="00E74566">
        <w:rPr>
          <w:lang w:val="en-US"/>
        </w:rPr>
        <w:fldChar w:fldCharType="separate"/>
      </w:r>
      <w:r w:rsidRPr="00E74566">
        <w:rPr>
          <w:vertAlign w:val="superscript"/>
          <w:lang w:val="en-US"/>
        </w:rPr>
        <w:t>1,2</w:t>
      </w:r>
      <w:r w:rsidRPr="00E74566">
        <w:rPr>
          <w:lang w:val="en-US"/>
        </w:rPr>
        <w:fldChar w:fldCharType="end"/>
      </w:r>
      <w:r w:rsidRPr="00E74566">
        <w:rPr>
          <w:lang w:val="en-US"/>
        </w:rPr>
        <w:t xml:space="preserve"> P</w:t>
      </w:r>
      <w:r w:rsidRPr="00330C4C">
        <w:rPr>
          <w:lang w:val="en-US"/>
        </w:rPr>
        <w:t>lacenta was crushed in 400 m</w:t>
      </w:r>
      <w:r>
        <w:rPr>
          <w:lang w:val="en-US"/>
        </w:rPr>
        <w:t>L of</w:t>
      </w:r>
      <w:r w:rsidRPr="00330C4C">
        <w:rPr>
          <w:lang w:val="en-US"/>
        </w:rPr>
        <w:t xml:space="preserve"> RNAase-DNAase</w:t>
      </w:r>
      <w:r>
        <w:rPr>
          <w:lang w:val="en-US"/>
        </w:rPr>
        <w:t>-</w:t>
      </w:r>
      <w:r w:rsidRPr="00330C4C">
        <w:rPr>
          <w:lang w:val="en-US"/>
        </w:rPr>
        <w:t>free water</w:t>
      </w:r>
      <w:r w:rsidRPr="00E74566">
        <w:rPr>
          <w:lang w:val="en-US"/>
        </w:rPr>
        <w:t xml:space="preserve">; 1 mL </w:t>
      </w:r>
      <w:r>
        <w:rPr>
          <w:lang w:val="en-US"/>
        </w:rPr>
        <w:t xml:space="preserve">of </w:t>
      </w:r>
      <w:r w:rsidRPr="00E74566">
        <w:rPr>
          <w:lang w:val="en-US"/>
        </w:rPr>
        <w:t xml:space="preserve">blood and swabs </w:t>
      </w:r>
      <w:r w:rsidRPr="00330C4C">
        <w:rPr>
          <w:lang w:val="en-US"/>
        </w:rPr>
        <w:t xml:space="preserve">were </w:t>
      </w:r>
      <w:r w:rsidRPr="00E74566">
        <w:rPr>
          <w:lang w:val="en-US"/>
        </w:rPr>
        <w:t>placed</w:t>
      </w:r>
      <w:r w:rsidRPr="00330C4C">
        <w:rPr>
          <w:lang w:val="en-US"/>
        </w:rPr>
        <w:t xml:space="preserve"> in Virocult® viral transport media (Sigma</w:t>
      </w:r>
      <w:r w:rsidRPr="00E74566">
        <w:rPr>
          <w:lang w:val="en-US"/>
        </w:rPr>
        <w:t>, St.</w:t>
      </w:r>
      <w:r>
        <w:rPr>
          <w:lang w:val="en-US"/>
        </w:rPr>
        <w:t xml:space="preserve"> </w:t>
      </w:r>
      <w:r w:rsidRPr="00E74566">
        <w:rPr>
          <w:lang w:val="en-US"/>
        </w:rPr>
        <w:t>Louis, MI – USA). Non-bronchoscopic bronchoalveolar lavage (BAL) was performed using a standardized procedure:</w:t>
      </w:r>
      <w:r w:rsidRPr="00E74566">
        <w:rPr>
          <w:lang w:val="en-US"/>
        </w:rPr>
        <w:fldChar w:fldCharType="begin"/>
      </w:r>
      <w:r w:rsidRPr="00E74566">
        <w:rPr>
          <w:lang w:val="en-US"/>
        </w:rPr>
        <w:instrText xml:space="preserve"> ADDIN ZOTERO_ITEM CSL_CITATION {"citationID":"gFCSGX7i","properties":{"formattedCitation":"\\super 3\\nosupersub{}","plainCitation":"3","noteIndex":0},"citationItems":[{"id":155,"uris":["http://zotero.org/users/4371648/items/K67P2W9B"],"uri":["http://zotero.org/users/4371648/items/K67P2W9B"],"itemData":{"id":155,"type":"article-journal","container-title":"Intensive Care Medicine","DOI":"10.1007/s00134-011-2243-z","ISSN":"0342-4642, 1432-1238","issue":"7","language":"en","page":"1158-1165","source":"CrossRef","title":"Role of distinct phospholipases A2 and their modulators in meconium aspiration syndrome in human neonates","volume":"37","author":[{"family":"De Luca","given":"Daniele"},{"family":"Minucci","given":"Angelo"},{"family":"Tripodi","given":"Domenico"},{"family":"Piastra","given":"Marco"},{"family":"Pietrini","given":"Domenico"},{"family":"Zuppi","given":"Cecilia"},{"family":"Conti","given":"Giorgio"},{"family":"Carnielli","given":"Virgilio P."},{"family":"Capoluongo","given":"Ettore"}],"issued":{"date-parts":[["2011",7]]}}}],"schema":"https://github.com/citation-style-language/schema/raw/master/csl-citation.json"} </w:instrText>
      </w:r>
      <w:r w:rsidRPr="00E74566">
        <w:rPr>
          <w:lang w:val="en-US"/>
        </w:rPr>
        <w:fldChar w:fldCharType="separate"/>
      </w:r>
      <w:r w:rsidRPr="00E74566">
        <w:rPr>
          <w:vertAlign w:val="superscript"/>
          <w:lang w:val="en-US"/>
        </w:rPr>
        <w:t>3</w:t>
      </w:r>
      <w:r w:rsidRPr="00E74566">
        <w:rPr>
          <w:lang w:val="en-US"/>
        </w:rPr>
        <w:fldChar w:fldCharType="end"/>
      </w:r>
      <w:r w:rsidRPr="00E74566">
        <w:rPr>
          <w:lang w:val="en-US"/>
        </w:rPr>
        <w:t xml:space="preserve"> the neonate was placed supine </w:t>
      </w:r>
      <w:r w:rsidRPr="00330C4C">
        <w:rPr>
          <w:lang w:val="en-US"/>
        </w:rPr>
        <w:t xml:space="preserve">with the head turned to the right so that the </w:t>
      </w:r>
      <w:r w:rsidRPr="00E74566">
        <w:rPr>
          <w:lang w:val="en-US"/>
        </w:rPr>
        <w:t>left</w:t>
      </w:r>
      <w:r w:rsidRPr="00330C4C">
        <w:rPr>
          <w:lang w:val="en-US"/>
        </w:rPr>
        <w:t xml:space="preserve"> lung</w:t>
      </w:r>
      <w:r w:rsidRPr="00E74566">
        <w:rPr>
          <w:lang w:val="en-US"/>
        </w:rPr>
        <w:t xml:space="preserve"> </w:t>
      </w:r>
      <w:r w:rsidRPr="00330C4C">
        <w:rPr>
          <w:lang w:val="en-US"/>
        </w:rPr>
        <w:t xml:space="preserve">would be predominantly sampled. </w:t>
      </w:r>
      <w:r w:rsidRPr="00E74566">
        <w:rPr>
          <w:lang w:val="en-US"/>
        </w:rPr>
        <w:t>Normal saline (1 mL/Kg, 37°C)</w:t>
      </w:r>
      <w:r w:rsidRPr="00330C4C">
        <w:rPr>
          <w:lang w:val="en-US"/>
        </w:rPr>
        <w:t xml:space="preserve"> was instilled into the</w:t>
      </w:r>
      <w:r w:rsidRPr="00E74566">
        <w:rPr>
          <w:lang w:val="en-US"/>
        </w:rPr>
        <w:t xml:space="preserve"> </w:t>
      </w:r>
      <w:r w:rsidRPr="00330C4C">
        <w:rPr>
          <w:lang w:val="en-US"/>
        </w:rPr>
        <w:t>endotracheal tube</w:t>
      </w:r>
      <w:r w:rsidRPr="00E74566">
        <w:rPr>
          <w:lang w:val="en-US"/>
        </w:rPr>
        <w:t xml:space="preserve"> through a Y-piece</w:t>
      </w:r>
      <w:r w:rsidRPr="00330C4C">
        <w:rPr>
          <w:lang w:val="en-US"/>
        </w:rPr>
        <w:t xml:space="preserve">. After </w:t>
      </w:r>
      <w:r w:rsidRPr="00E74566">
        <w:rPr>
          <w:lang w:val="en-US"/>
        </w:rPr>
        <w:t>three</w:t>
      </w:r>
      <w:r w:rsidRPr="00330C4C">
        <w:rPr>
          <w:lang w:val="en-US"/>
        </w:rPr>
        <w:t xml:space="preserve"> ventilator cycles, the suction</w:t>
      </w:r>
      <w:r w:rsidRPr="00E74566">
        <w:rPr>
          <w:lang w:val="en-US"/>
        </w:rPr>
        <w:t xml:space="preserve"> </w:t>
      </w:r>
      <w:r w:rsidRPr="00330C4C">
        <w:rPr>
          <w:lang w:val="en-US"/>
        </w:rPr>
        <w:t>catheter was gently inserted 0.5 cm beyond the tube tip,</w:t>
      </w:r>
      <w:r w:rsidRPr="00E74566">
        <w:rPr>
          <w:lang w:val="en-US"/>
        </w:rPr>
        <w:t xml:space="preserve"> </w:t>
      </w:r>
      <w:r w:rsidRPr="00330C4C">
        <w:rPr>
          <w:lang w:val="en-US"/>
        </w:rPr>
        <w:t>and the airway fluid was aspirated into a sterile specimen</w:t>
      </w:r>
      <w:r w:rsidRPr="00E74566">
        <w:rPr>
          <w:lang w:val="en-US"/>
        </w:rPr>
        <w:t xml:space="preserve"> </w:t>
      </w:r>
      <w:r w:rsidRPr="00330C4C">
        <w:rPr>
          <w:lang w:val="en-US"/>
        </w:rPr>
        <w:t>trap (BALF Trap; Vigon, Ecouen, France) with 50 mmHg</w:t>
      </w:r>
      <w:r w:rsidRPr="00E74566">
        <w:rPr>
          <w:lang w:val="en-US"/>
        </w:rPr>
        <w:t xml:space="preserve"> </w:t>
      </w:r>
      <w:r w:rsidRPr="00330C4C">
        <w:rPr>
          <w:lang w:val="en-US"/>
        </w:rPr>
        <w:t>of negative pressure. This procedure was repeated with</w:t>
      </w:r>
      <w:r w:rsidRPr="00E74566">
        <w:rPr>
          <w:lang w:val="en-US"/>
        </w:rPr>
        <w:t xml:space="preserve"> </w:t>
      </w:r>
      <w:r w:rsidRPr="00330C4C">
        <w:rPr>
          <w:lang w:val="en-US"/>
        </w:rPr>
        <w:t xml:space="preserve">the head turned to the left, so that the </w:t>
      </w:r>
      <w:r w:rsidRPr="00E74566">
        <w:rPr>
          <w:lang w:val="en-US"/>
        </w:rPr>
        <w:t>right</w:t>
      </w:r>
      <w:r w:rsidRPr="00330C4C">
        <w:rPr>
          <w:lang w:val="en-US"/>
        </w:rPr>
        <w:t xml:space="preserve"> lung would be</w:t>
      </w:r>
      <w:r w:rsidRPr="00E74566">
        <w:rPr>
          <w:lang w:val="en-US"/>
        </w:rPr>
        <w:t xml:space="preserve"> predominantly sampled. This procedure respects European Respiratory Society </w:t>
      </w:r>
      <w:r>
        <w:rPr>
          <w:lang w:val="en-US"/>
        </w:rPr>
        <w:t>advices</w:t>
      </w:r>
      <w:r w:rsidRPr="00E74566">
        <w:rPr>
          <w:lang w:val="en-US"/>
        </w:rPr>
        <w:t xml:space="preserve"> for pediatric and neonatal BAL.</w:t>
      </w:r>
      <w:r w:rsidRPr="00E74566">
        <w:rPr>
          <w:lang w:val="en-US"/>
        </w:rPr>
        <w:fldChar w:fldCharType="begin"/>
      </w:r>
      <w:r w:rsidRPr="00E74566">
        <w:rPr>
          <w:lang w:val="en-US"/>
        </w:rPr>
        <w:instrText xml:space="preserve"> ADDIN ZOTERO_ITEM CSL_CITATION {"citationID":"L6DtaDWK","properties":{"formattedCitation":"\\super 4\\nosupersub{}","plainCitation":"4","noteIndex":0},"citationItems":[{"id":166,"uris":["http://zotero.org/users/4371648/items/E7F8KAHC"],"uri":["http://zotero.org/users/4371648/items/E7F8KAHC"],"itemData":{"id":166,"type":"article-journal","container-title":"European Respiratory Journal","issue":"1","page":"217–231","source":"Google Scholar","title":"Bronchoalveolar lavage in children. ERS Task Force on bronchoalveolar lavage in children. European Respiratory Society","volume":"15","author":[{"family":"De Blic","given":"J."},{"family":"Midulla","given":"F."},{"family":"Barbato","given":"A."},{"family":"Clement","given":"A."},{"family":"Dab","given":"I."},{"family":"Eber","given":"E."},{"family":"Green","given":"C."},{"family":"Grigg","given":"J."},{"family":"Kotecha","given":"S."},{"family":"Kurland","given":"G."}],"issued":{"date-parts":[["2000"]]}}}],"schema":"https://github.com/citation-style-language/schema/raw/master/csl-citation.json"} </w:instrText>
      </w:r>
      <w:r w:rsidRPr="00E74566">
        <w:rPr>
          <w:lang w:val="en-US"/>
        </w:rPr>
        <w:fldChar w:fldCharType="separate"/>
      </w:r>
      <w:r w:rsidRPr="00E74566">
        <w:rPr>
          <w:vertAlign w:val="superscript"/>
          <w:lang w:val="en-US"/>
        </w:rPr>
        <w:t>4</w:t>
      </w:r>
      <w:r w:rsidRPr="00E74566">
        <w:rPr>
          <w:lang w:val="en-US"/>
        </w:rPr>
        <w:fldChar w:fldCharType="end"/>
      </w:r>
      <w:r w:rsidRPr="00E74566">
        <w:rPr>
          <w:lang w:val="en-US"/>
        </w:rPr>
        <w:t xml:space="preserve"> During the procedure</w:t>
      </w:r>
      <w:r>
        <w:rPr>
          <w:lang w:val="en-US"/>
        </w:rPr>
        <w:t>,</w:t>
      </w:r>
      <w:r w:rsidRPr="00E74566">
        <w:rPr>
          <w:lang w:val="en-US"/>
        </w:rPr>
        <w:t xml:space="preserve"> the patient was never disconnected from the ventilator,</w:t>
      </w:r>
      <w:r>
        <w:rPr>
          <w:lang w:val="en-US"/>
        </w:rPr>
        <w:t xml:space="preserve"> the</w:t>
      </w:r>
      <w:r w:rsidRPr="00E74566">
        <w:rPr>
          <w:lang w:val="en-US"/>
        </w:rPr>
        <w:t xml:space="preserve"> inspired oxygen fraction was 0.25 and there was no desaturation or bradycardia. All specimens were </w:t>
      </w:r>
      <w:r w:rsidRPr="00330C4C">
        <w:rPr>
          <w:lang w:val="en-US"/>
        </w:rPr>
        <w:t>kept at +4°C and tested within 24</w:t>
      </w:r>
      <w:r w:rsidRPr="00E74566">
        <w:rPr>
          <w:lang w:val="en-US"/>
        </w:rPr>
        <w:t xml:space="preserve"> hours.</w:t>
      </w:r>
    </w:p>
    <w:p w14:paraId="26653063" w14:textId="77777777" w:rsidR="00BC6603" w:rsidRPr="00E74566" w:rsidRDefault="00BC6603" w:rsidP="00BC6603">
      <w:pPr>
        <w:autoSpaceDE w:val="0"/>
        <w:autoSpaceDN w:val="0"/>
        <w:adjustRightInd w:val="0"/>
        <w:spacing w:line="480" w:lineRule="auto"/>
        <w:rPr>
          <w:b/>
          <w:bCs/>
          <w:i/>
          <w:iCs/>
          <w:lang w:val="en-US"/>
        </w:rPr>
      </w:pPr>
      <w:r w:rsidRPr="00E74566">
        <w:rPr>
          <w:b/>
          <w:bCs/>
          <w:i/>
          <w:iCs/>
          <w:lang w:val="en-US"/>
        </w:rPr>
        <w:t>Real</w:t>
      </w:r>
      <w:r>
        <w:rPr>
          <w:b/>
          <w:bCs/>
          <w:i/>
          <w:iCs/>
          <w:lang w:val="en-US"/>
        </w:rPr>
        <w:t>-</w:t>
      </w:r>
      <w:r w:rsidRPr="00E74566">
        <w:rPr>
          <w:b/>
          <w:bCs/>
          <w:i/>
          <w:iCs/>
          <w:lang w:val="en-US"/>
        </w:rPr>
        <w:t>time</w:t>
      </w:r>
      <w:r>
        <w:rPr>
          <w:b/>
          <w:bCs/>
          <w:i/>
          <w:iCs/>
          <w:lang w:val="en-US"/>
        </w:rPr>
        <w:t xml:space="preserve"> </w:t>
      </w:r>
      <w:r w:rsidRPr="00E74566">
        <w:rPr>
          <w:b/>
          <w:bCs/>
          <w:i/>
          <w:iCs/>
          <w:lang w:val="en-US"/>
        </w:rPr>
        <w:t>polymerase chain reaction (RT-PCR)</w:t>
      </w:r>
    </w:p>
    <w:p w14:paraId="12FE0715" w14:textId="77777777" w:rsidR="00BC6603" w:rsidRPr="00330C4C" w:rsidRDefault="00BC6603" w:rsidP="00BC6603">
      <w:pPr>
        <w:spacing w:line="480" w:lineRule="auto"/>
        <w:ind w:firstLine="708"/>
        <w:rPr>
          <w:lang w:val="en-US"/>
        </w:rPr>
      </w:pPr>
      <w:r w:rsidRPr="00330C4C">
        <w:rPr>
          <w:lang w:val="en-US"/>
        </w:rPr>
        <w:t>Viral RNA was extracted from 200 µL clinical samples with the NucliSENS® easyMag® (</w:t>
      </w:r>
      <w:r w:rsidRPr="00E74566">
        <w:rPr>
          <w:lang w:val="en-US"/>
        </w:rPr>
        <w:t>B</w:t>
      </w:r>
      <w:r w:rsidRPr="00330C4C">
        <w:rPr>
          <w:lang w:val="en-US"/>
        </w:rPr>
        <w:t xml:space="preserve">ioMérieux, </w:t>
      </w:r>
      <w:r w:rsidRPr="00E74566">
        <w:rPr>
          <w:lang w:val="en-US"/>
        </w:rPr>
        <w:t xml:space="preserve">Craponne, </w:t>
      </w:r>
      <w:r w:rsidRPr="00330C4C">
        <w:rPr>
          <w:lang w:val="en-US"/>
        </w:rPr>
        <w:t xml:space="preserve">France) and eluted in 100 µL. The RealStar® SARS-CoV-2 RT-PCR Kit 1.0 (Altona Diagnostics GmbH, </w:t>
      </w:r>
      <w:r w:rsidRPr="00E74566">
        <w:rPr>
          <w:lang w:val="en-US"/>
        </w:rPr>
        <w:t xml:space="preserve">Hamburg </w:t>
      </w:r>
      <w:r w:rsidRPr="00330C4C">
        <w:rPr>
          <w:lang w:val="en-US"/>
        </w:rPr>
        <w:t xml:space="preserve">Germany) targeting the E gene (specific for lineage B-betacoronavirus) and the S gene (specific for SARS-CoV-2) was </w:t>
      </w:r>
      <w:r>
        <w:rPr>
          <w:lang w:val="en-US"/>
        </w:rPr>
        <w:t>used</w:t>
      </w:r>
      <w:r w:rsidRPr="00330C4C">
        <w:rPr>
          <w:lang w:val="en-US"/>
        </w:rPr>
        <w:t xml:space="preserve"> following </w:t>
      </w:r>
      <w:r>
        <w:rPr>
          <w:lang w:val="en-US"/>
        </w:rPr>
        <w:t xml:space="preserve">the </w:t>
      </w:r>
      <w:r w:rsidRPr="00330C4C">
        <w:rPr>
          <w:lang w:val="en-US"/>
        </w:rPr>
        <w:t>manufacturer</w:t>
      </w:r>
      <w:r>
        <w:rPr>
          <w:lang w:val="en-US"/>
        </w:rPr>
        <w:t>'s</w:t>
      </w:r>
      <w:r w:rsidRPr="00330C4C">
        <w:rPr>
          <w:lang w:val="en-US"/>
        </w:rPr>
        <w:t xml:space="preserve"> recommendations. The assay includes a heterologous amplification system </w:t>
      </w:r>
      <w:r w:rsidRPr="00330C4C">
        <w:rPr>
          <w:lang w:val="en-US"/>
        </w:rPr>
        <w:lastRenderedPageBreak/>
        <w:t>(</w:t>
      </w:r>
      <w:r w:rsidRPr="00E74566">
        <w:rPr>
          <w:lang w:val="en-US"/>
        </w:rPr>
        <w:t>i</w:t>
      </w:r>
      <w:r w:rsidRPr="00330C4C">
        <w:rPr>
          <w:lang w:val="en-US"/>
        </w:rPr>
        <w:t xml:space="preserve">nternal </w:t>
      </w:r>
      <w:r w:rsidRPr="00E74566">
        <w:rPr>
          <w:lang w:val="en-US"/>
        </w:rPr>
        <w:t>positive c</w:t>
      </w:r>
      <w:r w:rsidRPr="00330C4C">
        <w:rPr>
          <w:lang w:val="en-US"/>
        </w:rPr>
        <w:t xml:space="preserve">ontrol) to identify possible RT-PCR inhibition and to confirm the integrity of the reagents of the kit. Thermal cycling was performed at 55 °C for 20 min for reverse transcription, followed by 95 °C for 2 min and then 45 cycles of 95 °C for 15 s, 55 °C for 45s, 72 °C for 15s with </w:t>
      </w:r>
      <w:r>
        <w:rPr>
          <w:lang w:val="en-US"/>
        </w:rPr>
        <w:t xml:space="preserve">an </w:t>
      </w:r>
      <w:r w:rsidRPr="00330C4C">
        <w:rPr>
          <w:lang w:val="en-US"/>
        </w:rPr>
        <w:t xml:space="preserve">Applied Biosystems ViiA7 instrument (Applied Biosystems, </w:t>
      </w:r>
      <w:r w:rsidRPr="00E74566">
        <w:rPr>
          <w:lang w:val="en-US"/>
        </w:rPr>
        <w:t>Thermo</w:t>
      </w:r>
      <w:r>
        <w:rPr>
          <w:lang w:val="en-US"/>
        </w:rPr>
        <w:t xml:space="preserve"> F</w:t>
      </w:r>
      <w:r w:rsidRPr="00E74566">
        <w:rPr>
          <w:lang w:val="en-US"/>
        </w:rPr>
        <w:t>isher, Waltham – MA, USA</w:t>
      </w:r>
      <w:r w:rsidRPr="00330C4C">
        <w:rPr>
          <w:lang w:val="en-US"/>
        </w:rPr>
        <w:t>).</w:t>
      </w:r>
      <w:r w:rsidRPr="00E74566">
        <w:rPr>
          <w:lang w:val="en-US"/>
        </w:rPr>
        <w:t xml:space="preserve"> A cycle threshold value less than 40 is interpreted as positive for SARS-CoV-2 RNA.</w:t>
      </w:r>
    </w:p>
    <w:p w14:paraId="36625E30" w14:textId="77777777" w:rsidR="00BC6603" w:rsidRDefault="00BC6603" w:rsidP="00BC6603">
      <w:pPr>
        <w:spacing w:line="480" w:lineRule="auto"/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en-US"/>
        </w:rPr>
        <w:t>Placental</w:t>
      </w:r>
      <w:r w:rsidRPr="00E74566">
        <w:rPr>
          <w:b/>
          <w:bCs/>
          <w:i/>
          <w:iCs/>
          <w:lang w:val="en-US"/>
        </w:rPr>
        <w:t xml:space="preserve"> examination</w:t>
      </w:r>
    </w:p>
    <w:p w14:paraId="76C41BB2" w14:textId="77777777" w:rsidR="00BC6603" w:rsidRPr="00581EC9" w:rsidRDefault="00BC6603" w:rsidP="00BC6603">
      <w:pPr>
        <w:spacing w:line="480" w:lineRule="auto"/>
        <w:ind w:firstLine="708"/>
        <w:rPr>
          <w:bCs/>
          <w:iCs/>
          <w:lang w:val="en-US"/>
        </w:rPr>
      </w:pPr>
      <w:r>
        <w:rPr>
          <w:bCs/>
          <w:iCs/>
          <w:lang w:val="en-US"/>
        </w:rPr>
        <w:t>Placental sampling, gross and microscopic examination were performed according to the Amsterdam consensus statement.</w:t>
      </w:r>
      <w:r w:rsidRPr="00581EC9">
        <w:rPr>
          <w:bCs/>
          <w:iCs/>
          <w:vertAlign w:val="superscript"/>
          <w:lang w:val="en-US"/>
        </w:rPr>
        <w:t>5</w:t>
      </w:r>
      <w:r>
        <w:rPr>
          <w:bCs/>
          <w:iCs/>
          <w:lang w:val="en-US"/>
        </w:rPr>
        <w:t xml:space="preserve"> The placenta was fixed in 4% buffered formalin and samples were paraffin embedded. Staining methods performed on 3-5µm thick sections were : haemalun eosin saffran, periodic acid schiff and Gomori-Grocott stains. Immunohistochemistry with peroxydase detection and hemalun counterstain was performed in a Leica Bond III automat using the Bond Polymer Refine Detection kit (Leica DS9800) after heat pretreatment at pH6 or 9 depending on the monoclonal antibodies tested : CD68 (Dako PG-M1, 1:200), CD163 (Leica 10D6, 1:200), CD20 (Dako L26, 1:400), CD3 (Dako F7.2.38, 1:50), CD5 (Novocastra 4C7, 1:50), CMV (Dako CCH2+DDG9, 1:1), Parvo virus (AbcVs, Abc10-P038). </w:t>
      </w:r>
    </w:p>
    <w:p w14:paraId="5C6767B6" w14:textId="77777777" w:rsidR="00BC6603" w:rsidRPr="00E74566" w:rsidRDefault="00BC6603" w:rsidP="00BC6603">
      <w:pPr>
        <w:rPr>
          <w:b/>
          <w:bCs/>
          <w:i/>
          <w:iCs/>
          <w:lang w:val="en-US"/>
        </w:rPr>
      </w:pPr>
    </w:p>
    <w:p w14:paraId="06028843" w14:textId="77777777" w:rsidR="00BC6603" w:rsidRPr="00E74566" w:rsidRDefault="00BC6603" w:rsidP="00BC6603">
      <w:pPr>
        <w:rPr>
          <w:b/>
          <w:bCs/>
          <w:i/>
          <w:iCs/>
          <w:lang w:val="en-US"/>
        </w:rPr>
      </w:pPr>
    </w:p>
    <w:p w14:paraId="2A322F55" w14:textId="77777777" w:rsidR="00BC6603" w:rsidRPr="00E74566" w:rsidRDefault="00BC6603" w:rsidP="00BC6603">
      <w:pPr>
        <w:rPr>
          <w:b/>
          <w:bCs/>
          <w:i/>
          <w:iCs/>
          <w:lang w:val="en-US"/>
        </w:rPr>
      </w:pPr>
    </w:p>
    <w:p w14:paraId="624EA42C" w14:textId="77777777" w:rsidR="00BC6603" w:rsidRPr="00E74566" w:rsidRDefault="00BC6603" w:rsidP="00BC6603">
      <w:pPr>
        <w:rPr>
          <w:b/>
          <w:bCs/>
          <w:i/>
          <w:iCs/>
          <w:lang w:val="en-US"/>
        </w:rPr>
      </w:pPr>
    </w:p>
    <w:p w14:paraId="7DFD1315" w14:textId="77777777" w:rsidR="00BC6603" w:rsidRPr="00E74566" w:rsidRDefault="00BC6603" w:rsidP="00BC6603">
      <w:pPr>
        <w:spacing w:line="480" w:lineRule="auto"/>
        <w:rPr>
          <w:b/>
          <w:bCs/>
          <w:i/>
          <w:iCs/>
          <w:lang w:val="en-US"/>
        </w:rPr>
      </w:pPr>
    </w:p>
    <w:p w14:paraId="70D20A6E" w14:textId="77777777" w:rsidR="00BC6603" w:rsidRPr="00E74566" w:rsidRDefault="00BC6603" w:rsidP="00BC6603">
      <w:pPr>
        <w:spacing w:line="480" w:lineRule="auto"/>
        <w:rPr>
          <w:b/>
          <w:bCs/>
          <w:lang w:val="en-US"/>
        </w:rPr>
      </w:pPr>
      <w:r w:rsidRPr="00E74566">
        <w:rPr>
          <w:b/>
          <w:bCs/>
          <w:lang w:val="en-US"/>
        </w:rPr>
        <w:t>ONLINE METHODS</w:t>
      </w:r>
      <w:r>
        <w:rPr>
          <w:b/>
          <w:bCs/>
          <w:lang w:val="en-US"/>
        </w:rPr>
        <w:t xml:space="preserve"> </w:t>
      </w:r>
      <w:r w:rsidRPr="00E74566">
        <w:rPr>
          <w:b/>
          <w:bCs/>
          <w:lang w:val="en-US"/>
        </w:rPr>
        <w:t>REFERENCES</w:t>
      </w:r>
    </w:p>
    <w:p w14:paraId="44E71D44" w14:textId="77777777" w:rsidR="00BC6603" w:rsidRPr="00430A90" w:rsidRDefault="00BC6603" w:rsidP="00BC6603">
      <w:pPr>
        <w:spacing w:line="480" w:lineRule="auto"/>
        <w:rPr>
          <w:lang w:val="en-US"/>
        </w:rPr>
      </w:pPr>
      <w:r w:rsidRPr="00430A90">
        <w:rPr>
          <w:lang w:val="en-US"/>
        </w:rPr>
        <w:t>1.</w:t>
      </w:r>
      <w:r w:rsidRPr="00430A90">
        <w:rPr>
          <w:lang w:val="en-US"/>
        </w:rPr>
        <w:tab/>
        <w:t>https://www.cdc.gov/coronavirus/2019-ncov/hcp/inpatient-obstetric-healthcare-guidance.html.</w:t>
      </w:r>
    </w:p>
    <w:p w14:paraId="715A848E" w14:textId="77777777" w:rsidR="00BC6603" w:rsidRPr="00430A90" w:rsidRDefault="00BC6603" w:rsidP="00BC6603">
      <w:pPr>
        <w:spacing w:line="480" w:lineRule="auto"/>
        <w:rPr>
          <w:lang w:val="en-US"/>
        </w:rPr>
      </w:pPr>
      <w:r w:rsidRPr="00430A90">
        <w:rPr>
          <w:lang w:val="en-US"/>
        </w:rPr>
        <w:t>2.</w:t>
      </w:r>
      <w:r w:rsidRPr="00430A90">
        <w:rPr>
          <w:lang w:val="en-US"/>
        </w:rPr>
        <w:tab/>
        <w:t>https://www.cdc.gov/groupbstrep/downloads/gbs_swab_sheet21.pdf.</w:t>
      </w:r>
    </w:p>
    <w:p w14:paraId="389C2709" w14:textId="77777777" w:rsidR="00BC6603" w:rsidRPr="00430A90" w:rsidRDefault="00BC6603" w:rsidP="00BC6603">
      <w:pPr>
        <w:spacing w:line="480" w:lineRule="auto"/>
        <w:rPr>
          <w:lang w:val="en-US"/>
        </w:rPr>
      </w:pPr>
      <w:r w:rsidRPr="00430A90">
        <w:rPr>
          <w:lang w:val="fr-FR"/>
        </w:rPr>
        <w:lastRenderedPageBreak/>
        <w:t>3.</w:t>
      </w:r>
      <w:r w:rsidRPr="00430A90">
        <w:rPr>
          <w:lang w:val="fr-FR"/>
        </w:rPr>
        <w:tab/>
        <w:t xml:space="preserve">De Luca, D. et al. </w:t>
      </w:r>
      <w:r w:rsidRPr="00430A90">
        <w:rPr>
          <w:lang w:val="en-US"/>
        </w:rPr>
        <w:t xml:space="preserve">Role of distinct phospholipases A2 and their modulators in meconium aspiration syndrome in human neonates. </w:t>
      </w:r>
      <w:r w:rsidRPr="00430A90">
        <w:rPr>
          <w:i/>
          <w:iCs/>
          <w:lang w:val="en-US"/>
        </w:rPr>
        <w:t>Intensive Care Med</w:t>
      </w:r>
      <w:r w:rsidRPr="00430A90">
        <w:rPr>
          <w:lang w:val="en-US"/>
        </w:rPr>
        <w:t xml:space="preserve"> </w:t>
      </w:r>
      <w:r w:rsidRPr="00430A90">
        <w:rPr>
          <w:b/>
          <w:bCs/>
          <w:lang w:val="en-US"/>
        </w:rPr>
        <w:t>37</w:t>
      </w:r>
      <w:r w:rsidRPr="00430A90">
        <w:rPr>
          <w:lang w:val="en-US"/>
        </w:rPr>
        <w:t>, 1158–1165 (2011).</w:t>
      </w:r>
    </w:p>
    <w:p w14:paraId="59924A07" w14:textId="77777777" w:rsidR="00BC6603" w:rsidRPr="00430A90" w:rsidRDefault="00BC6603" w:rsidP="00BC6603">
      <w:pPr>
        <w:spacing w:line="480" w:lineRule="auto"/>
        <w:rPr>
          <w:lang w:val="en-US"/>
        </w:rPr>
      </w:pPr>
      <w:r w:rsidRPr="00430A90">
        <w:rPr>
          <w:lang w:val="en-US"/>
        </w:rPr>
        <w:t>4.</w:t>
      </w:r>
      <w:r w:rsidRPr="00430A90">
        <w:rPr>
          <w:lang w:val="en-US"/>
        </w:rPr>
        <w:tab/>
        <w:t xml:space="preserve">De Blic, J. et al. Bronchoalveolar lavage in children. ERS Task Force on bronchoalveolar lavage in children. European Respiratory Society. </w:t>
      </w:r>
      <w:r w:rsidRPr="00430A90">
        <w:rPr>
          <w:i/>
          <w:iCs/>
          <w:lang w:val="en-US"/>
        </w:rPr>
        <w:t>Eur Resp J</w:t>
      </w:r>
      <w:r w:rsidRPr="00430A90">
        <w:rPr>
          <w:lang w:val="en-US"/>
        </w:rPr>
        <w:t xml:space="preserve"> </w:t>
      </w:r>
      <w:r w:rsidRPr="00430A90">
        <w:rPr>
          <w:b/>
          <w:bCs/>
          <w:lang w:val="en-US"/>
        </w:rPr>
        <w:t>15</w:t>
      </w:r>
      <w:r w:rsidRPr="00430A90">
        <w:rPr>
          <w:lang w:val="en-US"/>
        </w:rPr>
        <w:t>, 217–231 (2000).</w:t>
      </w:r>
    </w:p>
    <w:p w14:paraId="5C2ECC80" w14:textId="77777777" w:rsidR="00BC6603" w:rsidRPr="00430A90" w:rsidRDefault="00BC6603" w:rsidP="00BC6603">
      <w:pPr>
        <w:spacing w:line="480" w:lineRule="auto"/>
        <w:rPr>
          <w:lang w:val="en-US"/>
        </w:rPr>
      </w:pPr>
      <w:r w:rsidRPr="00430A90">
        <w:rPr>
          <w:lang w:val="en-US"/>
        </w:rPr>
        <w:t xml:space="preserve">5. Khong, T.Y. et al. Sampling and definition of placental lesions. Amsterdam placental workshop group consensus statement. </w:t>
      </w:r>
      <w:r w:rsidRPr="00430A90">
        <w:rPr>
          <w:i/>
          <w:iCs/>
          <w:lang w:val="en-US"/>
        </w:rPr>
        <w:t>Arch Pathol Lab Med</w:t>
      </w:r>
      <w:r w:rsidRPr="00430A90">
        <w:rPr>
          <w:lang w:val="en-US"/>
        </w:rPr>
        <w:t xml:space="preserve"> </w:t>
      </w:r>
      <w:r w:rsidRPr="00430A90">
        <w:rPr>
          <w:b/>
          <w:bCs/>
          <w:lang w:val="en-US"/>
        </w:rPr>
        <w:t>140</w:t>
      </w:r>
      <w:r w:rsidRPr="00430A90">
        <w:rPr>
          <w:lang w:val="en-US"/>
        </w:rPr>
        <w:t>, 698-713 (2016).</w:t>
      </w:r>
    </w:p>
    <w:p w14:paraId="5548F274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603"/>
    <w:rsid w:val="00114675"/>
    <w:rsid w:val="002B53FA"/>
    <w:rsid w:val="00A340D3"/>
    <w:rsid w:val="00BC660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88F5B2"/>
  <w15:chartTrackingRefBased/>
  <w15:docId w15:val="{194BA564-0694-314B-9241-E47BFFD9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603"/>
    <w:rPr>
      <w:rFonts w:ascii="Times New Roman" w:eastAsia="Times New Roman" w:hAnsi="Times New Roman" w:cs="Times New Roman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1014</Words>
  <Characters>5785</Characters>
  <Application>Microsoft Office Word</Application>
  <DocSecurity>0</DocSecurity>
  <Lines>48</Lines>
  <Paragraphs>13</Paragraphs>
  <ScaleCrop>false</ScaleCrop>
  <Company/>
  <LinksUpToDate>false</LinksUpToDate>
  <CharactersWithSpaces>6786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2020-05-15T11:51:00Z</dcterms:created>
  <dcterms:modified xsi:type="dcterms:W3CDTF">2020-05-15T11:51:00Z</dcterms:modified>
</cp:coreProperties>
</file>