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footer1.xml" ContentType="application/vnd.openxmlformats-officedocument.wordprocessingml.footer+xml"/>
  <Override PartName="/word/settings.xml" ContentType="application/vnd.openxmlformats-officedocument.wordprocessingml.settings+xml"/>
  <Override PartName="/word/footer2.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360"/>
        <w:rPr>
          <w:rFonts w:ascii="Times New Roman" w:hAnsi="Times New Roman"/>
        </w:rPr>
      </w:pPr>
      <w:r>
        <w:rPr>
          <w:rFonts w:ascii="Times New Roman" w:hAnsi="Times New Roman"/>
          <w:b/>
          <w:bCs/>
        </w:rPr>
        <w:t>Supplementary Notes</w:t>
      </w:r>
    </w:p>
    <w:p>
      <w:pPr>
        <w:pStyle w:val="Normal"/>
        <w:spacing w:lineRule="auto" w:line="360"/>
        <w:rPr>
          <w:rFonts w:ascii="Times New Roman" w:hAnsi="Times New Roman"/>
          <w:b/>
          <w:b/>
          <w:bCs/>
        </w:rPr>
      </w:pPr>
      <w:r>
        <w:rPr>
          <w:rFonts w:ascii="Times New Roman" w:hAnsi="Times New Roman"/>
          <w:b/>
          <w:bCs/>
        </w:rPr>
      </w:r>
    </w:p>
    <w:p>
      <w:pPr>
        <w:pStyle w:val="Normal"/>
        <w:spacing w:lineRule="auto" w:line="360"/>
        <w:rPr>
          <w:rFonts w:ascii="Times New Roman" w:hAnsi="Times New Roman"/>
        </w:rPr>
      </w:pPr>
      <w:r>
        <w:rPr>
          <w:rFonts w:ascii="Times New Roman" w:hAnsi="Times New Roman"/>
          <w:b/>
          <w:bCs/>
        </w:rPr>
        <w:t>Errors in the original calculation of the LPI</w:t>
      </w:r>
    </w:p>
    <w:p>
      <w:pPr>
        <w:pStyle w:val="Normal"/>
        <w:spacing w:lineRule="auto" w:line="360"/>
        <w:rPr>
          <w:rFonts w:ascii="Times New Roman" w:hAnsi="Times New Roman"/>
        </w:rPr>
      </w:pPr>
      <w:r>
        <w:rPr>
          <w:rFonts w:ascii="Times New Roman" w:hAnsi="Times New Roman"/>
        </w:rPr>
        <w:t xml:space="preserve">Description of errors found in the R-code of the functions from the packege </w:t>
      </w:r>
      <w:r>
        <w:rPr>
          <w:rFonts w:ascii="Times New Roman" w:hAnsi="Times New Roman"/>
        </w:rPr>
        <w:t>'</w:t>
      </w:r>
      <w:r>
        <w:rPr>
          <w:rFonts w:ascii="Times New Roman" w:hAnsi="Times New Roman"/>
        </w:rPr>
        <w:t>rlpi</w:t>
      </w:r>
      <w:r>
        <w:rPr>
          <w:rFonts w:ascii="Times New Roman" w:hAnsi="Times New Roman"/>
        </w:rPr>
        <w:t>'</w:t>
      </w:r>
      <w:r>
        <w:rPr>
          <w:rFonts w:ascii="Times New Roman" w:hAnsi="Times New Roman"/>
        </w:rPr>
        <w:t xml:space="preserve"> (https://github.com/Zoological-Society-of-London/rlpi):</w:t>
      </w:r>
    </w:p>
    <w:p>
      <w:pPr>
        <w:pStyle w:val="Normal"/>
        <w:spacing w:lineRule="auto" w:line="360"/>
        <w:rPr>
          <w:rFonts w:ascii="Times New Roman" w:hAnsi="Times New Roman"/>
        </w:rPr>
      </w:pPr>
      <w:r>
        <w:rPr>
          <w:rFonts w:ascii="Times New Roman" w:hAnsi="Times New Roman"/>
        </w:rPr>
        <w:t>(1) The GAM method is not implemented if the mean value of the population series is equal to the first value of the population series, even if all other conditions for the GAM method are met. The intention was not to use the GAM method for the population series with the same values. We have fixed this error. (step 2 in the methodological description - Methods 'Calculating the Living Planet Index')</w:t>
      </w:r>
    </w:p>
    <w:p>
      <w:pPr>
        <w:pStyle w:val="Normal"/>
        <w:spacing w:lineRule="auto" w:line="360"/>
        <w:rPr>
          <w:rFonts w:ascii="Times New Roman" w:hAnsi="Times New Roman"/>
        </w:rPr>
      </w:pPr>
      <w:r>
        <w:rPr>
          <w:rFonts w:ascii="Times New Roman" w:hAnsi="Times New Roman"/>
        </w:rPr>
        <w:t>(2) The values for years outside the time series are set to -1 (as unknown values), but the logarithm of the population value of 0.1 is also -1. This creates a false unknown value and the time series of lambdas (the difference between two logarithms, i.e. population growth) is incomplete (there are two false unknown lambdas for one false unknown population value). The same problem holds with the time series of lambdas - all values of -1 are considered as unknown (outside the time series), but the difference between two logarithms (population growth) can be -1, and this is again considered as an unknown value. We have fixed this error – the values outside the time series were replaced by NA. (step 3 and 4)</w:t>
      </w:r>
    </w:p>
    <w:p>
      <w:pPr>
        <w:pStyle w:val="Normal"/>
        <w:spacing w:lineRule="auto" w:line="360"/>
        <w:rPr>
          <w:rFonts w:ascii="Times New Roman" w:hAnsi="Times New Roman"/>
        </w:rPr>
      </w:pPr>
      <w:r>
        <w:rPr>
          <w:rFonts w:ascii="Times New Roman" w:hAnsi="Times New Roman"/>
        </w:rPr>
        <w:t>(3) The outliers of lambdas (the values higher than 1 or less than -1) are replaced by 1 or -1 (default setting). In the case that lambda is equal to 1, this value is not included in the calculation of the average species-specific lambda. Lambda values of -1 were incorrectly omitted already in the previous step. The function allows to change the default settings without changing the outliers, but in this case outliers are not included in the calculation at all. Replacing the lambdas is not an error, but a specific calculation method, which, however, can lead to significantly different results. We have rewritten the original code to calculate the index with outliers, as the removal of outliers was not mentioned in previous studies</w:t>
      </w:r>
      <w:r>
        <w:rPr>
          <w:rFonts w:ascii="Times New Roman" w:hAnsi="Times New Roman"/>
          <w:vertAlign w:val="superscript"/>
        </w:rPr>
        <w:t>1–3</w:t>
      </w:r>
      <w:r>
        <w:rPr>
          <w:rFonts w:ascii="Times New Roman" w:hAnsi="Times New Roman"/>
        </w:rPr>
        <w:t xml:space="preserve"> and does not have any justification (smoothing the curve?). (step 5)</w:t>
      </w:r>
    </w:p>
    <w:p>
      <w:pPr>
        <w:pStyle w:val="Normal"/>
        <w:spacing w:lineRule="auto" w:line="360"/>
        <w:rPr>
          <w:rFonts w:ascii="Times New Roman" w:hAnsi="Times New Roman"/>
        </w:rPr>
      </w:pPr>
      <w:r>
        <w:rPr>
          <w:rFonts w:ascii="Times New Roman" w:hAnsi="Times New Roman"/>
        </w:rPr>
        <w:t>(4) The index is calculated even if the mean of realm-specific weighted lambdas is an unknown value (no realm in a given year is represented by any population series). The unknown values function as zero and thus as if the final population growth rate was zero. We have fixed this error. (step 10)</w:t>
      </w:r>
    </w:p>
    <w:p>
      <w:pPr>
        <w:pStyle w:val="Normal"/>
        <w:spacing w:lineRule="auto" w:line="360"/>
        <w:rPr>
          <w:rFonts w:ascii="Times New Roman" w:hAnsi="Times New Roman"/>
        </w:rPr>
      </w:pPr>
      <w:r>
        <w:rPr>
          <w:rFonts w:ascii="Times New Roman" w:hAnsi="Times New Roman"/>
        </w:rPr>
        <w:t>(5) In the case that a taxon of a certain realm and year is represented by only one species with lambda higher than 1, the bootstrap method for calculating confidence intervals of the index gives an incorrect value. We have fixed this error. (step 11)</w:t>
      </w:r>
    </w:p>
    <w:p>
      <w:pPr>
        <w:pStyle w:val="Normal"/>
        <w:spacing w:lineRule="auto" w:line="360"/>
        <w:rPr>
          <w:rFonts w:ascii="Times New Roman" w:hAnsi="Times New Roman"/>
        </w:rPr>
      </w:pPr>
      <w:r>
        <w:rPr>
          <w:rFonts w:ascii="Times New Roman" w:hAnsi="Times New Roman"/>
        </w:rPr>
        <w:t>(6) In the case of calculation settings in which the outliers of lambda are not replaced by the allowed maximum and minimum, and the allowed minimum for lambda is lower than -1, the bootstrap method does not allow calculation with the lambda value of -1. We have fixed this error. (step 11)</w:t>
      </w:r>
    </w:p>
    <w:p>
      <w:pPr>
        <w:pStyle w:val="Normal"/>
        <w:spacing w:lineRule="auto" w:line="360"/>
        <w:rPr>
          <w:rFonts w:ascii="Times New Roman" w:hAnsi="Times New Roman"/>
        </w:rPr>
      </w:pPr>
      <w:r>
        <w:rPr>
          <w:rFonts w:ascii="Times New Roman" w:hAnsi="Times New Roman"/>
        </w:rPr>
        <w:t>(7) The index is calculated during the bootstrap procedure even if the mean of realm-specific (weighted or unweighted) lambdas are unknown values that function as false zeros (as population growth was zero). We have fixed this error. (step 11)</w:t>
      </w:r>
    </w:p>
    <w:p>
      <w:pPr>
        <w:pStyle w:val="Normal"/>
        <w:spacing w:lineRule="auto" w:line="360"/>
        <w:rPr>
          <w:rFonts w:ascii="Times New Roman" w:hAnsi="Times New Roman"/>
        </w:rPr>
      </w:pPr>
      <w:r>
        <w:rPr>
          <w:rFonts w:ascii="Times New Roman" w:hAnsi="Times New Roman"/>
        </w:rPr>
        <w:t>(8) The sum of the weights of individual realms is lower than one; 0.9811515 for a terrestrial ecosystem and 0.986994 for a freshwater ecosystem. We did not fix this error as we did not know the correct values of individual realm-specific weights. (step 8)</w:t>
      </w:r>
    </w:p>
    <w:p>
      <w:pPr>
        <w:pStyle w:val="Normal"/>
        <w:spacing w:lineRule="auto" w:line="360"/>
        <w:rPr>
          <w:rFonts w:ascii="Times New Roman" w:hAnsi="Times New Roman"/>
        </w:rPr>
      </w:pPr>
      <w:r>
        <w:rPr>
          <w:rFonts w:ascii="Times New Roman" w:hAnsi="Times New Roman"/>
        </w:rPr>
      </w:r>
    </w:p>
    <w:p>
      <w:pPr>
        <w:pStyle w:val="Normal"/>
        <w:spacing w:lineRule="auto" w:line="360"/>
        <w:rPr>
          <w:rFonts w:ascii="Times New Roman" w:hAnsi="Times New Roman"/>
        </w:rPr>
      </w:pPr>
      <w:r>
        <w:rPr>
          <w:rFonts w:ascii="Times New Roman" w:hAnsi="Times New Roman"/>
        </w:rPr>
        <w:t>All mentioned errors are marked in the R-scripts, see Supplementary Data ('Original with marked errors'). The structure and form of the scripts is kept as in the original scripts. We have fixed the errors in the code for our calculations, see Supplementary Data ('Corrected') for the corrected scripts and Supplementary Data ('Changed') for the corrected scripts supplemented by certain functions needed for the analyses in this study. The examples of differences in the LPI caused by the errors in the original code are shown in Extended Data Fig. 1.</w:t>
      </w:r>
    </w:p>
    <w:p>
      <w:pPr>
        <w:pStyle w:val="Normal"/>
        <w:spacing w:lineRule="auto" w:line="360"/>
        <w:rPr>
          <w:rFonts w:ascii="Times New Roman" w:hAnsi="Times New Roman"/>
        </w:rPr>
      </w:pPr>
      <w:r>
        <w:rPr>
          <w:rFonts w:ascii="Times New Roman" w:hAnsi="Times New Roman"/>
        </w:rPr>
      </w:r>
    </w:p>
    <w:p>
      <w:pPr>
        <w:pStyle w:val="Normal"/>
        <w:spacing w:lineRule="auto" w:line="360"/>
        <w:rPr>
          <w:rFonts w:ascii="Times New Roman" w:hAnsi="Times New Roman"/>
        </w:rPr>
      </w:pPr>
      <w:r>
        <w:rPr>
          <w:rFonts w:ascii="Times New Roman" w:hAnsi="Times New Roman"/>
        </w:rPr>
        <w:t>We also found the wrong input data settings in Buschke et al.</w:t>
      </w:r>
      <w:r>
        <w:rPr>
          <w:rFonts w:ascii="Times New Roman" w:hAnsi="Times New Roman"/>
          <w:vertAlign w:val="superscript"/>
        </w:rPr>
        <w:t>4</w:t>
      </w:r>
      <w:r>
        <w:rPr>
          <w:rFonts w:ascii="Times New Roman" w:hAnsi="Times New Roman"/>
        </w:rPr>
        <w:t xml:space="preserve">; for the global LPI, the authors divided the realm weights by the numer of taxa of the corresponding realm, but the weights should be divided by the number of ecosystems (by 3 instead of 4; an error for the freshwater and marine ecosystem). Another mistake was swapping </w:t>
      </w:r>
      <w:r>
        <w:rPr>
          <w:rFonts w:ascii="Times New Roman" w:hAnsi="Times New Roman"/>
        </w:rPr>
        <w:t xml:space="preserve">of </w:t>
      </w:r>
      <w:r>
        <w:rPr>
          <w:rFonts w:ascii="Times New Roman" w:hAnsi="Times New Roman"/>
        </w:rPr>
        <w:t>the two values of weights for the marine and global LPI (in marine birds of the south-temperate (0.456553) and Indo-Pacific realm (0.099685)).</w:t>
      </w:r>
    </w:p>
    <w:p>
      <w:pPr>
        <w:pStyle w:val="Normal"/>
        <w:spacing w:lineRule="auto" w:line="360"/>
        <w:rPr>
          <w:rFonts w:ascii="Times New Roman" w:hAnsi="Times New Roman"/>
          <w:b/>
          <w:b/>
          <w:bCs/>
        </w:rPr>
      </w:pPr>
      <w:r>
        <w:rPr>
          <w:rFonts w:ascii="Times New Roman" w:hAnsi="Times New Roman"/>
          <w:b/>
          <w:bCs/>
        </w:rPr>
      </w:r>
    </w:p>
    <w:p>
      <w:pPr>
        <w:pStyle w:val="Normal"/>
        <w:spacing w:lineRule="auto" w:line="360"/>
        <w:rPr>
          <w:rFonts w:ascii="Times New Roman" w:hAnsi="Times New Roman"/>
        </w:rPr>
      </w:pPr>
      <w:r>
        <w:rPr>
          <w:rFonts w:ascii="Times New Roman" w:hAnsi="Times New Roman"/>
          <w:b/>
          <w:bCs/>
        </w:rPr>
        <w:t>Single-population representatives for freshwater and marine ecosystems</w:t>
      </w:r>
    </w:p>
    <w:p>
      <w:pPr>
        <w:pStyle w:val="Normal"/>
        <w:spacing w:lineRule="auto" w:line="360"/>
        <w:rPr>
          <w:rFonts w:ascii="Times New Roman" w:hAnsi="Times New Roman"/>
        </w:rPr>
      </w:pPr>
      <w:r>
        <w:rPr>
          <w:rFonts w:ascii="Times New Roman" w:hAnsi="Times New Roman"/>
        </w:rPr>
        <w:t xml:space="preserve">For the freshwater ecosystem, there are four cases where a single population represents an entire taxon in a particular realm for some years. Mammals in the Nearctic until 1979 are represented by the populations of </w:t>
      </w:r>
      <w:r>
        <w:rPr>
          <w:rFonts w:ascii="Times New Roman" w:hAnsi="Times New Roman"/>
          <w:i/>
          <w:iCs/>
        </w:rPr>
        <w:t>Trichechus manatus</w:t>
      </w:r>
      <w:r>
        <w:rPr>
          <w:rFonts w:ascii="Times New Roman" w:hAnsi="Times New Roman"/>
        </w:rPr>
        <w:t xml:space="preserve"> (1 record of 1 population) and </w:t>
      </w:r>
      <w:r>
        <w:rPr>
          <w:rFonts w:ascii="Times New Roman" w:hAnsi="Times New Roman"/>
          <w:i/>
          <w:iCs/>
        </w:rPr>
        <w:t>Castor canadensis</w:t>
      </w:r>
      <w:r>
        <w:rPr>
          <w:rFonts w:ascii="Times New Roman" w:hAnsi="Times New Roman"/>
        </w:rPr>
        <w:t xml:space="preserve"> (3 populations</w:t>
      </w:r>
      <w:r>
        <w:rPr>
          <w:rFonts w:ascii="Times New Roman" w:hAnsi="Times New Roman"/>
        </w:rPr>
        <w:t>,</w:t>
      </w:r>
      <w:r>
        <w:rPr>
          <w:rFonts w:ascii="Times New Roman" w:hAnsi="Times New Roman"/>
        </w:rPr>
        <w:t xml:space="preserve"> each with 1 record), which in those years are the only representatives of the given taxon. Not including of these populations (records until 1978) causes a greater decline in mean population growth (the difference in the LPI is 1.43) in Nearctic freshwater mammals. However, for the whole freshwater Nearctic realm (all 4 taxa), these population records have a negligible effect (1%). Freshwater mammals in the Neotropic until 1992 are not represented by more than one population. By removing singe-population representatives, we exclude the records of populations of </w:t>
      </w:r>
      <w:r>
        <w:rPr>
          <w:rFonts w:ascii="Times New Roman" w:hAnsi="Times New Roman"/>
          <w:i/>
          <w:iCs/>
        </w:rPr>
        <w:t>Lontra longicaudis</w:t>
      </w:r>
      <w:r>
        <w:rPr>
          <w:rFonts w:ascii="Times New Roman" w:hAnsi="Times New Roman"/>
        </w:rPr>
        <w:t xml:space="preserve"> and </w:t>
      </w:r>
      <w:r>
        <w:rPr>
          <w:rFonts w:ascii="Times New Roman" w:hAnsi="Times New Roman"/>
          <w:i/>
          <w:iCs/>
        </w:rPr>
        <w:t>Pteronura brasiliensis</w:t>
      </w:r>
      <w:r>
        <w:rPr>
          <w:rFonts w:ascii="Times New Roman" w:hAnsi="Times New Roman"/>
        </w:rPr>
        <w:t xml:space="preserve"> and cause a greater increase in the index for this taxon and realm (from 1.38 to 2.29). The whole freshwater Neotropic realm, however, is not affected by these single-population representatives. In freshwater herptiles in the Afrotropical realm, there is only one population of </w:t>
      </w:r>
      <w:r>
        <w:rPr>
          <w:rFonts w:ascii="Times New Roman" w:hAnsi="Times New Roman"/>
          <w:i/>
          <w:iCs/>
        </w:rPr>
        <w:t>Crocodylus niloticus</w:t>
      </w:r>
      <w:r>
        <w:rPr>
          <w:rFonts w:ascii="Times New Roman" w:hAnsi="Times New Roman"/>
        </w:rPr>
        <w:t xml:space="preserve"> with three records, which represents the entire taxon until 1975. Removal of these records causes the difference in the LPI for this taxon and realm by 21% (a greater decline after removing). This effect is smaller (7.3%) for the whole freshwater Afrotropical realm. Finally, fishes in the Indo-Pacific realm until 1985 are represented by the populations of </w:t>
      </w:r>
      <w:r>
        <w:rPr>
          <w:rFonts w:ascii="Times New Roman" w:hAnsi="Times New Roman"/>
          <w:i/>
          <w:iCs/>
        </w:rPr>
        <w:t>Oncorhynchus tshawytscha</w:t>
      </w:r>
      <w:r>
        <w:rPr>
          <w:rFonts w:ascii="Times New Roman" w:hAnsi="Times New Roman"/>
        </w:rPr>
        <w:t xml:space="preserve"> and </w:t>
      </w:r>
      <w:r>
        <w:rPr>
          <w:rFonts w:ascii="Times New Roman" w:hAnsi="Times New Roman"/>
          <w:i/>
          <w:iCs/>
        </w:rPr>
        <w:t>Channa striata</w:t>
      </w:r>
      <w:r>
        <w:rPr>
          <w:rFonts w:ascii="Times New Roman" w:hAnsi="Times New Roman"/>
        </w:rPr>
        <w:t>, the removal of which causes a greater decline in the index by 14.9%. For the whole freshwater Indo-Pacific realm, the removal of the single-population representatives causes a greater decline in the index by 43.1% (the effect of the non-continuous LPI for Indo-Pacific fish causes a greater change in the index in all freshwater taxa than just in fish in the Indo-Pacific realm). The whole freshwater ecosystem without single-representatives in the Indo-Pacific realm is declining by 2.4% more.</w:t>
      </w:r>
    </w:p>
    <w:p>
      <w:pPr>
        <w:pStyle w:val="Normal"/>
        <w:spacing w:lineRule="auto" w:line="360"/>
        <w:rPr>
          <w:rFonts w:ascii="Times New Roman" w:hAnsi="Times New Roman"/>
        </w:rPr>
      </w:pPr>
      <w:r>
        <w:rPr>
          <w:rFonts w:ascii="Times New Roman" w:hAnsi="Times New Roman"/>
        </w:rPr>
      </w:r>
    </w:p>
    <w:p>
      <w:pPr>
        <w:pStyle w:val="Normal"/>
        <w:spacing w:lineRule="auto" w:line="360"/>
        <w:rPr>
          <w:rFonts w:ascii="Times New Roman" w:hAnsi="Times New Roman"/>
        </w:rPr>
      </w:pPr>
      <w:r>
        <w:rPr>
          <w:rFonts w:ascii="Times New Roman" w:hAnsi="Times New Roman"/>
        </w:rPr>
        <w:t xml:space="preserve">For the marine ecosystem, there is only one case of single-population representatives, that of mammals in the Arctic realm. The populations of </w:t>
      </w:r>
      <w:r>
        <w:rPr>
          <w:rFonts w:ascii="Times New Roman" w:hAnsi="Times New Roman"/>
          <w:i/>
          <w:iCs/>
        </w:rPr>
        <w:t>Balaenoptera physalus</w:t>
      </w:r>
      <w:r>
        <w:rPr>
          <w:rFonts w:ascii="Times New Roman" w:hAnsi="Times New Roman"/>
        </w:rPr>
        <w:t xml:space="preserve"> (one record) and </w:t>
      </w:r>
      <w:r>
        <w:rPr>
          <w:rFonts w:ascii="Times New Roman" w:hAnsi="Times New Roman"/>
          <w:i/>
          <w:iCs/>
        </w:rPr>
        <w:t>Ursus maritimus</w:t>
      </w:r>
      <w:r>
        <w:rPr>
          <w:rFonts w:ascii="Times New Roman" w:hAnsi="Times New Roman"/>
        </w:rPr>
        <w:t xml:space="preserve"> (5 records) until 1977 stay alone in the time series and cause greater decline by 84.7% in the index when not included. For the whole Arctic realm, these records have a small effect (by a 4.9% greater decline if not included).</w:t>
      </w:r>
      <w:r>
        <w:br w:type="page"/>
      </w:r>
    </w:p>
    <w:p>
      <w:pPr>
        <w:pStyle w:val="Normal"/>
        <w:spacing w:lineRule="auto" w:line="240"/>
        <w:rPr>
          <w:rFonts w:ascii="Times New Roman" w:hAnsi="Times New Roman"/>
          <w:b/>
          <w:b/>
          <w:bCs/>
        </w:rPr>
      </w:pPr>
      <w:r>
        <w:rPr>
          <w:rFonts w:ascii="Times New Roman" w:hAnsi="Times New Roman"/>
          <w:b/>
          <w:bCs/>
        </w:rPr>
        <w:t>Supplementary Table 1: The number of populations and species used in this study</w:t>
      </w:r>
    </w:p>
    <w:p>
      <w:pPr>
        <w:pStyle w:val="Normal"/>
        <w:spacing w:lineRule="auto" w:line="240"/>
        <w:rPr>
          <w:rFonts w:ascii="Times New Roman" w:hAnsi="Times New Roman"/>
          <w:b/>
          <w:b/>
          <w:bCs/>
        </w:rPr>
      </w:pPr>
      <w:r>
        <w:rPr>
          <w:rFonts w:ascii="Times New Roman" w:hAnsi="Times New Roman"/>
          <w:b/>
          <w:bCs/>
        </w:rPr>
      </w:r>
    </w:p>
    <w:tbl>
      <w:tblPr>
        <w:tblW w:w="9623" w:type="dxa"/>
        <w:jc w:val="left"/>
        <w:tblInd w:w="29" w:type="dxa"/>
        <w:tblCellMar>
          <w:top w:w="29" w:type="dxa"/>
          <w:left w:w="29" w:type="dxa"/>
          <w:bottom w:w="29" w:type="dxa"/>
          <w:right w:w="29" w:type="dxa"/>
        </w:tblCellMar>
        <w:tblLook w:val="0000" w:noHBand="0" w:noVBand="0" w:firstColumn="0" w:lastRow="0" w:lastColumn="0" w:firstRow="0"/>
      </w:tblPr>
      <w:tblGrid>
        <w:gridCol w:w="1174"/>
        <w:gridCol w:w="1408"/>
        <w:gridCol w:w="1408"/>
        <w:gridCol w:w="1409"/>
        <w:gridCol w:w="1408"/>
        <w:gridCol w:w="1409"/>
        <w:gridCol w:w="1406"/>
      </w:tblGrid>
      <w:tr>
        <w:trPr>
          <w:trHeight w:val="339" w:hRule="atLeast"/>
        </w:trPr>
        <w:tc>
          <w:tcPr>
            <w:tcW w:w="1174" w:type="dxa"/>
            <w:tcBorders>
              <w:top w:val="thinThickSmallGap" w:sz="2" w:space="0" w:color="999999"/>
              <w:bottom w:val="single" w:sz="2" w:space="0" w:color="000000"/>
              <w:right w:val="single" w:sz="2" w:space="0" w:color="000000"/>
            </w:tcBorders>
            <w:vAlign w:val="center"/>
          </w:tcPr>
          <w:p>
            <w:pPr>
              <w:pStyle w:val="TableContents"/>
              <w:spacing w:lineRule="auto" w:line="240"/>
              <w:jc w:val="left"/>
              <w:rPr>
                <w:rFonts w:ascii="Times New Roman" w:hAnsi="Times New Roman"/>
              </w:rPr>
            </w:pPr>
            <w:r>
              <w:rPr>
                <w:rFonts w:ascii="Times New Roman" w:hAnsi="Times New Roman"/>
              </w:rPr>
            </w:r>
          </w:p>
        </w:tc>
        <w:tc>
          <w:tcPr>
            <w:tcW w:w="2816" w:type="dxa"/>
            <w:gridSpan w:val="2"/>
            <w:tcBorders>
              <w:top w:val="thinThickSmallGap" w:sz="2" w:space="0" w:color="999999"/>
              <w:left w:val="single" w:sz="2" w:space="0" w:color="000000"/>
              <w:bottom w:val="single" w:sz="2" w:space="0" w:color="000000"/>
              <w:right w:val="single" w:sz="2" w:space="0" w:color="000000"/>
            </w:tcBorders>
            <w:vAlign w:val="center"/>
          </w:tcPr>
          <w:p>
            <w:pPr>
              <w:pStyle w:val="TableContents"/>
              <w:spacing w:lineRule="auto" w:line="240"/>
              <w:jc w:val="center"/>
              <w:rPr>
                <w:rFonts w:ascii="Times New Roman" w:hAnsi="Times New Roman"/>
                <w:b/>
                <w:b/>
                <w:bCs/>
              </w:rPr>
            </w:pPr>
            <w:r>
              <w:rPr>
                <w:rFonts w:ascii="Times New Roman" w:hAnsi="Times New Roman"/>
                <w:b/>
                <w:bCs/>
              </w:rPr>
              <w:t>Terrestrial</w:t>
            </w:r>
          </w:p>
        </w:tc>
        <w:tc>
          <w:tcPr>
            <w:tcW w:w="2817" w:type="dxa"/>
            <w:gridSpan w:val="2"/>
            <w:tcBorders>
              <w:top w:val="thinThickSmallGap" w:sz="2" w:space="0" w:color="999999"/>
              <w:left w:val="single" w:sz="2" w:space="0" w:color="000000"/>
              <w:bottom w:val="single" w:sz="2" w:space="0" w:color="000000"/>
              <w:right w:val="single" w:sz="2" w:space="0" w:color="000000"/>
            </w:tcBorders>
            <w:vAlign w:val="center"/>
          </w:tcPr>
          <w:p>
            <w:pPr>
              <w:pStyle w:val="TableContents"/>
              <w:spacing w:lineRule="auto" w:line="240"/>
              <w:jc w:val="center"/>
              <w:rPr>
                <w:rFonts w:ascii="Times New Roman" w:hAnsi="Times New Roman"/>
                <w:b/>
                <w:b/>
                <w:bCs/>
              </w:rPr>
            </w:pPr>
            <w:r>
              <w:rPr>
                <w:rFonts w:ascii="Times New Roman" w:hAnsi="Times New Roman"/>
                <w:b/>
                <w:bCs/>
              </w:rPr>
              <w:t>Freshwater</w:t>
            </w:r>
          </w:p>
        </w:tc>
        <w:tc>
          <w:tcPr>
            <w:tcW w:w="2815" w:type="dxa"/>
            <w:gridSpan w:val="2"/>
            <w:tcBorders>
              <w:top w:val="thinThickSmallGap" w:sz="2" w:space="0" w:color="999999"/>
              <w:left w:val="single" w:sz="2" w:space="0" w:color="000000"/>
              <w:bottom w:val="single" w:sz="2" w:space="0" w:color="000000"/>
            </w:tcBorders>
            <w:vAlign w:val="center"/>
          </w:tcPr>
          <w:p>
            <w:pPr>
              <w:pStyle w:val="TableContents"/>
              <w:spacing w:lineRule="auto" w:line="240"/>
              <w:jc w:val="center"/>
              <w:rPr>
                <w:rFonts w:ascii="Times New Roman" w:hAnsi="Times New Roman"/>
                <w:b/>
                <w:b/>
                <w:bCs/>
              </w:rPr>
            </w:pPr>
            <w:r>
              <w:rPr>
                <w:rFonts w:ascii="Times New Roman" w:hAnsi="Times New Roman"/>
                <w:b/>
                <w:bCs/>
              </w:rPr>
              <w:t>Marine</w:t>
            </w:r>
          </w:p>
        </w:tc>
      </w:tr>
      <w:tr>
        <w:trPr>
          <w:trHeight w:val="339" w:hRule="atLeast"/>
        </w:trPr>
        <w:tc>
          <w:tcPr>
            <w:tcW w:w="1174" w:type="dxa"/>
            <w:tcBorders>
              <w:bottom w:val="thinThickSmallGap" w:sz="2" w:space="0" w:color="999999"/>
              <w:right w:val="single" w:sz="2" w:space="0" w:color="000000"/>
            </w:tcBorders>
            <w:vAlign w:val="center"/>
          </w:tcPr>
          <w:p>
            <w:pPr>
              <w:pStyle w:val="TableContents"/>
              <w:spacing w:lineRule="auto" w:line="240"/>
              <w:jc w:val="left"/>
              <w:rPr>
                <w:rFonts w:ascii="Times New Roman" w:hAnsi="Times New Roman"/>
              </w:rPr>
            </w:pPr>
            <w:r>
              <w:rPr>
                <w:rFonts w:ascii="Times New Roman" w:hAnsi="Times New Roman"/>
              </w:rPr>
            </w:r>
          </w:p>
        </w:tc>
        <w:tc>
          <w:tcPr>
            <w:tcW w:w="1408" w:type="dxa"/>
            <w:tcBorders>
              <w:left w:val="single" w:sz="2" w:space="0" w:color="000000"/>
              <w:bottom w:val="thinThickSmallGap" w:sz="2" w:space="0" w:color="999999"/>
            </w:tcBorders>
            <w:vAlign w:val="center"/>
          </w:tcPr>
          <w:p>
            <w:pPr>
              <w:pStyle w:val="TableContents"/>
              <w:spacing w:lineRule="auto" w:line="240"/>
              <w:jc w:val="center"/>
              <w:rPr>
                <w:rFonts w:ascii="Times New Roman" w:hAnsi="Times New Roman"/>
                <w:b/>
                <w:b/>
                <w:bCs/>
              </w:rPr>
            </w:pPr>
            <w:r>
              <w:rPr>
                <w:rFonts w:ascii="Times New Roman" w:hAnsi="Times New Roman"/>
                <w:b/>
                <w:bCs/>
              </w:rPr>
              <w:t>populations</w:t>
            </w:r>
          </w:p>
        </w:tc>
        <w:tc>
          <w:tcPr>
            <w:tcW w:w="1408" w:type="dxa"/>
            <w:tcBorders>
              <w:left w:val="single" w:sz="2" w:space="0" w:color="999999"/>
              <w:bottom w:val="thinThickSmallGap" w:sz="2" w:space="0" w:color="999999"/>
              <w:right w:val="single" w:sz="2" w:space="0" w:color="000000"/>
            </w:tcBorders>
            <w:vAlign w:val="center"/>
          </w:tcPr>
          <w:p>
            <w:pPr>
              <w:pStyle w:val="TableContents"/>
              <w:spacing w:lineRule="auto" w:line="240"/>
              <w:jc w:val="center"/>
              <w:rPr>
                <w:rFonts w:ascii="Times New Roman" w:hAnsi="Times New Roman"/>
                <w:b/>
                <w:b/>
                <w:bCs/>
              </w:rPr>
            </w:pPr>
            <w:r>
              <w:rPr>
                <w:rFonts w:ascii="Times New Roman" w:hAnsi="Times New Roman"/>
                <w:b/>
                <w:bCs/>
              </w:rPr>
              <w:t>species</w:t>
            </w:r>
          </w:p>
        </w:tc>
        <w:tc>
          <w:tcPr>
            <w:tcW w:w="1409" w:type="dxa"/>
            <w:tcBorders>
              <w:left w:val="single" w:sz="2" w:space="0" w:color="000000"/>
              <w:bottom w:val="thinThickSmallGap" w:sz="2" w:space="0" w:color="999999"/>
            </w:tcBorders>
            <w:vAlign w:val="center"/>
          </w:tcPr>
          <w:p>
            <w:pPr>
              <w:pStyle w:val="TableContents"/>
              <w:spacing w:lineRule="auto" w:line="240"/>
              <w:jc w:val="center"/>
              <w:rPr>
                <w:rFonts w:ascii="Times New Roman" w:hAnsi="Times New Roman"/>
                <w:b/>
                <w:b/>
                <w:bCs/>
              </w:rPr>
            </w:pPr>
            <w:r>
              <w:rPr>
                <w:rFonts w:ascii="Times New Roman" w:hAnsi="Times New Roman"/>
                <w:b/>
                <w:bCs/>
              </w:rPr>
              <w:t>populations</w:t>
            </w:r>
          </w:p>
        </w:tc>
        <w:tc>
          <w:tcPr>
            <w:tcW w:w="1408" w:type="dxa"/>
            <w:tcBorders>
              <w:left w:val="single" w:sz="2" w:space="0" w:color="999999"/>
              <w:bottom w:val="thinThickSmallGap" w:sz="2" w:space="0" w:color="999999"/>
              <w:right w:val="single" w:sz="2" w:space="0" w:color="000000"/>
            </w:tcBorders>
            <w:vAlign w:val="center"/>
          </w:tcPr>
          <w:p>
            <w:pPr>
              <w:pStyle w:val="TableContents"/>
              <w:spacing w:lineRule="auto" w:line="240"/>
              <w:jc w:val="center"/>
              <w:rPr>
                <w:rFonts w:ascii="Times New Roman" w:hAnsi="Times New Roman"/>
                <w:b/>
                <w:b/>
                <w:bCs/>
              </w:rPr>
            </w:pPr>
            <w:r>
              <w:rPr>
                <w:rFonts w:ascii="Times New Roman" w:hAnsi="Times New Roman"/>
                <w:b/>
                <w:bCs/>
              </w:rPr>
              <w:t>species</w:t>
            </w:r>
          </w:p>
        </w:tc>
        <w:tc>
          <w:tcPr>
            <w:tcW w:w="1409" w:type="dxa"/>
            <w:tcBorders>
              <w:left w:val="single" w:sz="2" w:space="0" w:color="000000"/>
              <w:bottom w:val="thinThickSmallGap" w:sz="2" w:space="0" w:color="999999"/>
            </w:tcBorders>
            <w:vAlign w:val="center"/>
          </w:tcPr>
          <w:p>
            <w:pPr>
              <w:pStyle w:val="TableContents"/>
              <w:spacing w:lineRule="auto" w:line="240"/>
              <w:jc w:val="center"/>
              <w:rPr>
                <w:rFonts w:ascii="Times New Roman" w:hAnsi="Times New Roman"/>
                <w:b/>
                <w:b/>
                <w:bCs/>
              </w:rPr>
            </w:pPr>
            <w:r>
              <w:rPr>
                <w:rFonts w:ascii="Times New Roman" w:hAnsi="Times New Roman"/>
                <w:b/>
                <w:bCs/>
              </w:rPr>
              <w:t>populations</w:t>
            </w:r>
          </w:p>
        </w:tc>
        <w:tc>
          <w:tcPr>
            <w:tcW w:w="1406" w:type="dxa"/>
            <w:tcBorders>
              <w:left w:val="single" w:sz="2" w:space="0" w:color="999999"/>
              <w:bottom w:val="thinThickSmallGap" w:sz="2" w:space="0" w:color="999999"/>
            </w:tcBorders>
            <w:vAlign w:val="center"/>
          </w:tcPr>
          <w:p>
            <w:pPr>
              <w:pStyle w:val="TableContents"/>
              <w:spacing w:lineRule="auto" w:line="240"/>
              <w:jc w:val="center"/>
              <w:rPr>
                <w:rFonts w:ascii="Times New Roman" w:hAnsi="Times New Roman"/>
                <w:b/>
                <w:b/>
                <w:bCs/>
              </w:rPr>
            </w:pPr>
            <w:r>
              <w:rPr>
                <w:rFonts w:ascii="Times New Roman" w:hAnsi="Times New Roman"/>
                <w:b/>
                <w:bCs/>
              </w:rPr>
              <w:t>species</w:t>
            </w:r>
          </w:p>
        </w:tc>
      </w:tr>
      <w:tr>
        <w:trPr>
          <w:trHeight w:val="339" w:hRule="atLeast"/>
        </w:trPr>
        <w:tc>
          <w:tcPr>
            <w:tcW w:w="1174" w:type="dxa"/>
            <w:tcBorders>
              <w:bottom w:val="single" w:sz="2" w:space="0" w:color="999999"/>
              <w:right w:val="single" w:sz="2" w:space="0" w:color="000000"/>
            </w:tcBorders>
            <w:vAlign w:val="center"/>
          </w:tcPr>
          <w:p>
            <w:pPr>
              <w:pStyle w:val="TableContents"/>
              <w:spacing w:lineRule="auto" w:line="240"/>
              <w:jc w:val="left"/>
              <w:rPr>
                <w:rFonts w:ascii="Times New Roman" w:hAnsi="Times New Roman"/>
                <w:b/>
                <w:b/>
                <w:bCs/>
              </w:rPr>
            </w:pPr>
            <w:r>
              <w:rPr>
                <w:rFonts w:ascii="Times New Roman" w:hAnsi="Times New Roman"/>
                <w:b/>
                <w:bCs/>
              </w:rPr>
              <w:t>Mammals</w:t>
            </w:r>
          </w:p>
        </w:tc>
        <w:tc>
          <w:tcPr>
            <w:tcW w:w="1408" w:type="dxa"/>
            <w:tcBorders>
              <w:left w:val="single" w:sz="2" w:space="0" w:color="000000"/>
              <w:bottom w:val="single" w:sz="2" w:space="0" w:color="999999"/>
            </w:tcBorders>
            <w:vAlign w:val="center"/>
          </w:tcPr>
          <w:p>
            <w:pPr>
              <w:pStyle w:val="TableContents"/>
              <w:spacing w:lineRule="auto" w:line="240"/>
              <w:jc w:val="center"/>
              <w:rPr>
                <w:rFonts w:ascii="Times New Roman" w:hAnsi="Times New Roman"/>
              </w:rPr>
            </w:pPr>
            <w:r>
              <w:rPr>
                <w:rFonts w:ascii="Times New Roman" w:hAnsi="Times New Roman"/>
              </w:rPr>
              <w:t>2797</w:t>
            </w:r>
          </w:p>
        </w:tc>
        <w:tc>
          <w:tcPr>
            <w:tcW w:w="1408" w:type="dxa"/>
            <w:tcBorders>
              <w:left w:val="single" w:sz="2" w:space="0" w:color="999999"/>
              <w:bottom w:val="single" w:sz="2" w:space="0" w:color="999999"/>
              <w:right w:val="single" w:sz="2" w:space="0" w:color="000000"/>
            </w:tcBorders>
            <w:vAlign w:val="center"/>
          </w:tcPr>
          <w:p>
            <w:pPr>
              <w:pStyle w:val="TableContents"/>
              <w:spacing w:lineRule="auto" w:line="240"/>
              <w:jc w:val="center"/>
              <w:rPr>
                <w:rFonts w:ascii="Times New Roman" w:hAnsi="Times New Roman"/>
              </w:rPr>
            </w:pPr>
            <w:r>
              <w:rPr>
                <w:rFonts w:ascii="Times New Roman" w:hAnsi="Times New Roman"/>
              </w:rPr>
              <w:t>554</w:t>
            </w:r>
          </w:p>
        </w:tc>
        <w:tc>
          <w:tcPr>
            <w:tcW w:w="1409" w:type="dxa"/>
            <w:tcBorders>
              <w:left w:val="single" w:sz="2" w:space="0" w:color="000000"/>
              <w:bottom w:val="single" w:sz="2" w:space="0" w:color="999999"/>
            </w:tcBorders>
            <w:vAlign w:val="center"/>
          </w:tcPr>
          <w:p>
            <w:pPr>
              <w:pStyle w:val="TableContents"/>
              <w:spacing w:lineRule="auto" w:line="240"/>
              <w:jc w:val="center"/>
              <w:rPr>
                <w:rFonts w:ascii="Times New Roman" w:hAnsi="Times New Roman"/>
              </w:rPr>
            </w:pPr>
            <w:r>
              <w:rPr>
                <w:rFonts w:ascii="Times New Roman" w:hAnsi="Times New Roman"/>
              </w:rPr>
              <w:t>149</w:t>
            </w:r>
          </w:p>
        </w:tc>
        <w:tc>
          <w:tcPr>
            <w:tcW w:w="1408" w:type="dxa"/>
            <w:tcBorders>
              <w:left w:val="single" w:sz="2" w:space="0" w:color="999999"/>
              <w:bottom w:val="single" w:sz="2" w:space="0" w:color="999999"/>
              <w:right w:val="single" w:sz="2" w:space="0" w:color="000000"/>
            </w:tcBorders>
            <w:vAlign w:val="center"/>
          </w:tcPr>
          <w:p>
            <w:pPr>
              <w:pStyle w:val="TableContents"/>
              <w:spacing w:lineRule="auto" w:line="240"/>
              <w:jc w:val="center"/>
              <w:rPr>
                <w:rFonts w:ascii="Times New Roman" w:hAnsi="Times New Roman"/>
              </w:rPr>
            </w:pPr>
            <w:r>
              <w:rPr>
                <w:rFonts w:ascii="Times New Roman" w:hAnsi="Times New Roman"/>
              </w:rPr>
              <w:t>25</w:t>
            </w:r>
          </w:p>
        </w:tc>
        <w:tc>
          <w:tcPr>
            <w:tcW w:w="1409" w:type="dxa"/>
            <w:tcBorders>
              <w:left w:val="single" w:sz="2" w:space="0" w:color="000000"/>
              <w:bottom w:val="single" w:sz="2" w:space="0" w:color="999999"/>
            </w:tcBorders>
            <w:vAlign w:val="center"/>
          </w:tcPr>
          <w:p>
            <w:pPr>
              <w:pStyle w:val="TableContents"/>
              <w:spacing w:lineRule="auto" w:line="240"/>
              <w:jc w:val="center"/>
              <w:rPr>
                <w:rFonts w:ascii="Times New Roman" w:hAnsi="Times New Roman"/>
              </w:rPr>
            </w:pPr>
            <w:r>
              <w:rPr>
                <w:rFonts w:ascii="Times New Roman" w:hAnsi="Times New Roman"/>
              </w:rPr>
              <w:t>517</w:t>
            </w:r>
          </w:p>
        </w:tc>
        <w:tc>
          <w:tcPr>
            <w:tcW w:w="1406" w:type="dxa"/>
            <w:tcBorders>
              <w:left w:val="single" w:sz="2" w:space="0" w:color="999999"/>
              <w:bottom w:val="single" w:sz="2" w:space="0" w:color="999999"/>
            </w:tcBorders>
            <w:vAlign w:val="center"/>
          </w:tcPr>
          <w:p>
            <w:pPr>
              <w:pStyle w:val="TableContents"/>
              <w:spacing w:lineRule="auto" w:line="240"/>
              <w:jc w:val="center"/>
              <w:rPr>
                <w:rFonts w:ascii="Times New Roman" w:hAnsi="Times New Roman"/>
              </w:rPr>
            </w:pPr>
            <w:r>
              <w:rPr>
                <w:rFonts w:ascii="Times New Roman" w:hAnsi="Times New Roman"/>
              </w:rPr>
              <w:t>69</w:t>
            </w:r>
          </w:p>
        </w:tc>
      </w:tr>
      <w:tr>
        <w:trPr>
          <w:trHeight w:val="339" w:hRule="atLeast"/>
        </w:trPr>
        <w:tc>
          <w:tcPr>
            <w:tcW w:w="1174" w:type="dxa"/>
            <w:tcBorders>
              <w:bottom w:val="single" w:sz="2" w:space="0" w:color="999999"/>
              <w:right w:val="single" w:sz="2" w:space="0" w:color="000000"/>
            </w:tcBorders>
            <w:vAlign w:val="center"/>
          </w:tcPr>
          <w:p>
            <w:pPr>
              <w:pStyle w:val="TableContents"/>
              <w:spacing w:lineRule="auto" w:line="240"/>
              <w:jc w:val="left"/>
              <w:rPr>
                <w:rFonts w:ascii="Times New Roman" w:hAnsi="Times New Roman"/>
                <w:b/>
                <w:b/>
                <w:bCs/>
              </w:rPr>
            </w:pPr>
            <w:r>
              <w:rPr>
                <w:rFonts w:ascii="Times New Roman" w:hAnsi="Times New Roman"/>
                <w:b/>
                <w:bCs/>
              </w:rPr>
              <w:t>Birds</w:t>
            </w:r>
          </w:p>
        </w:tc>
        <w:tc>
          <w:tcPr>
            <w:tcW w:w="1408" w:type="dxa"/>
            <w:tcBorders>
              <w:left w:val="single" w:sz="2" w:space="0" w:color="000000"/>
              <w:bottom w:val="single" w:sz="2" w:space="0" w:color="999999"/>
            </w:tcBorders>
            <w:vAlign w:val="center"/>
          </w:tcPr>
          <w:p>
            <w:pPr>
              <w:pStyle w:val="TableContents"/>
              <w:spacing w:lineRule="auto" w:line="240"/>
              <w:jc w:val="center"/>
              <w:rPr>
                <w:rFonts w:ascii="Times New Roman" w:hAnsi="Times New Roman"/>
              </w:rPr>
            </w:pPr>
            <w:r>
              <w:rPr>
                <w:rFonts w:ascii="Times New Roman" w:hAnsi="Times New Roman"/>
              </w:rPr>
              <w:t>4587</w:t>
            </w:r>
          </w:p>
        </w:tc>
        <w:tc>
          <w:tcPr>
            <w:tcW w:w="1408" w:type="dxa"/>
            <w:tcBorders>
              <w:left w:val="single" w:sz="2" w:space="0" w:color="999999"/>
              <w:bottom w:val="single" w:sz="2" w:space="0" w:color="999999"/>
              <w:right w:val="single" w:sz="2" w:space="0" w:color="000000"/>
            </w:tcBorders>
            <w:vAlign w:val="center"/>
          </w:tcPr>
          <w:p>
            <w:pPr>
              <w:pStyle w:val="TableContents"/>
              <w:spacing w:lineRule="auto" w:line="240"/>
              <w:jc w:val="center"/>
              <w:rPr>
                <w:rFonts w:ascii="Times New Roman" w:hAnsi="Times New Roman"/>
              </w:rPr>
            </w:pPr>
            <w:r>
              <w:rPr>
                <w:rFonts w:ascii="Times New Roman" w:hAnsi="Times New Roman"/>
              </w:rPr>
              <w:t>1155</w:t>
            </w:r>
          </w:p>
        </w:tc>
        <w:tc>
          <w:tcPr>
            <w:tcW w:w="1409" w:type="dxa"/>
            <w:tcBorders>
              <w:left w:val="single" w:sz="2" w:space="0" w:color="000000"/>
              <w:bottom w:val="single" w:sz="2" w:space="0" w:color="999999"/>
            </w:tcBorders>
            <w:vAlign w:val="center"/>
          </w:tcPr>
          <w:p>
            <w:pPr>
              <w:pStyle w:val="TableContents"/>
              <w:spacing w:lineRule="auto" w:line="240"/>
              <w:jc w:val="center"/>
              <w:rPr>
                <w:rFonts w:ascii="Times New Roman" w:hAnsi="Times New Roman"/>
              </w:rPr>
            </w:pPr>
            <w:r>
              <w:rPr>
                <w:rFonts w:ascii="Times New Roman" w:hAnsi="Times New Roman"/>
              </w:rPr>
              <w:t>2575</w:t>
            </w:r>
          </w:p>
        </w:tc>
        <w:tc>
          <w:tcPr>
            <w:tcW w:w="1408" w:type="dxa"/>
            <w:tcBorders>
              <w:left w:val="single" w:sz="2" w:space="0" w:color="999999"/>
              <w:bottom w:val="single" w:sz="2" w:space="0" w:color="999999"/>
              <w:right w:val="single" w:sz="2" w:space="0" w:color="000000"/>
            </w:tcBorders>
            <w:vAlign w:val="center"/>
          </w:tcPr>
          <w:p>
            <w:pPr>
              <w:pStyle w:val="TableContents"/>
              <w:spacing w:lineRule="auto" w:line="240"/>
              <w:jc w:val="center"/>
              <w:rPr>
                <w:rFonts w:ascii="Times New Roman" w:hAnsi="Times New Roman"/>
              </w:rPr>
            </w:pPr>
            <w:r>
              <w:rPr>
                <w:rFonts w:ascii="Times New Roman" w:hAnsi="Times New Roman"/>
              </w:rPr>
              <w:t>341</w:t>
            </w:r>
          </w:p>
        </w:tc>
        <w:tc>
          <w:tcPr>
            <w:tcW w:w="1409" w:type="dxa"/>
            <w:tcBorders>
              <w:left w:val="single" w:sz="2" w:space="0" w:color="000000"/>
              <w:bottom w:val="single" w:sz="2" w:space="0" w:color="999999"/>
            </w:tcBorders>
            <w:vAlign w:val="center"/>
          </w:tcPr>
          <w:p>
            <w:pPr>
              <w:pStyle w:val="TableContents"/>
              <w:spacing w:lineRule="auto" w:line="240"/>
              <w:jc w:val="center"/>
              <w:rPr>
                <w:rFonts w:ascii="Times New Roman" w:hAnsi="Times New Roman"/>
              </w:rPr>
            </w:pPr>
            <w:r>
              <w:rPr>
                <w:rFonts w:ascii="Times New Roman" w:hAnsi="Times New Roman"/>
              </w:rPr>
              <w:t>1862</w:t>
            </w:r>
          </w:p>
        </w:tc>
        <w:tc>
          <w:tcPr>
            <w:tcW w:w="1406" w:type="dxa"/>
            <w:tcBorders>
              <w:left w:val="single" w:sz="2" w:space="0" w:color="999999"/>
              <w:bottom w:val="single" w:sz="2" w:space="0" w:color="999999"/>
            </w:tcBorders>
            <w:vAlign w:val="center"/>
          </w:tcPr>
          <w:p>
            <w:pPr>
              <w:pStyle w:val="TableContents"/>
              <w:spacing w:lineRule="auto" w:line="240"/>
              <w:jc w:val="center"/>
              <w:rPr>
                <w:rFonts w:ascii="Times New Roman" w:hAnsi="Times New Roman"/>
              </w:rPr>
            </w:pPr>
            <w:r>
              <w:rPr>
                <w:rFonts w:ascii="Times New Roman" w:hAnsi="Times New Roman"/>
              </w:rPr>
              <w:t>251</w:t>
            </w:r>
          </w:p>
        </w:tc>
      </w:tr>
      <w:tr>
        <w:trPr>
          <w:trHeight w:val="339" w:hRule="atLeast"/>
        </w:trPr>
        <w:tc>
          <w:tcPr>
            <w:tcW w:w="1174" w:type="dxa"/>
            <w:tcBorders>
              <w:bottom w:val="single" w:sz="2" w:space="0" w:color="999999"/>
              <w:right w:val="single" w:sz="2" w:space="0" w:color="000000"/>
            </w:tcBorders>
            <w:vAlign w:val="center"/>
          </w:tcPr>
          <w:p>
            <w:pPr>
              <w:pStyle w:val="TableContents"/>
              <w:spacing w:lineRule="auto" w:line="240"/>
              <w:jc w:val="left"/>
              <w:rPr>
                <w:rFonts w:ascii="Times New Roman" w:hAnsi="Times New Roman"/>
                <w:b/>
                <w:b/>
                <w:bCs/>
              </w:rPr>
            </w:pPr>
            <w:r>
              <w:rPr>
                <w:rFonts w:ascii="Times New Roman" w:hAnsi="Times New Roman"/>
                <w:b/>
                <w:bCs/>
              </w:rPr>
              <w:t>Herptiles</w:t>
            </w:r>
          </w:p>
        </w:tc>
        <w:tc>
          <w:tcPr>
            <w:tcW w:w="1408" w:type="dxa"/>
            <w:tcBorders>
              <w:left w:val="single" w:sz="2" w:space="0" w:color="000000"/>
              <w:bottom w:val="single" w:sz="2" w:space="0" w:color="999999"/>
            </w:tcBorders>
            <w:vAlign w:val="center"/>
          </w:tcPr>
          <w:p>
            <w:pPr>
              <w:pStyle w:val="TableContents"/>
              <w:spacing w:lineRule="auto" w:line="240"/>
              <w:jc w:val="center"/>
              <w:rPr>
                <w:rFonts w:ascii="Times New Roman" w:hAnsi="Times New Roman"/>
              </w:rPr>
            </w:pPr>
            <w:r>
              <w:rPr>
                <w:rFonts w:ascii="Times New Roman" w:hAnsi="Times New Roman"/>
              </w:rPr>
              <w:t>536</w:t>
            </w:r>
          </w:p>
        </w:tc>
        <w:tc>
          <w:tcPr>
            <w:tcW w:w="1408" w:type="dxa"/>
            <w:tcBorders>
              <w:left w:val="single" w:sz="2" w:space="0" w:color="999999"/>
              <w:bottom w:val="single" w:sz="2" w:space="0" w:color="999999"/>
              <w:right w:val="single" w:sz="2" w:space="0" w:color="000000"/>
            </w:tcBorders>
            <w:vAlign w:val="center"/>
          </w:tcPr>
          <w:p>
            <w:pPr>
              <w:pStyle w:val="TableContents"/>
              <w:spacing w:lineRule="auto" w:line="240"/>
              <w:jc w:val="center"/>
              <w:rPr>
                <w:rFonts w:ascii="Times New Roman" w:hAnsi="Times New Roman"/>
              </w:rPr>
            </w:pPr>
            <w:r>
              <w:rPr>
                <w:rFonts w:ascii="Times New Roman" w:hAnsi="Times New Roman"/>
              </w:rPr>
              <w:t>323</w:t>
            </w:r>
          </w:p>
        </w:tc>
        <w:tc>
          <w:tcPr>
            <w:tcW w:w="1409" w:type="dxa"/>
            <w:tcBorders>
              <w:left w:val="single" w:sz="2" w:space="0" w:color="000000"/>
              <w:bottom w:val="single" w:sz="2" w:space="0" w:color="999999"/>
            </w:tcBorders>
            <w:vAlign w:val="center"/>
          </w:tcPr>
          <w:p>
            <w:pPr>
              <w:pStyle w:val="TableContents"/>
              <w:spacing w:lineRule="auto" w:line="240"/>
              <w:jc w:val="center"/>
              <w:rPr>
                <w:rFonts w:ascii="Times New Roman" w:hAnsi="Times New Roman"/>
              </w:rPr>
            </w:pPr>
            <w:r>
              <w:rPr>
                <w:rFonts w:ascii="Times New Roman" w:hAnsi="Times New Roman"/>
              </w:rPr>
              <w:t>642</w:t>
            </w:r>
          </w:p>
        </w:tc>
        <w:tc>
          <w:tcPr>
            <w:tcW w:w="1408" w:type="dxa"/>
            <w:tcBorders>
              <w:left w:val="single" w:sz="2" w:space="0" w:color="999999"/>
              <w:bottom w:val="single" w:sz="2" w:space="0" w:color="999999"/>
              <w:right w:val="single" w:sz="2" w:space="0" w:color="000000"/>
            </w:tcBorders>
            <w:vAlign w:val="center"/>
          </w:tcPr>
          <w:p>
            <w:pPr>
              <w:pStyle w:val="TableContents"/>
              <w:spacing w:lineRule="auto" w:line="240"/>
              <w:jc w:val="center"/>
              <w:rPr>
                <w:rFonts w:ascii="Times New Roman" w:hAnsi="Times New Roman"/>
              </w:rPr>
            </w:pPr>
            <w:r>
              <w:rPr>
                <w:rFonts w:ascii="Times New Roman" w:hAnsi="Times New Roman"/>
              </w:rPr>
              <w:t>218</w:t>
            </w:r>
          </w:p>
        </w:tc>
        <w:tc>
          <w:tcPr>
            <w:tcW w:w="1409" w:type="dxa"/>
            <w:tcBorders>
              <w:left w:val="single" w:sz="2" w:space="0" w:color="000000"/>
              <w:bottom w:val="single" w:sz="2" w:space="0" w:color="999999"/>
            </w:tcBorders>
            <w:vAlign w:val="center"/>
          </w:tcPr>
          <w:p>
            <w:pPr>
              <w:pStyle w:val="TableContents"/>
              <w:spacing w:lineRule="auto" w:line="240"/>
              <w:jc w:val="center"/>
              <w:rPr>
                <w:rFonts w:ascii="Times New Roman" w:hAnsi="Times New Roman"/>
              </w:rPr>
            </w:pPr>
            <w:r>
              <w:rPr>
                <w:rFonts w:ascii="Times New Roman" w:hAnsi="Times New Roman"/>
              </w:rPr>
              <w:t>267</w:t>
            </w:r>
          </w:p>
        </w:tc>
        <w:tc>
          <w:tcPr>
            <w:tcW w:w="1406" w:type="dxa"/>
            <w:tcBorders>
              <w:left w:val="single" w:sz="2" w:space="0" w:color="999999"/>
              <w:bottom w:val="single" w:sz="2" w:space="0" w:color="999999"/>
            </w:tcBorders>
            <w:vAlign w:val="center"/>
          </w:tcPr>
          <w:p>
            <w:pPr>
              <w:pStyle w:val="TableContents"/>
              <w:spacing w:lineRule="auto" w:line="240"/>
              <w:jc w:val="center"/>
              <w:rPr>
                <w:rFonts w:ascii="Times New Roman" w:hAnsi="Times New Roman"/>
              </w:rPr>
            </w:pPr>
            <w:r>
              <w:rPr>
                <w:rFonts w:ascii="Times New Roman" w:hAnsi="Times New Roman"/>
              </w:rPr>
              <w:t>15</w:t>
            </w:r>
          </w:p>
        </w:tc>
      </w:tr>
      <w:tr>
        <w:trPr>
          <w:trHeight w:val="339" w:hRule="atLeast"/>
        </w:trPr>
        <w:tc>
          <w:tcPr>
            <w:tcW w:w="1174" w:type="dxa"/>
            <w:tcBorders>
              <w:bottom w:val="single" w:sz="2" w:space="0" w:color="999999"/>
              <w:right w:val="single" w:sz="2" w:space="0" w:color="000000"/>
            </w:tcBorders>
            <w:vAlign w:val="center"/>
          </w:tcPr>
          <w:p>
            <w:pPr>
              <w:pStyle w:val="TableContents"/>
              <w:spacing w:lineRule="auto" w:line="240"/>
              <w:jc w:val="left"/>
              <w:rPr>
                <w:rFonts w:ascii="Times New Roman" w:hAnsi="Times New Roman"/>
                <w:b/>
                <w:b/>
                <w:bCs/>
              </w:rPr>
            </w:pPr>
            <w:r>
              <w:rPr>
                <w:rFonts w:ascii="Times New Roman" w:hAnsi="Times New Roman"/>
                <w:b/>
                <w:bCs/>
              </w:rPr>
              <w:t>Fish</w:t>
            </w:r>
          </w:p>
        </w:tc>
        <w:tc>
          <w:tcPr>
            <w:tcW w:w="1408" w:type="dxa"/>
            <w:tcBorders>
              <w:left w:val="single" w:sz="2" w:space="0" w:color="000000"/>
              <w:bottom w:val="single" w:sz="2" w:space="0" w:color="999999"/>
            </w:tcBorders>
            <w:vAlign w:val="center"/>
          </w:tcPr>
          <w:p>
            <w:pPr>
              <w:pStyle w:val="TableContents"/>
              <w:spacing w:lineRule="auto" w:line="240"/>
              <w:jc w:val="center"/>
              <w:rPr>
                <w:rFonts w:ascii="Times New Roman" w:hAnsi="Times New Roman"/>
              </w:rPr>
            </w:pPr>
            <w:r>
              <w:rPr>
                <w:rFonts w:ascii="Times New Roman" w:hAnsi="Times New Roman"/>
              </w:rPr>
            </w:r>
          </w:p>
        </w:tc>
        <w:tc>
          <w:tcPr>
            <w:tcW w:w="1408" w:type="dxa"/>
            <w:tcBorders>
              <w:left w:val="single" w:sz="2" w:space="0" w:color="999999"/>
              <w:bottom w:val="single" w:sz="2" w:space="0" w:color="999999"/>
              <w:right w:val="single" w:sz="2" w:space="0" w:color="000000"/>
            </w:tcBorders>
            <w:vAlign w:val="center"/>
          </w:tcPr>
          <w:p>
            <w:pPr>
              <w:pStyle w:val="TableContents"/>
              <w:spacing w:lineRule="auto" w:line="240"/>
              <w:jc w:val="center"/>
              <w:rPr>
                <w:rFonts w:ascii="Times New Roman" w:hAnsi="Times New Roman"/>
              </w:rPr>
            </w:pPr>
            <w:r>
              <w:rPr>
                <w:rFonts w:ascii="Times New Roman" w:hAnsi="Times New Roman"/>
              </w:rPr>
            </w:r>
          </w:p>
        </w:tc>
        <w:tc>
          <w:tcPr>
            <w:tcW w:w="1409" w:type="dxa"/>
            <w:tcBorders>
              <w:left w:val="single" w:sz="2" w:space="0" w:color="000000"/>
              <w:bottom w:val="single" w:sz="2" w:space="0" w:color="999999"/>
            </w:tcBorders>
            <w:vAlign w:val="center"/>
          </w:tcPr>
          <w:p>
            <w:pPr>
              <w:pStyle w:val="TableContents"/>
              <w:spacing w:lineRule="auto" w:line="240"/>
              <w:jc w:val="center"/>
              <w:rPr>
                <w:rFonts w:ascii="Times New Roman" w:hAnsi="Times New Roman"/>
              </w:rPr>
            </w:pPr>
            <w:r>
              <w:rPr>
                <w:rFonts w:ascii="Times New Roman" w:hAnsi="Times New Roman"/>
              </w:rPr>
              <w:t>2219</w:t>
            </w:r>
          </w:p>
        </w:tc>
        <w:tc>
          <w:tcPr>
            <w:tcW w:w="1408" w:type="dxa"/>
            <w:tcBorders>
              <w:left w:val="single" w:sz="2" w:space="0" w:color="999999"/>
              <w:bottom w:val="single" w:sz="2" w:space="0" w:color="999999"/>
              <w:right w:val="single" w:sz="2" w:space="0" w:color="000000"/>
            </w:tcBorders>
            <w:vAlign w:val="center"/>
          </w:tcPr>
          <w:p>
            <w:pPr>
              <w:pStyle w:val="TableContents"/>
              <w:spacing w:lineRule="auto" w:line="240"/>
              <w:jc w:val="center"/>
              <w:rPr>
                <w:rFonts w:ascii="Times New Roman" w:hAnsi="Times New Roman"/>
              </w:rPr>
            </w:pPr>
            <w:r>
              <w:rPr>
                <w:rFonts w:ascii="Times New Roman" w:hAnsi="Times New Roman"/>
              </w:rPr>
              <w:t>582</w:t>
            </w:r>
          </w:p>
        </w:tc>
        <w:tc>
          <w:tcPr>
            <w:tcW w:w="1409" w:type="dxa"/>
            <w:tcBorders>
              <w:left w:val="single" w:sz="2" w:space="0" w:color="000000"/>
              <w:bottom w:val="single" w:sz="2" w:space="0" w:color="999999"/>
            </w:tcBorders>
            <w:vAlign w:val="center"/>
          </w:tcPr>
          <w:p>
            <w:pPr>
              <w:pStyle w:val="TableContents"/>
              <w:spacing w:lineRule="auto" w:line="240"/>
              <w:jc w:val="center"/>
              <w:rPr>
                <w:rFonts w:ascii="Times New Roman" w:hAnsi="Times New Roman"/>
              </w:rPr>
            </w:pPr>
            <w:r>
              <w:rPr>
                <w:rFonts w:ascii="Times New Roman" w:hAnsi="Times New Roman"/>
              </w:rPr>
              <w:t>6024</w:t>
            </w:r>
          </w:p>
        </w:tc>
        <w:tc>
          <w:tcPr>
            <w:tcW w:w="1406" w:type="dxa"/>
            <w:tcBorders>
              <w:left w:val="single" w:sz="2" w:space="0" w:color="999999"/>
              <w:bottom w:val="single" w:sz="2" w:space="0" w:color="999999"/>
            </w:tcBorders>
            <w:vAlign w:val="center"/>
          </w:tcPr>
          <w:p>
            <w:pPr>
              <w:pStyle w:val="TableContents"/>
              <w:spacing w:lineRule="auto" w:line="240"/>
              <w:jc w:val="center"/>
              <w:rPr>
                <w:rFonts w:ascii="Times New Roman" w:hAnsi="Times New Roman"/>
              </w:rPr>
            </w:pPr>
            <w:r>
              <w:rPr>
                <w:rFonts w:ascii="Times New Roman" w:hAnsi="Times New Roman"/>
              </w:rPr>
              <w:t>1244</w:t>
            </w:r>
          </w:p>
        </w:tc>
      </w:tr>
    </w:tbl>
    <w:p>
      <w:pPr>
        <w:sectPr>
          <w:footerReference w:type="default" r:id="rId2"/>
          <w:type w:val="nextPage"/>
          <w:pgSz w:w="11906" w:h="16838"/>
          <w:pgMar w:left="1134" w:right="1134" w:header="0" w:top="1134" w:footer="1134" w:bottom="1830" w:gutter="0"/>
          <w:pgNumType w:fmt="decimal"/>
          <w:formProt w:val="false"/>
          <w:textDirection w:val="lrTb"/>
          <w:docGrid w:type="default" w:linePitch="312" w:charSpace="0"/>
        </w:sectPr>
      </w:pPr>
    </w:p>
    <w:p>
      <w:pPr>
        <w:pStyle w:val="Normal"/>
        <w:rPr>
          <w:rFonts w:ascii="Times New Roman" w:hAnsi="Times New Roman"/>
        </w:rPr>
      </w:pPr>
      <w:r>
        <w:rPr>
          <w:rFonts w:ascii="Times New Roman" w:hAnsi="Times New Roman"/>
          <w:b/>
          <w:bCs/>
        </w:rPr>
        <w:t>References</w:t>
      </w:r>
    </w:p>
    <w:p>
      <w:pPr>
        <w:pStyle w:val="Normal"/>
        <w:rPr>
          <w:b w:val="false"/>
          <w:b w:val="false"/>
          <w:bCs w:val="false"/>
        </w:rPr>
      </w:pPr>
      <w:r>
        <w:rPr>
          <w:b w:val="false"/>
          <w:bCs w:val="false"/>
        </w:rPr>
      </w:r>
    </w:p>
    <w:p>
      <w:pPr>
        <w:pStyle w:val="Normal"/>
        <w:rPr>
          <w:b w:val="false"/>
          <w:b w:val="false"/>
          <w:bCs w:val="false"/>
        </w:rPr>
      </w:pPr>
      <w:r>
        <w:rPr>
          <w:rFonts w:ascii="Times New Roman" w:hAnsi="Times New Roman"/>
          <w:b w:val="false"/>
          <w:bCs w:val="false"/>
        </w:rPr>
        <w:t>1.</w:t>
        <w:tab/>
        <w:t xml:space="preserve">Loh, J. et al. The Living Planet Index: using species population time series to track trends in biodiversity. </w:t>
      </w:r>
      <w:r>
        <w:rPr>
          <w:rFonts w:ascii="Times New Roman" w:hAnsi="Times New Roman"/>
          <w:b w:val="false"/>
          <w:bCs w:val="false"/>
          <w:i/>
          <w:iCs/>
        </w:rPr>
        <w:t>Philos. Trans. R. Soc. B Biol. Sci.</w:t>
      </w:r>
      <w:r>
        <w:rPr>
          <w:rFonts w:ascii="Times New Roman" w:hAnsi="Times New Roman"/>
          <w:b w:val="false"/>
          <w:bCs w:val="false"/>
        </w:rPr>
        <w:t xml:space="preserve"> </w:t>
      </w:r>
      <w:r>
        <w:rPr>
          <w:rFonts w:ascii="Times New Roman" w:hAnsi="Times New Roman"/>
          <w:b/>
          <w:bCs/>
        </w:rPr>
        <w:t>360</w:t>
      </w:r>
      <w:r>
        <w:rPr>
          <w:rFonts w:ascii="Times New Roman" w:hAnsi="Times New Roman"/>
          <w:b w:val="false"/>
          <w:bCs w:val="false"/>
        </w:rPr>
        <w:t>, 289–295 (2005).</w:t>
      </w:r>
    </w:p>
    <w:p>
      <w:pPr>
        <w:pStyle w:val="Normal"/>
        <w:rPr>
          <w:b w:val="false"/>
          <w:b w:val="false"/>
          <w:bCs w:val="false"/>
        </w:rPr>
      </w:pPr>
      <w:r>
        <w:rPr>
          <w:rFonts w:ascii="Times New Roman" w:hAnsi="Times New Roman"/>
          <w:b w:val="false"/>
          <w:bCs w:val="false"/>
        </w:rPr>
        <w:t>2.</w:t>
        <w:tab/>
        <w:t xml:space="preserve">Collen, B. et al. Monitoring change in vertebrate abundance: the Living Planet Index. </w:t>
      </w:r>
      <w:r>
        <w:rPr>
          <w:rFonts w:ascii="Times New Roman" w:hAnsi="Times New Roman"/>
          <w:b w:val="false"/>
          <w:bCs w:val="false"/>
          <w:i/>
          <w:iCs/>
        </w:rPr>
        <w:t>Conserv. Biol.</w:t>
      </w:r>
      <w:r>
        <w:rPr>
          <w:rFonts w:ascii="Times New Roman" w:hAnsi="Times New Roman"/>
          <w:b w:val="false"/>
          <w:bCs w:val="false"/>
        </w:rPr>
        <w:t xml:space="preserve"> </w:t>
      </w:r>
      <w:r>
        <w:rPr>
          <w:rFonts w:ascii="Times New Roman" w:hAnsi="Times New Roman"/>
          <w:b/>
          <w:bCs/>
        </w:rPr>
        <w:t>23</w:t>
      </w:r>
      <w:r>
        <w:rPr>
          <w:rFonts w:ascii="Times New Roman" w:hAnsi="Times New Roman"/>
          <w:b w:val="false"/>
          <w:bCs w:val="false"/>
        </w:rPr>
        <w:t>, 317–327 (2009).</w:t>
      </w:r>
    </w:p>
    <w:p>
      <w:pPr>
        <w:pStyle w:val="Normal"/>
        <w:rPr>
          <w:b w:val="false"/>
          <w:b w:val="false"/>
          <w:bCs w:val="false"/>
        </w:rPr>
      </w:pPr>
      <w:r>
        <w:rPr>
          <w:rFonts w:ascii="Times New Roman" w:hAnsi="Times New Roman"/>
          <w:b w:val="false"/>
          <w:bCs w:val="false"/>
        </w:rPr>
        <w:t>3.</w:t>
        <w:tab/>
        <w:t xml:space="preserve">McRae, L., Deinet, S. &amp; Freeman, R. The diversity-weighted Living Planet Index: controlling for taxonomic bias in a global biodiversity indicator. </w:t>
      </w:r>
      <w:r>
        <w:rPr>
          <w:rFonts w:ascii="Times New Roman" w:hAnsi="Times New Roman"/>
          <w:b w:val="false"/>
          <w:bCs w:val="false"/>
          <w:i/>
          <w:iCs/>
        </w:rPr>
        <w:t>PLoS ONE</w:t>
      </w:r>
      <w:r>
        <w:rPr>
          <w:rFonts w:ascii="Times New Roman" w:hAnsi="Times New Roman"/>
          <w:b w:val="false"/>
          <w:bCs w:val="false"/>
        </w:rPr>
        <w:t xml:space="preserve"> </w:t>
      </w:r>
      <w:r>
        <w:rPr>
          <w:rFonts w:ascii="Times New Roman" w:hAnsi="Times New Roman"/>
          <w:b/>
          <w:bCs/>
        </w:rPr>
        <w:t>12</w:t>
      </w:r>
      <w:r>
        <w:rPr>
          <w:rFonts w:ascii="Times New Roman" w:hAnsi="Times New Roman"/>
          <w:b w:val="false"/>
          <w:bCs w:val="false"/>
        </w:rPr>
        <w:t>, e0169156 (2017).</w:t>
      </w:r>
    </w:p>
    <w:p>
      <w:pPr>
        <w:pStyle w:val="Normal"/>
        <w:rPr>
          <w:rFonts w:ascii="Times New Roman" w:hAnsi="Times New Roman"/>
        </w:rPr>
      </w:pPr>
      <w:r>
        <w:rPr>
          <w:rFonts w:ascii="Times New Roman" w:hAnsi="Times New Roman"/>
          <w:b w:val="false"/>
          <w:bCs w:val="false"/>
        </w:rPr>
        <w:t>4.</w:t>
        <w:tab/>
      </w:r>
      <w:r>
        <w:rPr>
          <w:rFonts w:cs="Times New Roman" w:ascii="Times New Roman" w:hAnsi="Times New Roman"/>
          <w:b w:val="false"/>
          <w:bCs w:val="false"/>
        </w:rPr>
        <w:t xml:space="preserve">Buschke, F.T., Hagan, J.G., Santini, L. &amp; Coetzee, B.W.T. Random population fluctuations bias the Living Planet Index. </w:t>
      </w:r>
      <w:r>
        <w:rPr>
          <w:rFonts w:cs="Times New Roman" w:ascii="Times New Roman" w:hAnsi="Times New Roman"/>
          <w:b w:val="false"/>
          <w:bCs w:val="false"/>
          <w:i/>
          <w:iCs/>
        </w:rPr>
        <w:t>Nat. Ecol. Evol.</w:t>
      </w:r>
      <w:r>
        <w:rPr>
          <w:rFonts w:cs="Times New Roman" w:ascii="Times New Roman" w:hAnsi="Times New Roman"/>
          <w:b/>
          <w:bCs/>
        </w:rPr>
        <w:t xml:space="preserve"> 5</w:t>
      </w:r>
      <w:r>
        <w:rPr>
          <w:rFonts w:cs="Times New Roman" w:ascii="Times New Roman" w:hAnsi="Times New Roman"/>
          <w:b w:val="false"/>
          <w:bCs w:val="false"/>
        </w:rPr>
        <w:t>, 1145–1152 (2021).</w:t>
      </w:r>
    </w:p>
    <w:sectPr>
      <w:footerReference w:type="default" r:id="rId3"/>
      <w:type w:val="nextPage"/>
      <w:pgSz w:w="11906" w:h="16838"/>
      <w:pgMar w:left="1134" w:right="1134" w:header="0" w:top="1134" w:footer="1134" w:bottom="1830" w:gutter="0"/>
      <w:pgNumType w:fmt="decimal"/>
      <w:formProt w:val="false"/>
      <w:textDirection w:val="lrTb"/>
      <w:docGrid w:type="default" w:linePitch="312"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ahoma">
    <w:charset w:val="01"/>
    <w:family w:val="roman"/>
    <w:pitch w:val="variable"/>
  </w:font>
  <w:font w:name="Liberation Sans">
    <w:altName w:val="Arial"/>
    <w:charset w:val="01"/>
    <w:family w:val="roman"/>
    <w:pitch w:val="variable"/>
  </w:font>
  <w:font w:name="Times New Roman">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tab/>
    </w:r>
    <w:r>
      <w:rPr/>
      <w:fldChar w:fldCharType="begin"/>
    </w:r>
    <w:r>
      <w:rPr/>
      <w:instrText> PAGE </w:instrText>
    </w:r>
    <w:r>
      <w:rPr/>
      <w:fldChar w:fldCharType="separate"/>
    </w:r>
    <w:r>
      <w:rPr/>
      <w:t>4</w:t>
    </w:r>
    <w:r>
      <w:rPr/>
      <w:fldChar w:fldCharType="end"/>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tab/>
    </w:r>
    <w:r>
      <w:rPr/>
      <w:fldChar w:fldCharType="begin"/>
    </w:r>
    <w:r>
      <w:rPr/>
      <w:instrText> PAGE </w:instrText>
    </w:r>
    <w:r>
      <w:rPr/>
      <w:fldChar w:fldCharType="separate"/>
    </w:r>
    <w:r>
      <w:rPr/>
      <w:t>5</w:t>
    </w:r>
    <w:r>
      <w:rPr/>
      <w:fldChar w:fldCharType="end"/>
    </w:r>
  </w:p>
</w:ftr>
</file>

<file path=word/settings.xml><?xml version="1.0" encoding="utf-8"?>
<w:settings xmlns:w="http://schemas.openxmlformats.org/wordprocessingml/2006/main">
  <w:zoom w:percent="120"/>
  <w:defaultTabStop w:val="709"/>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hyphenationZone w:val="425"/>
  <w:themeFontLang w:val="cs-CZ"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erif CJK SC" w:cs="Lohit Devanagari"/>
        <w:kern w:val="2"/>
        <w:szCs w:val="24"/>
        <w:lang w:val="en-US" w:eastAsia="zh-CN" w:bidi="hi-IN"/>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overflowPunct w:val="false"/>
      <w:bidi w:val="0"/>
      <w:spacing w:lineRule="auto" w:line="360" w:before="0" w:after="0"/>
      <w:jc w:val="left"/>
    </w:pPr>
    <w:rPr>
      <w:rFonts w:ascii="Liberation Serif" w:hAnsi="Liberation Serif" w:eastAsia="Noto Serif CJK SC" w:cs="Lohit Devanagari"/>
      <w:color w:val="auto"/>
      <w:kern w:val="2"/>
      <w:sz w:val="24"/>
      <w:szCs w:val="24"/>
      <w:lang w:val="en-US" w:eastAsia="zh-CN" w:bidi="hi-IN"/>
    </w:rPr>
  </w:style>
  <w:style w:type="character" w:styleId="DefaultParagraphFont" w:default="1">
    <w:name w:val="Default Paragraph Font"/>
    <w:uiPriority w:val="1"/>
    <w:semiHidden/>
    <w:unhideWhenUsed/>
    <w:qFormat/>
    <w:rPr/>
  </w:style>
  <w:style w:type="character" w:styleId="CommentTextChar" w:customStyle="1">
    <w:name w:val="Comment Text Char"/>
    <w:basedOn w:val="DefaultParagraphFont"/>
    <w:link w:val="CommentText"/>
    <w:uiPriority w:val="99"/>
    <w:semiHidden/>
    <w:qFormat/>
    <w:rPr>
      <w:rFonts w:cs="Mangal"/>
      <w:sz w:val="20"/>
      <w:szCs w:val="18"/>
    </w:rPr>
  </w:style>
  <w:style w:type="character" w:styleId="Annotationreference">
    <w:name w:val="annotation reference"/>
    <w:basedOn w:val="DefaultParagraphFont"/>
    <w:uiPriority w:val="99"/>
    <w:semiHidden/>
    <w:unhideWhenUsed/>
    <w:qFormat/>
    <w:rPr>
      <w:sz w:val="16"/>
      <w:szCs w:val="16"/>
    </w:rPr>
  </w:style>
  <w:style w:type="character" w:styleId="BalloonTextChar" w:customStyle="1">
    <w:name w:val="Balloon Text Char"/>
    <w:basedOn w:val="DefaultParagraphFont"/>
    <w:link w:val="BalloonText"/>
    <w:uiPriority w:val="99"/>
    <w:semiHidden/>
    <w:qFormat/>
    <w:rsid w:val="00727f2b"/>
    <w:rPr>
      <w:rFonts w:ascii="Tahoma" w:hAnsi="Tahoma" w:cs="Mangal"/>
      <w:sz w:val="16"/>
      <w:szCs w:val="14"/>
    </w:rPr>
  </w:style>
  <w:style w:type="character" w:styleId="CommentSubjectChar" w:customStyle="1">
    <w:name w:val="Comment Subject Char"/>
    <w:basedOn w:val="CommentTextChar"/>
    <w:link w:val="CommentSubject"/>
    <w:uiPriority w:val="99"/>
    <w:semiHidden/>
    <w:qFormat/>
    <w:rsid w:val="000615e3"/>
    <w:rPr>
      <w:rFonts w:cs="Mangal"/>
      <w:b/>
      <w:bCs/>
      <w:sz w:val="20"/>
      <w:szCs w:val="18"/>
    </w:rPr>
  </w:style>
  <w:style w:type="character" w:styleId="NumberingSymbols">
    <w:name w:val="Numbering Symbols"/>
    <w:qFormat/>
    <w:rPr/>
  </w:style>
  <w:style w:type="character" w:styleId="FootnoteCharacters">
    <w:name w:val="Footnote Characters"/>
    <w:qFormat/>
    <w:rPr/>
  </w:style>
  <w:style w:type="character" w:styleId="FootnoteAnchor">
    <w:name w:val="Footnote Anchor"/>
    <w:rPr>
      <w:vertAlign w:val="superscript"/>
    </w:rPr>
  </w:style>
  <w:style w:type="paragraph" w:styleId="Heading" w:customStyle="1">
    <w:name w:val="Heading"/>
    <w:basedOn w:val="Normal"/>
    <w:next w:val="TextBody"/>
    <w:qFormat/>
    <w:pPr>
      <w:keepNext w:val="true"/>
      <w:spacing w:before="240" w:after="120"/>
    </w:pPr>
    <w:rPr>
      <w:rFonts w:ascii="Liberation Sans" w:hAnsi="Liberation Sans" w:eastAsia="Noto Sans CJK SC"/>
      <w:sz w:val="28"/>
      <w:szCs w:val="28"/>
    </w:rPr>
  </w:style>
  <w:style w:type="paragraph" w:styleId="TextBody">
    <w:name w:val="Body Text"/>
    <w:basedOn w:val="Normal"/>
    <w:pPr>
      <w:spacing w:lineRule="auto" w:line="276" w:before="0" w:after="140"/>
    </w:pPr>
    <w:rPr/>
  </w:style>
  <w:style w:type="paragraph" w:styleId="List">
    <w:name w:val="List"/>
    <w:basedOn w:val="TextBody"/>
    <w:pPr/>
    <w:rPr/>
  </w:style>
  <w:style w:type="paragraph" w:styleId="Caption">
    <w:name w:val="Caption"/>
    <w:basedOn w:val="Normal"/>
    <w:qFormat/>
    <w:pPr>
      <w:suppressLineNumbers/>
      <w:spacing w:before="120" w:after="120"/>
    </w:pPr>
    <w:rPr>
      <w:rFonts w:cs="Lohit Devanagari"/>
      <w:i/>
      <w:iCs/>
      <w:sz w:val="24"/>
      <w:szCs w:val="24"/>
    </w:rPr>
  </w:style>
  <w:style w:type="paragraph" w:styleId="Index" w:customStyle="1">
    <w:name w:val="Index"/>
    <w:basedOn w:val="Normal"/>
    <w:qFormat/>
    <w:pPr>
      <w:suppressLineNumbers/>
    </w:pPr>
    <w:rPr/>
  </w:style>
  <w:style w:type="paragraph" w:styleId="Caption1">
    <w:name w:val="caption"/>
    <w:basedOn w:val="Normal"/>
    <w:qFormat/>
    <w:pPr>
      <w:suppressLineNumbers/>
      <w:spacing w:before="120" w:after="120"/>
    </w:pPr>
    <w:rPr>
      <w:i/>
      <w:iCs/>
    </w:rPr>
  </w:style>
  <w:style w:type="paragraph" w:styleId="TableContents" w:customStyle="1">
    <w:name w:val="Table Contents"/>
    <w:basedOn w:val="Normal"/>
    <w:qFormat/>
    <w:pPr>
      <w:suppressLineNumbers/>
    </w:pPr>
    <w:rPr/>
  </w:style>
  <w:style w:type="paragraph" w:styleId="Bibliography1" w:customStyle="1">
    <w:name w:val="Bibliography 1"/>
    <w:basedOn w:val="Index"/>
    <w:qFormat/>
    <w:pPr>
      <w:tabs>
        <w:tab w:val="clear" w:pos="709"/>
        <w:tab w:val="left" w:pos="264" w:leader="none"/>
      </w:tabs>
      <w:spacing w:lineRule="atLeast" w:line="480"/>
      <w:ind w:left="264" w:hanging="264"/>
    </w:pPr>
    <w:rPr/>
  </w:style>
  <w:style w:type="paragraph" w:styleId="TableHeading" w:customStyle="1">
    <w:name w:val="Table Heading"/>
    <w:basedOn w:val="TableContents"/>
    <w:qFormat/>
    <w:pPr>
      <w:jc w:val="center"/>
    </w:pPr>
    <w:rPr>
      <w:b/>
      <w:bCs/>
    </w:rPr>
  </w:style>
  <w:style w:type="paragraph" w:styleId="Annotationtext">
    <w:name w:val="annotation text"/>
    <w:basedOn w:val="Normal"/>
    <w:link w:val="CommentTextChar"/>
    <w:uiPriority w:val="99"/>
    <w:semiHidden/>
    <w:unhideWhenUsed/>
    <w:qFormat/>
    <w:pPr>
      <w:spacing w:lineRule="auto" w:line="240"/>
    </w:pPr>
    <w:rPr>
      <w:rFonts w:cs="Mangal"/>
      <w:sz w:val="20"/>
      <w:szCs w:val="18"/>
    </w:rPr>
  </w:style>
  <w:style w:type="paragraph" w:styleId="BalloonText">
    <w:name w:val="Balloon Text"/>
    <w:basedOn w:val="Normal"/>
    <w:link w:val="BalloonTextChar"/>
    <w:uiPriority w:val="99"/>
    <w:semiHidden/>
    <w:unhideWhenUsed/>
    <w:qFormat/>
    <w:rsid w:val="00727f2b"/>
    <w:pPr>
      <w:spacing w:lineRule="auto" w:line="240"/>
    </w:pPr>
    <w:rPr>
      <w:rFonts w:ascii="Tahoma" w:hAnsi="Tahoma" w:cs="Mangal"/>
      <w:sz w:val="16"/>
      <w:szCs w:val="14"/>
    </w:rPr>
  </w:style>
  <w:style w:type="paragraph" w:styleId="Annotationsubject">
    <w:name w:val="annotation subject"/>
    <w:basedOn w:val="Annotationtext"/>
    <w:next w:val="Annotationtext"/>
    <w:link w:val="CommentSubjectChar"/>
    <w:uiPriority w:val="99"/>
    <w:semiHidden/>
    <w:unhideWhenUsed/>
    <w:qFormat/>
    <w:rsid w:val="000615e3"/>
    <w:pPr/>
    <w:rPr>
      <w:b/>
      <w:bCs/>
    </w:rPr>
  </w:style>
  <w:style w:type="paragraph" w:styleId="Footnote">
    <w:name w:val="Footnote Text"/>
    <w:basedOn w:val="Normal"/>
    <w:pPr>
      <w:suppressLineNumbers/>
      <w:ind w:left="339" w:hanging="339"/>
    </w:pPr>
    <w:rPr>
      <w:sz w:val="20"/>
      <w:szCs w:val="20"/>
    </w:rPr>
  </w:style>
  <w:style w:type="paragraph" w:styleId="HeaderandFooter">
    <w:name w:val="Header and Footer"/>
    <w:basedOn w:val="Normal"/>
    <w:qFormat/>
    <w:pPr>
      <w:suppressLineNumbers/>
      <w:tabs>
        <w:tab w:val="clear" w:pos="709"/>
        <w:tab w:val="center" w:pos="4819" w:leader="none"/>
        <w:tab w:val="right" w:pos="9638" w:leader="none"/>
      </w:tabs>
    </w:pPr>
    <w:rPr/>
  </w:style>
  <w:style w:type="paragraph" w:styleId="Footer">
    <w:name w:val="Footer"/>
    <w:basedOn w:val="HeaderandFooter"/>
    <w:pPr>
      <w:suppressLineNumbers/>
    </w:pPr>
    <w:rPr/>
  </w:style>
  <w:style w:type="numbering" w:styleId="NoList" w:default="1">
    <w:name w:val="No List"/>
    <w:uiPriority w:val="99"/>
    <w:semiHidden/>
    <w:unhideWhenUsed/>
    <w:qFormat/>
  </w:style>
  <w:style w:type="numbering" w:styleId="Numbering123">
    <w:name w:val="Numbering 123"/>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2560</TotalTime>
  <Application>LibreOffice/6.4.7.2$Linux_X86_64 LibreOffice_project/40$Build-2</Application>
  <Pages>5</Pages>
  <Words>1313</Words>
  <Characters>6743</Characters>
  <CharactersWithSpaces>7996</CharactersWithSpaces>
  <Paragraphs>59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2023-04-08T15:52:00Z</dcterms:created>
  <dc:creator>Anna</dc:creator>
  <dc:description/>
  <dc:language>en-US</dc:language>
  <cp:lastModifiedBy>Anna </cp:lastModifiedBy>
  <dcterms:modified xsi:type="dcterms:W3CDTF">2023-05-02T19:28:08Z</dcterms:modified>
  <cp:revision>76</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y fmtid="{D5CDD505-2E9C-101B-9397-08002B2CF9AE}" pid="8" name="ZOTERO_PREF_1">
    <vt:lpwstr>&lt;data data-version="3" zotero-version="6.0.18"&gt;&lt;session id="l2xnETjd"/&gt;&lt;style id="http://www.zotero.org/styles/nature" hasBibliography="1" bibliographyStyleHasBeenSet="1"/&gt;&lt;prefs&gt;&lt;pref name="fieldType" value="ReferenceMark"/&gt;&lt;pref name="automaticJournalAb</vt:lpwstr>
  </property>
  <property fmtid="{D5CDD505-2E9C-101B-9397-08002B2CF9AE}" pid="9" name="ZOTERO_PREF_2">
    <vt:lpwstr>breviations" value="true"/&gt;&lt;/prefs&gt;&lt;/data&gt;</vt:lpwstr>
  </property>
</Properties>
</file>