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27797" w:rsidP="1D08BE87" w:rsidRDefault="1D08BE87" w14:paraId="03706B09" w14:textId="65833B70">
      <w:pPr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Supplementary Figure 1</w:t>
      </w:r>
    </w:p>
    <w:p w:rsidR="000B7483" w:rsidP="1D08BE87" w:rsidRDefault="1D08BE87" w14:paraId="200BDF1C" w14:textId="77777777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color w:val="000000" w:themeColor="text1"/>
          <w:sz w:val="28"/>
          <w:szCs w:val="28"/>
        </w:rPr>
        <w:t xml:space="preserve">UMAP plots </w:t>
      </w:r>
      <w:proofErr w:type="gramStart"/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a,b</w:t>
      </w:r>
      <w:proofErr w:type="gramEnd"/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 </w:t>
      </w:r>
      <w:r w:rsidRPr="1D08BE87">
        <w:rPr>
          <w:rFonts w:ascii="Arial" w:hAnsi="Arial" w:eastAsia="Arial" w:cs="Arial"/>
          <w:color w:val="000000" w:themeColor="text1"/>
          <w:sz w:val="28"/>
          <w:szCs w:val="28"/>
        </w:rPr>
        <w:t xml:space="preserve">showing homogeneous distribution of detected UMI counts and genes among cells in 2 female and 2 male integrated samples. </w:t>
      </w: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c </w:t>
      </w:r>
      <w:r w:rsidRPr="1D08BE87">
        <w:rPr>
          <w:rFonts w:ascii="Arial" w:hAnsi="Arial" w:eastAsia="Arial" w:cs="Arial"/>
          <w:color w:val="000000" w:themeColor="text1"/>
          <w:sz w:val="28"/>
          <w:szCs w:val="28"/>
        </w:rPr>
        <w:t>UMAP plots</w:t>
      </w: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 </w:t>
      </w:r>
      <w:r w:rsidRPr="1D08BE87">
        <w:rPr>
          <w:rFonts w:ascii="Arial" w:hAnsi="Arial" w:eastAsia="Arial" w:cs="Arial"/>
          <w:color w:val="000000" w:themeColor="text1"/>
          <w:sz w:val="28"/>
          <w:szCs w:val="28"/>
        </w:rPr>
        <w:t xml:space="preserve">showing cell annotations and </w:t>
      </w: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d </w:t>
      </w:r>
      <w:r w:rsidRPr="1D08BE87">
        <w:rPr>
          <w:rFonts w:ascii="Arial" w:hAnsi="Arial" w:eastAsia="Arial" w:cs="Arial"/>
          <w:color w:val="000000" w:themeColor="text1"/>
          <w:sz w:val="28"/>
          <w:szCs w:val="28"/>
        </w:rPr>
        <w:t xml:space="preserve">sex differences. </w:t>
      </w: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e </w:t>
      </w:r>
      <w:r w:rsidRPr="1D08BE87">
        <w:rPr>
          <w:rFonts w:ascii="Arial" w:hAnsi="Arial" w:eastAsia="Arial" w:cs="Arial"/>
          <w:color w:val="000000" w:themeColor="text1"/>
          <w:sz w:val="28"/>
          <w:szCs w:val="28"/>
        </w:rPr>
        <w:t xml:space="preserve">Bar plots showing cell type proportion in rat samples and </w:t>
      </w: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f</w:t>
      </w:r>
      <w:r w:rsidR="008B36B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 </w:t>
      </w:r>
      <w:r w:rsidR="008B36BC">
        <w:rPr>
          <w:rFonts w:ascii="Arial" w:hAnsi="Arial" w:eastAsia="Arial" w:cs="Arial"/>
          <w:color w:val="000000" w:themeColor="text1"/>
          <w:sz w:val="28"/>
          <w:szCs w:val="28"/>
        </w:rPr>
        <w:t>c</w:t>
      </w:r>
      <w:r w:rsidRPr="3D0FFAAC" w:rsidR="008B36BC">
        <w:rPr>
          <w:rFonts w:ascii="Arial" w:hAnsi="Arial" w:eastAsia="Arial" w:cs="Arial"/>
          <w:color w:val="000000" w:themeColor="text1"/>
          <w:sz w:val="28"/>
          <w:szCs w:val="28"/>
        </w:rPr>
        <w:t>ell cycle phase proportions in endothelial phenotypes.</w:t>
      </w:r>
    </w:p>
    <w:p w:rsidR="00C27797" w:rsidP="1D08BE87" w:rsidRDefault="000B7483" w14:paraId="5B889A83" w14:textId="0BBE2CFF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g </w:t>
      </w: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Number</w:t>
      </w:r>
      <w:r w:rsidRPr="1D08BE87" w:rsidR="1D08BE87">
        <w:rPr>
          <w:rFonts w:ascii="Arial" w:hAnsi="Arial" w:eastAsia="Arial" w:cs="Arial"/>
          <w:color w:val="000000" w:themeColor="text1"/>
          <w:sz w:val="28"/>
          <w:szCs w:val="28"/>
        </w:rPr>
        <w:t xml:space="preserve"> of conserved upregulated or downregulated genes in cell phenotypes. </w:t>
      </w:r>
    </w:p>
    <w:p w:rsidR="004813C1" w:rsidP="004813C1" w:rsidRDefault="1D08BE87" w14:paraId="0F5AA145" w14:textId="77777777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h </w:t>
      </w:r>
      <w:r w:rsidRPr="1D08BE87" w:rsidR="004813C1">
        <w:rPr>
          <w:rFonts w:ascii="Arial" w:hAnsi="Arial" w:eastAsia="Arial" w:cs="Arial"/>
          <w:color w:val="000000" w:themeColor="text1"/>
          <w:sz w:val="28"/>
          <w:szCs w:val="28"/>
        </w:rPr>
        <w:t xml:space="preserve">Cell states plot, showing separation of arterial-to-vein zonation sub phenotypes based on the expression of gene markers. </w:t>
      </w:r>
    </w:p>
    <w:p w:rsidR="00505883" w:rsidP="00505883" w:rsidRDefault="004813C1" w14:paraId="46C4811D" w14:textId="4D12B61A">
      <w:pPr>
        <w:spacing w:line="257" w:lineRule="auto"/>
        <w:jc w:val="both"/>
        <w:rPr>
          <w:rFonts w:ascii="Arial" w:hAnsi="Arial" w:eastAsia="Arial" w:cs="Arial"/>
          <w:color w:val="000000" w:themeColor="text1"/>
          <w:sz w:val="28"/>
          <w:szCs w:val="28"/>
        </w:rPr>
      </w:pPr>
      <w:proofErr w:type="spellStart"/>
      <w:r w:rsidRPr="768DCE4E" w:rsidR="768DCE4E">
        <w:rPr>
          <w:rFonts w:ascii="Arial" w:hAnsi="Arial" w:eastAsia="Arial" w:cs="Arial"/>
          <w:b w:val="1"/>
          <w:bCs w:val="1"/>
          <w:color w:val="000000" w:themeColor="text1" w:themeTint="FF" w:themeShade="FF"/>
          <w:sz w:val="28"/>
          <w:szCs w:val="28"/>
        </w:rPr>
        <w:t>i</w:t>
      </w:r>
      <w:proofErr w:type="spellEnd"/>
      <w:r w:rsidRPr="768DCE4E" w:rsidR="768DCE4E">
        <w:rPr>
          <w:rFonts w:ascii="Arial" w:hAnsi="Arial" w:eastAsia="Arial" w:cs="Arial"/>
          <w:b w:val="1"/>
          <w:bCs w:val="1"/>
          <w:color w:val="000000" w:themeColor="text1" w:themeTint="FF" w:themeShade="FF"/>
          <w:sz w:val="28"/>
          <w:szCs w:val="28"/>
        </w:rPr>
        <w:t xml:space="preserve"> </w:t>
      </w:r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 xml:space="preserve">Root and end cells from velocity graph using Markov chain implemented in </w:t>
      </w:r>
      <w:proofErr w:type="spellStart"/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>CellRank</w:t>
      </w:r>
      <w:proofErr w:type="spellEnd"/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>.</w:t>
      </w:r>
    </w:p>
    <w:p w:rsidR="008B36BC" w:rsidP="768DCE4E" w:rsidRDefault="004813C1" w14:paraId="2047955A" w14:textId="5576CB18">
      <w:pPr>
        <w:spacing w:line="257" w:lineRule="auto"/>
        <w:jc w:val="both"/>
        <w:rPr>
          <w:rFonts w:ascii="Arial" w:hAnsi="Arial" w:eastAsia="Arial" w:cs="Arial"/>
          <w:color w:val="000000" w:themeColor="text1" w:themeTint="FF" w:themeShade="FF"/>
          <w:sz w:val="28"/>
          <w:szCs w:val="28"/>
        </w:rPr>
      </w:pPr>
      <w:proofErr w:type="spellStart"/>
      <w:r w:rsidRPr="768DCE4E" w:rsidR="768DCE4E">
        <w:rPr>
          <w:rFonts w:ascii="Arial" w:hAnsi="Arial" w:eastAsia="Arial" w:cs="Arial"/>
          <w:b w:val="1"/>
          <w:bCs w:val="1"/>
          <w:color w:val="000000" w:themeColor="text1" w:themeTint="FF" w:themeShade="FF"/>
          <w:sz w:val="28"/>
          <w:szCs w:val="28"/>
        </w:rPr>
        <w:t>i</w:t>
      </w:r>
      <w:proofErr w:type="spellEnd"/>
      <w:r w:rsidRPr="768DCE4E" w:rsidR="768DCE4E">
        <w:rPr>
          <w:rFonts w:ascii="Arial" w:hAnsi="Arial" w:eastAsia="Arial" w:cs="Arial"/>
          <w:b w:val="1"/>
          <w:bCs w:val="1"/>
          <w:color w:val="000000" w:themeColor="text1" w:themeTint="FF" w:themeShade="FF"/>
          <w:sz w:val="28"/>
          <w:szCs w:val="28"/>
        </w:rPr>
        <w:t xml:space="preserve">' </w:t>
      </w:r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 xml:space="preserve">Partition-based graph abstraction (PAGA) analysis extended by velocity-inferred directionality identified a high transcriptional similarity of </w:t>
      </w:r>
      <w:proofErr w:type="spellStart"/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>gCapB</w:t>
      </w:r>
      <w:proofErr w:type="spellEnd"/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 xml:space="preserve"> cells to Scn7a+, Clic4+, Lingo2+, and Pulmonary artery and their primary root nature. The width of dotted lines represents transcriptional similarity, arrows and their width represent transition probabilities.</w:t>
      </w:r>
    </w:p>
    <w:p w:rsidR="008B36BC" w:rsidP="768DCE4E" w:rsidRDefault="004813C1" w14:paraId="3A9078EF" w14:textId="3A87DDDE">
      <w:pPr>
        <w:spacing w:line="257" w:lineRule="auto"/>
        <w:jc w:val="both"/>
        <w:rPr>
          <w:rFonts w:ascii="Arial" w:hAnsi="Arial" w:eastAsia="Arial" w:cs="Arial"/>
          <w:color w:val="000000" w:themeColor="text1"/>
          <w:sz w:val="28"/>
          <w:szCs w:val="28"/>
        </w:rPr>
      </w:pPr>
      <w:r w:rsidRPr="768DCE4E" w:rsidR="768DCE4E">
        <w:rPr>
          <w:rFonts w:ascii="Arial" w:hAnsi="Arial" w:eastAsia="Arial" w:cs="Arial"/>
          <w:b w:val="1"/>
          <w:bCs w:val="1"/>
          <w:color w:val="000000" w:themeColor="text1" w:themeTint="FF" w:themeShade="FF"/>
          <w:sz w:val="28"/>
          <w:szCs w:val="28"/>
        </w:rPr>
        <w:t xml:space="preserve">j </w:t>
      </w:r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 xml:space="preserve">Heat map showing activity of transcription factors measured using </w:t>
      </w:r>
      <w:proofErr w:type="spellStart"/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>AUCell</w:t>
      </w:r>
      <w:proofErr w:type="spellEnd"/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>.</w:t>
      </w:r>
    </w:p>
    <w:p w:rsidR="008B36BC" w:rsidP="008B36BC" w:rsidRDefault="004813C1" w14:paraId="1866CD6A" w14:textId="058E6A7D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  <w:r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k</w:t>
      </w:r>
      <w:r w:rsidR="008B36B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 </w:t>
      </w:r>
      <w:r w:rsidRPr="1D08BE87" w:rsidR="008B36BC">
        <w:rPr>
          <w:rFonts w:ascii="Arial" w:hAnsi="Arial" w:eastAsia="Arial" w:cs="Arial"/>
          <w:color w:val="000000" w:themeColor="text1"/>
          <w:sz w:val="28"/>
          <w:szCs w:val="28"/>
        </w:rPr>
        <w:t>UMAP plot based on activity of transcription factors.</w:t>
      </w:r>
    </w:p>
    <w:p w:rsidR="008B36BC" w:rsidP="1D08BE87" w:rsidRDefault="004813C1" w14:paraId="356DF602" w14:textId="377B9912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l</w:t>
      </w:r>
      <w:r w:rsidR="008B36B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 </w:t>
      </w:r>
      <w:r w:rsidRPr="1D08BE87" w:rsidR="008B36BC">
        <w:rPr>
          <w:rFonts w:ascii="Arial" w:hAnsi="Arial" w:eastAsia="Arial" w:cs="Arial"/>
          <w:color w:val="000000" w:themeColor="text1"/>
          <w:sz w:val="28"/>
          <w:szCs w:val="28"/>
        </w:rPr>
        <w:t>Regulon specificity score curves for endothelial phenotypes with top 5 regulons shown.</w:t>
      </w:r>
    </w:p>
    <w:p w:rsidR="00C27797" w:rsidP="1D08BE87" w:rsidRDefault="00C27797" w14:paraId="5A6D64BC" w14:textId="43577F72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</w:p>
    <w:p w:rsidR="00C27797" w:rsidP="1D08BE87" w:rsidRDefault="1D08BE87" w14:paraId="6EC6CD07" w14:textId="6C33FD58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Supplementary Figure 2 </w:t>
      </w:r>
    </w:p>
    <w:p w:rsidR="00C27797" w:rsidP="1D08BE87" w:rsidRDefault="1D08BE87" w14:paraId="30231E1A" w14:textId="12C64E15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a </w:t>
      </w:r>
      <w:r w:rsidRPr="1D08BE87">
        <w:rPr>
          <w:rFonts w:ascii="Arial" w:hAnsi="Arial" w:eastAsia="Arial" w:cs="Arial"/>
          <w:color w:val="000000" w:themeColor="text1"/>
          <w:sz w:val="28"/>
          <w:szCs w:val="28"/>
        </w:rPr>
        <w:t xml:space="preserve">UMAP plots showing gene expression of selected markers in cross-species integration data. </w:t>
      </w:r>
    </w:p>
    <w:p w:rsidR="00C27797" w:rsidP="1D08BE87" w:rsidRDefault="3D0FFAAC" w14:paraId="1E6BAE28" w14:textId="11A76BE5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 w:rsidRPr="768DCE4E" w:rsidR="768DCE4E">
        <w:rPr>
          <w:rFonts w:ascii="Arial" w:hAnsi="Arial" w:eastAsia="Arial" w:cs="Arial"/>
          <w:b w:val="1"/>
          <w:bCs w:val="1"/>
          <w:color w:val="000000" w:themeColor="text1" w:themeTint="FF" w:themeShade="FF"/>
          <w:sz w:val="28"/>
          <w:szCs w:val="28"/>
        </w:rPr>
        <w:t xml:space="preserve">b </w:t>
      </w:r>
      <w:r w:rsidRPr="768DCE4E" w:rsidR="768DCE4E">
        <w:rPr>
          <w:rFonts w:ascii="Arial" w:hAnsi="Arial" w:eastAsia="Arial" w:cs="Arial"/>
          <w:color w:val="000000" w:themeColor="text1" w:themeTint="FF" w:themeShade="FF"/>
          <w:sz w:val="28"/>
          <w:szCs w:val="28"/>
        </w:rPr>
        <w:t>Violin plots showing distributions of detected UMI counts and genes in datasets used in cross-species integration (***p&lt; 0.001, ****p&lt; 0.0001, two-sided Wilcoxon rank sum test).</w:t>
      </w:r>
    </w:p>
    <w:p w:rsidR="00FC77A1" w:rsidP="1D08BE87" w:rsidRDefault="00FC77A1" w14:paraId="1CA1155E" w14:textId="77777777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</w:p>
    <w:p w:rsidR="1D08BE87" w:rsidP="1D08BE87" w:rsidRDefault="1D08BE87" w14:paraId="34A4A186" w14:textId="035C4383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Supplementary Figure </w:t>
      </w:r>
      <w:r w:rsidR="00FC77A1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3</w:t>
      </w:r>
    </w:p>
    <w:p w:rsidRPr="00FE5E6F" w:rsidR="1D08BE87" w:rsidP="1D08BE87" w:rsidRDefault="1D08BE87" w14:paraId="6D8D10E0" w14:textId="078B7460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lastRenderedPageBreak/>
        <w:t>a</w:t>
      </w:r>
      <w:r w:rsidR="00FE5E6F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 </w:t>
      </w:r>
      <w:r w:rsidRPr="1D08BE87" w:rsidR="004F5831">
        <w:rPr>
          <w:rFonts w:ascii="Arial" w:hAnsi="Arial" w:eastAsia="Arial" w:cs="Arial"/>
          <w:color w:val="000000" w:themeColor="text1"/>
          <w:sz w:val="28"/>
          <w:szCs w:val="28"/>
        </w:rPr>
        <w:t>UMAP plots, showing Pecam1+/Fabp4+/Cd68- Tip Cells in whole lung rat data.</w:t>
      </w:r>
    </w:p>
    <w:p w:rsidRPr="004F5831" w:rsidR="1D08BE87" w:rsidP="1D08BE87" w:rsidRDefault="1D08BE87" w14:paraId="2353FFB6" w14:textId="35AF7728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b </w:t>
      </w:r>
      <w:r w:rsidR="004F5831">
        <w:rPr>
          <w:rFonts w:ascii="Arial" w:hAnsi="Arial" w:eastAsia="Arial" w:cs="Arial"/>
          <w:color w:val="000000" w:themeColor="text1"/>
          <w:sz w:val="28"/>
          <w:szCs w:val="28"/>
        </w:rPr>
        <w:t>Gating strategy to isolate double positive cells, CD31+ FABP4+ using FACS.</w:t>
      </w:r>
    </w:p>
    <w:p w:rsidR="1D08BE87" w:rsidP="1D08BE87" w:rsidRDefault="1D08BE87" w14:paraId="5BF89479" w14:textId="2502415F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c</w:t>
      </w:r>
      <w:r w:rsidR="00FE5E6F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 </w:t>
      </w:r>
      <w:r w:rsidRPr="00C70A6E" w:rsidR="000F30B7">
        <w:rPr>
          <w:rFonts w:ascii="Arial" w:hAnsi="Arial" w:eastAsia="Arial" w:cs="Arial"/>
          <w:color w:val="000000" w:themeColor="text1"/>
          <w:sz w:val="28"/>
          <w:szCs w:val="28"/>
        </w:rPr>
        <w:t>W</w:t>
      </w:r>
      <w:r w:rsidR="00FE5E6F">
        <w:rPr>
          <w:rFonts w:ascii="Arial" w:hAnsi="Arial" w:eastAsia="Arial" w:cs="Arial"/>
          <w:color w:val="000000" w:themeColor="text1"/>
          <w:sz w:val="28"/>
          <w:szCs w:val="28"/>
        </w:rPr>
        <w:t xml:space="preserve">hole </w:t>
      </w:r>
      <w:r w:rsidR="00C70A6E">
        <w:rPr>
          <w:rFonts w:ascii="Arial" w:hAnsi="Arial" w:eastAsia="Arial" w:cs="Arial"/>
          <w:color w:val="000000" w:themeColor="text1"/>
          <w:sz w:val="28"/>
          <w:szCs w:val="28"/>
        </w:rPr>
        <w:t xml:space="preserve">image </w:t>
      </w:r>
      <w:r w:rsidR="00FE5E6F">
        <w:rPr>
          <w:rFonts w:ascii="Arial" w:hAnsi="Arial" w:eastAsia="Arial" w:cs="Arial"/>
          <w:color w:val="000000" w:themeColor="text1"/>
          <w:sz w:val="28"/>
          <w:szCs w:val="28"/>
        </w:rPr>
        <w:t xml:space="preserve">of the </w:t>
      </w:r>
      <w:r w:rsidR="00C70A6E">
        <w:rPr>
          <w:rFonts w:ascii="Arial" w:hAnsi="Arial" w:eastAsia="Arial" w:cs="Arial"/>
          <w:color w:val="000000" w:themeColor="text1"/>
          <w:sz w:val="28"/>
          <w:szCs w:val="28"/>
        </w:rPr>
        <w:t>figure 2h</w:t>
      </w:r>
      <w:r w:rsidR="00FE5E6F">
        <w:rPr>
          <w:rFonts w:ascii="Arial" w:hAnsi="Arial" w:eastAsia="Arial" w:cs="Arial"/>
          <w:color w:val="000000" w:themeColor="text1"/>
          <w:sz w:val="28"/>
          <w:szCs w:val="28"/>
        </w:rPr>
        <w:t xml:space="preserve"> showing gCapC in the lungs.</w:t>
      </w:r>
      <w:r>
        <w:br/>
      </w:r>
    </w:p>
    <w:p w:rsidR="00C27797" w:rsidP="1D08BE87" w:rsidRDefault="1D08BE87" w14:paraId="044FD733" w14:textId="7F87C307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Supplementary Figure </w:t>
      </w:r>
      <w:r w:rsidR="00FC77A1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4</w:t>
      </w:r>
    </w:p>
    <w:p w:rsidR="008D54D2" w:rsidP="1D08BE87" w:rsidRDefault="008D54D2" w14:paraId="2551489F" w14:textId="3D8696FF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a </w:t>
      </w:r>
      <w:r>
        <w:rPr>
          <w:rFonts w:ascii="Arial" w:hAnsi="Arial" w:eastAsia="Arial" w:cs="Arial"/>
          <w:color w:val="000000" w:themeColor="text1"/>
          <w:sz w:val="28"/>
          <w:szCs w:val="28"/>
        </w:rPr>
        <w:t xml:space="preserve">Whole </w:t>
      </w:r>
      <w:r w:rsidR="00C22E77">
        <w:rPr>
          <w:rFonts w:ascii="Arial" w:hAnsi="Arial" w:eastAsia="Arial" w:cs="Arial"/>
          <w:color w:val="000000" w:themeColor="text1"/>
          <w:sz w:val="28"/>
          <w:szCs w:val="28"/>
        </w:rPr>
        <w:t>image</w:t>
      </w:r>
      <w:r>
        <w:rPr>
          <w:rFonts w:ascii="Arial" w:hAnsi="Arial" w:eastAsia="Arial" w:cs="Arial"/>
          <w:color w:val="000000" w:themeColor="text1"/>
          <w:sz w:val="28"/>
          <w:szCs w:val="28"/>
        </w:rPr>
        <w:t xml:space="preserve"> of the </w:t>
      </w:r>
      <w:r w:rsidR="00C70A6E">
        <w:rPr>
          <w:rFonts w:ascii="Arial" w:hAnsi="Arial" w:eastAsia="Arial" w:cs="Arial"/>
          <w:color w:val="000000" w:themeColor="text1"/>
          <w:sz w:val="28"/>
          <w:szCs w:val="28"/>
        </w:rPr>
        <w:t>figure 3a</w:t>
      </w:r>
      <w:r>
        <w:rPr>
          <w:rFonts w:ascii="Arial" w:hAnsi="Arial" w:eastAsia="Arial" w:cs="Arial"/>
          <w:color w:val="000000" w:themeColor="text1"/>
          <w:sz w:val="28"/>
          <w:szCs w:val="28"/>
        </w:rPr>
        <w:t xml:space="preserve"> showing association of gCapA and gCapD.</w:t>
      </w:r>
    </w:p>
    <w:p w:rsidRPr="008D54D2" w:rsidR="008D54D2" w:rsidP="1D08BE87" w:rsidRDefault="008D54D2" w14:paraId="07DB6114" w14:textId="718A737F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b </w:t>
      </w:r>
      <w:r>
        <w:rPr>
          <w:rFonts w:ascii="Arial" w:hAnsi="Arial" w:eastAsia="Arial" w:cs="Arial"/>
          <w:color w:val="000000" w:themeColor="text1"/>
          <w:sz w:val="28"/>
          <w:szCs w:val="28"/>
        </w:rPr>
        <w:t>Confocal imaging showing gCapA, D and Aerocytes association.</w:t>
      </w:r>
    </w:p>
    <w:p w:rsidR="00C27797" w:rsidP="1D08BE87" w:rsidRDefault="00C27797" w14:paraId="220B2614" w14:textId="796E6FB6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</w:p>
    <w:p w:rsidR="00C27797" w:rsidP="1D08BE87" w:rsidRDefault="1D08BE87" w14:paraId="16A9A7AB" w14:textId="4BCE42FF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  <w:r w:rsidRPr="1D08BE87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Supplementary Figure </w:t>
      </w:r>
      <w:r w:rsidR="009B3CF3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5</w:t>
      </w:r>
    </w:p>
    <w:p w:rsidR="00C27797" w:rsidP="3D0FFAAC" w:rsidRDefault="3D0FFAAC" w14:paraId="06F52754" w14:textId="2126B423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a-i</w:t>
      </w:r>
      <w:r w:rsidRPr="3D0FFAAC">
        <w:rPr>
          <w:rFonts w:ascii="Arial" w:hAnsi="Arial" w:eastAsia="Arial" w:cs="Arial"/>
          <w:color w:val="000000" w:themeColor="text1"/>
          <w:sz w:val="28"/>
          <w:szCs w:val="28"/>
        </w:rPr>
        <w:t xml:space="preserve"> Dot plots showing all incoming and </w:t>
      </w:r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j-r</w:t>
      </w:r>
      <w:r w:rsidRPr="3D0FFAAC">
        <w:rPr>
          <w:rFonts w:ascii="Arial" w:hAnsi="Arial" w:eastAsia="Arial" w:cs="Arial"/>
          <w:color w:val="000000" w:themeColor="text1"/>
          <w:sz w:val="28"/>
          <w:szCs w:val="28"/>
        </w:rPr>
        <w:t xml:space="preserve"> all outgoing endothelial-subphenotype-specific cell-cell interactions (p&lt; 0.05, two-sided Wilcoxon rank sum test). </w:t>
      </w:r>
    </w:p>
    <w:p w:rsidR="00C27797" w:rsidP="1D08BE87" w:rsidRDefault="00C27797" w14:paraId="60FD3B18" w14:textId="1D9C5589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</w:p>
    <w:p w:rsidR="00C27797" w:rsidP="3D0FFAAC" w:rsidRDefault="3D0FFAAC" w14:paraId="41AA522B" w14:textId="1D8C1B68">
      <w:pPr>
        <w:spacing w:line="257" w:lineRule="auto"/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</w:pPr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Supplementary Figure </w:t>
      </w:r>
      <w:r w:rsidR="009B3CF3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6</w:t>
      </w:r>
    </w:p>
    <w:p w:rsidR="3D0FFAAC" w:rsidP="3D0FFAAC" w:rsidRDefault="3D0FFAAC" w14:paraId="59887FEE" w14:textId="7A0F02C8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proofErr w:type="gramStart"/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a,b</w:t>
      </w:r>
      <w:proofErr w:type="gramEnd"/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 </w:t>
      </w:r>
      <w:r w:rsidRPr="3D0FFAAC">
        <w:rPr>
          <w:rFonts w:ascii="Arial" w:hAnsi="Arial" w:eastAsia="Arial" w:cs="Arial"/>
          <w:color w:val="000000" w:themeColor="text1"/>
          <w:sz w:val="28"/>
          <w:szCs w:val="28"/>
        </w:rPr>
        <w:t xml:space="preserve">Bar plots showing differential number of interactions and interaction strength respectively identified using CellChat. </w:t>
      </w:r>
      <w:proofErr w:type="gramStart"/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с,d</w:t>
      </w:r>
      <w:proofErr w:type="gramEnd"/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 </w:t>
      </w:r>
      <w:r w:rsidRPr="3D0FFAAC">
        <w:rPr>
          <w:rFonts w:ascii="Arial" w:hAnsi="Arial" w:eastAsia="Arial" w:cs="Arial"/>
          <w:color w:val="000000" w:themeColor="text1"/>
          <w:sz w:val="28"/>
          <w:szCs w:val="28"/>
        </w:rPr>
        <w:t>Upregulated pathways in female and male respectively based on the expression of genes in these pathways (p&lt; 0.05, two-sided Wilcoxon rank sum test).</w:t>
      </w:r>
    </w:p>
    <w:p w:rsidR="3D0FFAAC" w:rsidRDefault="3D0FFAAC" w14:paraId="31F2F60B" w14:textId="6EAAB314"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Supplementary Figure </w:t>
      </w:r>
      <w:r w:rsidR="009B3CF3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7</w:t>
      </w:r>
    </w:p>
    <w:p w:rsidR="3D0FFAAC" w:rsidP="3D0FFAAC" w:rsidRDefault="3D0FFAAC" w14:paraId="4A6C2842" w14:textId="2B68E842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a-i</w:t>
      </w:r>
      <w:r w:rsidRPr="3D0FFAAC">
        <w:rPr>
          <w:rFonts w:ascii="Arial" w:hAnsi="Arial" w:eastAsia="Arial" w:cs="Arial"/>
          <w:color w:val="000000" w:themeColor="text1"/>
          <w:sz w:val="28"/>
          <w:szCs w:val="28"/>
        </w:rPr>
        <w:t xml:space="preserve"> Dot plots showing all incoming sex-specific differences in cell-cell interactions of endothelial subphenotypes (p&lt; 0.05, two-sided Wilcoxon rank sum test).</w:t>
      </w:r>
    </w:p>
    <w:p w:rsidR="3D0FFAAC" w:rsidP="3D0FFAAC" w:rsidRDefault="3D0FFAAC" w14:paraId="09683CB4" w14:textId="1F4E34F5">
      <w:r>
        <w:br/>
      </w:r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 xml:space="preserve">Supplementary Figure </w:t>
      </w:r>
      <w:r w:rsidR="009B3CF3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8</w:t>
      </w:r>
    </w:p>
    <w:p w:rsidR="3D0FFAAC" w:rsidP="3D0FFAAC" w:rsidRDefault="3D0FFAAC" w14:paraId="572F54C9" w14:textId="20B72EEA">
      <w:pPr>
        <w:spacing w:line="257" w:lineRule="auto"/>
        <w:rPr>
          <w:rFonts w:ascii="Arial" w:hAnsi="Arial" w:eastAsia="Arial" w:cs="Arial"/>
          <w:color w:val="000000" w:themeColor="text1"/>
          <w:sz w:val="28"/>
          <w:szCs w:val="28"/>
        </w:rPr>
      </w:pPr>
      <w:r w:rsidRPr="3D0FFAAC">
        <w:rPr>
          <w:rFonts w:ascii="Arial" w:hAnsi="Arial" w:eastAsia="Arial" w:cs="Arial"/>
          <w:b/>
          <w:bCs/>
          <w:color w:val="000000" w:themeColor="text1"/>
          <w:sz w:val="28"/>
          <w:szCs w:val="28"/>
        </w:rPr>
        <w:t>a-i</w:t>
      </w:r>
      <w:r w:rsidRPr="3D0FFAAC">
        <w:rPr>
          <w:rFonts w:ascii="Arial" w:hAnsi="Arial" w:eastAsia="Arial" w:cs="Arial"/>
          <w:color w:val="000000" w:themeColor="text1"/>
          <w:sz w:val="28"/>
          <w:szCs w:val="28"/>
        </w:rPr>
        <w:t xml:space="preserve"> Dot plots showing all outgoing sex-specific differences in cell-cell interactions of endothelial subphenotypes (p&lt; 0.05, two-sided Wilcoxon rank sum test).</w:t>
      </w:r>
    </w:p>
    <w:p w:rsidR="3D0FFAAC" w:rsidP="3D0FFAAC" w:rsidRDefault="3D0FFAAC" w14:paraId="5121662F" w14:textId="5E6E5409">
      <w:pPr>
        <w:spacing w:line="257" w:lineRule="auto"/>
      </w:pPr>
    </w:p>
    <w:sectPr w:rsidR="3D0FFAA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4A0E25B"/>
    <w:rsid w:val="000B7483"/>
    <w:rsid w:val="000F30B7"/>
    <w:rsid w:val="00136765"/>
    <w:rsid w:val="001A580A"/>
    <w:rsid w:val="00411583"/>
    <w:rsid w:val="004813C1"/>
    <w:rsid w:val="004F5831"/>
    <w:rsid w:val="00505883"/>
    <w:rsid w:val="00610635"/>
    <w:rsid w:val="008B36BC"/>
    <w:rsid w:val="008D54D2"/>
    <w:rsid w:val="009B3CF3"/>
    <w:rsid w:val="00C22E77"/>
    <w:rsid w:val="00C27797"/>
    <w:rsid w:val="00C70A6E"/>
    <w:rsid w:val="00CA7398"/>
    <w:rsid w:val="00FC77A1"/>
    <w:rsid w:val="00FE5E6F"/>
    <w:rsid w:val="1D08BE87"/>
    <w:rsid w:val="3D0FFAAC"/>
    <w:rsid w:val="4B49BBCC"/>
    <w:rsid w:val="64A0E25B"/>
    <w:rsid w:val="768DC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0E25B"/>
  <w15:chartTrackingRefBased/>
  <w15:docId w15:val="{3C838429-3B7F-4129-BE8D-AF0A86768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Alexander Dekan</dc:creator>
  <keywords/>
  <dc:description/>
  <lastModifiedBy>Alexander Dekan</lastModifiedBy>
  <revision>18</revision>
  <dcterms:created xsi:type="dcterms:W3CDTF">2023-04-26T21:31:00.0000000Z</dcterms:created>
  <dcterms:modified xsi:type="dcterms:W3CDTF">2023-05-01T19:07:11.1649177Z</dcterms:modified>
</coreProperties>
</file>