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0D35" w14:textId="77777777" w:rsidR="00510EE9" w:rsidRDefault="00510EE9" w:rsidP="00510EE9">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Behavioral-dependent recursive movements and implications for habitat selection </w:t>
      </w:r>
    </w:p>
    <w:p w14:paraId="2D576D51" w14:textId="082CB684" w:rsidR="00510EE9" w:rsidRPr="00E47C42" w:rsidRDefault="00510EE9" w:rsidP="00510E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hanging="720"/>
        <w:rPr>
          <w:rStyle w:val="LineNumber"/>
        </w:rPr>
      </w:pPr>
      <w:r>
        <w:rPr>
          <w:rStyle w:val="LineNumber"/>
        </w:rPr>
        <w:t>Nicholas W. Bakner</w:t>
      </w:r>
      <w:r>
        <w:rPr>
          <w:rStyle w:val="LineNumber"/>
          <w:vertAlign w:val="superscript"/>
        </w:rPr>
        <w:t>1</w:t>
      </w:r>
      <w:r w:rsidRPr="00E47C42">
        <w:rPr>
          <w:rStyle w:val="LineNumber"/>
        </w:rPr>
        <w:t xml:space="preserve"> |</w:t>
      </w:r>
      <w:r w:rsidR="009E5C93">
        <w:rPr>
          <w:rStyle w:val="LineNumber"/>
        </w:rPr>
        <w:t xml:space="preserve"> Erin E. Ulrey</w:t>
      </w:r>
      <w:r w:rsidR="009E5C93">
        <w:rPr>
          <w:rStyle w:val="LineNumber"/>
          <w:vertAlign w:val="superscript"/>
        </w:rPr>
        <w:t xml:space="preserve">1 </w:t>
      </w:r>
      <w:r w:rsidR="009E5C93" w:rsidRPr="00E47C42">
        <w:rPr>
          <w:rStyle w:val="LineNumber"/>
        </w:rPr>
        <w:t>|</w:t>
      </w:r>
      <w:r w:rsidRPr="00E47C42">
        <w:rPr>
          <w:rStyle w:val="LineNumber"/>
        </w:rPr>
        <w:t xml:space="preserve"> Bret A. Collier</w:t>
      </w:r>
      <w:r>
        <w:rPr>
          <w:rStyle w:val="LineNumber"/>
          <w:vertAlign w:val="superscript"/>
        </w:rPr>
        <w:t>2</w:t>
      </w:r>
      <w:r w:rsidRPr="00E47C42">
        <w:rPr>
          <w:rStyle w:val="LineNumber"/>
        </w:rPr>
        <w:t xml:space="preserve"> </w:t>
      </w:r>
      <w:bookmarkStart w:id="0" w:name="_Hlk130903920"/>
      <w:r w:rsidRPr="00E47C42">
        <w:rPr>
          <w:rStyle w:val="LineNumber"/>
        </w:rPr>
        <w:t>|</w:t>
      </w:r>
      <w:bookmarkEnd w:id="0"/>
      <w:r w:rsidRPr="00E47C42">
        <w:rPr>
          <w:rStyle w:val="LineNumber"/>
        </w:rPr>
        <w:t xml:space="preserve"> Michael J. Chamberlain</w:t>
      </w:r>
      <w:r w:rsidRPr="00E47C42">
        <w:rPr>
          <w:rStyle w:val="LineNumber"/>
          <w:vertAlign w:val="superscript"/>
        </w:rPr>
        <w:t>1</w:t>
      </w:r>
    </w:p>
    <w:p w14:paraId="0E0985B6" w14:textId="77777777" w:rsidR="00510EE9" w:rsidRPr="00E47C42" w:rsidRDefault="00510EE9" w:rsidP="00510E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hanging="720"/>
        <w:rPr>
          <w:rStyle w:val="LineNumber"/>
        </w:rPr>
      </w:pPr>
      <w:r>
        <w:rPr>
          <w:rStyle w:val="LineNumber"/>
          <w:vertAlign w:val="superscript"/>
        </w:rPr>
        <w:t>1</w:t>
      </w:r>
      <w:bookmarkStart w:id="1" w:name="_Hlk130548768"/>
      <w:r w:rsidRPr="00E47C42">
        <w:rPr>
          <w:rStyle w:val="LineNumber"/>
        </w:rPr>
        <w:t>Warnell School of Forestry and Natural Resources, University of Georgia, Athens, GA 30602, USA.</w:t>
      </w:r>
    </w:p>
    <w:bookmarkEnd w:id="1"/>
    <w:p w14:paraId="1E5B3CF5" w14:textId="77777777" w:rsidR="00510EE9" w:rsidRPr="00E47C42" w:rsidRDefault="00510EE9" w:rsidP="00510E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hanging="720"/>
        <w:rPr>
          <w:rStyle w:val="LineNumber"/>
        </w:rPr>
      </w:pPr>
      <w:r>
        <w:rPr>
          <w:rStyle w:val="LineNumber"/>
          <w:vertAlign w:val="superscript"/>
        </w:rPr>
        <w:t>2</w:t>
      </w:r>
      <w:r w:rsidRPr="00E47C42">
        <w:rPr>
          <w:rStyle w:val="LineNumber"/>
        </w:rPr>
        <w:t>School of Renewable Natural Resources, Louisiana State University Agricultural Center, Baton Rouge, LA 70803, USA.</w:t>
      </w:r>
    </w:p>
    <w:p w14:paraId="2D3E526E" w14:textId="77777777" w:rsidR="00510EE9" w:rsidRPr="00B37193" w:rsidRDefault="00510EE9" w:rsidP="00510E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hanging="720"/>
        <w:rPr>
          <w:rFonts w:ascii="Times New Roman" w:hAnsi="Times New Roman"/>
          <w:iCs/>
          <w:sz w:val="24"/>
        </w:rPr>
      </w:pPr>
      <w:r w:rsidRPr="00E47C42">
        <w:rPr>
          <w:rStyle w:val="LineNumber"/>
        </w:rPr>
        <w:t xml:space="preserve">Correspondence: </w:t>
      </w:r>
      <w:r>
        <w:rPr>
          <w:rStyle w:val="LineNumber"/>
        </w:rPr>
        <w:t>Nicholas W. Bakner</w:t>
      </w:r>
      <w:r w:rsidRPr="00E47C42">
        <w:rPr>
          <w:rStyle w:val="LineNumber"/>
        </w:rPr>
        <w:t>, Warnell School of Forestry and Natural Resources,</w:t>
      </w:r>
      <w:r>
        <w:rPr>
          <w:rStyle w:val="LineNumber"/>
        </w:rPr>
        <w:t xml:space="preserve"> </w:t>
      </w:r>
      <w:r w:rsidRPr="00E47C42">
        <w:rPr>
          <w:rStyle w:val="LineNumber"/>
        </w:rPr>
        <w:t>University of Georgia, Athens, GA 30602, USA., Email:</w:t>
      </w:r>
      <w:r w:rsidRPr="00E47C42">
        <w:rPr>
          <w:rFonts w:ascii="Times New Roman" w:hAnsi="Times New Roman"/>
          <w:iCs/>
          <w:sz w:val="24"/>
        </w:rPr>
        <w:t xml:space="preserve"> </w:t>
      </w:r>
      <w:r w:rsidRPr="00B37193">
        <w:rPr>
          <w:rFonts w:ascii="Times New Roman" w:hAnsi="Times New Roman"/>
          <w:iCs/>
          <w:sz w:val="24"/>
        </w:rPr>
        <w:t>Nicholas.Bakner@uga.edu</w:t>
      </w:r>
    </w:p>
    <w:p w14:paraId="4AED0E1E" w14:textId="77777777" w:rsidR="00510EE9" w:rsidRDefault="00510EE9" w:rsidP="00510EE9">
      <w:pPr>
        <w:rPr>
          <w:rFonts w:ascii="Times New Roman" w:hAnsi="Times New Roman" w:cs="Times New Roman"/>
          <w:b/>
          <w:sz w:val="24"/>
          <w:szCs w:val="24"/>
        </w:rPr>
      </w:pPr>
      <w:r>
        <w:rPr>
          <w:rFonts w:ascii="Times New Roman" w:hAnsi="Times New Roman" w:cs="Times New Roman"/>
          <w:b/>
          <w:sz w:val="24"/>
          <w:szCs w:val="24"/>
        </w:rPr>
        <w:t>Study Area</w:t>
      </w:r>
    </w:p>
    <w:p w14:paraId="03436BAB" w14:textId="77777777" w:rsidR="00510EE9" w:rsidRPr="00740B92" w:rsidRDefault="00510EE9" w:rsidP="00510EE9">
      <w:pPr>
        <w:spacing w:after="0" w:line="480" w:lineRule="auto"/>
        <w:rPr>
          <w:rFonts w:ascii="Times New Roman" w:eastAsia="Calibri" w:hAnsi="Times New Roman" w:cs="Times New Roman"/>
          <w:b/>
          <w:sz w:val="24"/>
          <w:szCs w:val="24"/>
        </w:rPr>
      </w:pPr>
      <w:r w:rsidRPr="00740B92">
        <w:rPr>
          <w:rFonts w:ascii="Times New Roman" w:eastAsia="Calibri" w:hAnsi="Times New Roman" w:cs="Times New Roman"/>
          <w:sz w:val="24"/>
          <w:szCs w:val="24"/>
        </w:rPr>
        <w:t xml:space="preserve">We conducted research on </w:t>
      </w:r>
      <w:r>
        <w:rPr>
          <w:rFonts w:ascii="Times New Roman" w:eastAsia="Calibri" w:hAnsi="Times New Roman" w:cs="Times New Roman"/>
          <w:sz w:val="24"/>
          <w:szCs w:val="24"/>
        </w:rPr>
        <w:t>11</w:t>
      </w:r>
      <w:r w:rsidRPr="00740B92">
        <w:rPr>
          <w:rFonts w:ascii="Times New Roman" w:eastAsia="Calibri" w:hAnsi="Times New Roman" w:cs="Times New Roman"/>
          <w:sz w:val="24"/>
          <w:szCs w:val="24"/>
        </w:rPr>
        <w:t xml:space="preserve"> sites across the southeastern United States. In Louisiana, we conducted research on the Kisatchie National Forest (KNF)</w:t>
      </w:r>
      <w:r>
        <w:rPr>
          <w:rFonts w:ascii="Times New Roman" w:eastAsia="Calibri" w:hAnsi="Times New Roman" w:cs="Times New Roman"/>
          <w:sz w:val="24"/>
          <w:szCs w:val="24"/>
        </w:rPr>
        <w:t xml:space="preserve">, </w:t>
      </w:r>
      <w:r w:rsidRPr="00740B92">
        <w:rPr>
          <w:rFonts w:ascii="Times New Roman" w:eastAsia="Calibri" w:hAnsi="Times New Roman" w:cs="Times New Roman"/>
          <w:sz w:val="24"/>
          <w:szCs w:val="24"/>
        </w:rPr>
        <w:t>Fort Polk Wildlife Management Area (WMA)</w:t>
      </w:r>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Peason</w:t>
      </w:r>
      <w:proofErr w:type="spellEnd"/>
      <w:r>
        <w:rPr>
          <w:rFonts w:ascii="Times New Roman" w:eastAsia="Calibri" w:hAnsi="Times New Roman" w:cs="Times New Roman"/>
          <w:sz w:val="24"/>
          <w:szCs w:val="24"/>
        </w:rPr>
        <w:t xml:space="preserve"> Ridge WMA</w:t>
      </w:r>
      <w:r w:rsidRPr="00740B92">
        <w:rPr>
          <w:rFonts w:ascii="Times New Roman" w:eastAsia="Calibri" w:hAnsi="Times New Roman" w:cs="Times New Roman"/>
          <w:sz w:val="24"/>
          <w:szCs w:val="24"/>
        </w:rPr>
        <w:t xml:space="preserve"> from January 2014-</w:t>
      </w:r>
      <w:r>
        <w:rPr>
          <w:rFonts w:ascii="Times New Roman" w:eastAsia="Calibri" w:hAnsi="Times New Roman" w:cs="Times New Roman"/>
          <w:sz w:val="24"/>
          <w:szCs w:val="24"/>
        </w:rPr>
        <w:t>August</w:t>
      </w:r>
      <w:r w:rsidRPr="00740B92">
        <w:rPr>
          <w:rFonts w:ascii="Times New Roman" w:eastAsia="Calibri" w:hAnsi="Times New Roman" w:cs="Times New Roman"/>
          <w:sz w:val="24"/>
          <w:szCs w:val="24"/>
        </w:rPr>
        <w:t xml:space="preserve"> 20</w:t>
      </w:r>
      <w:r>
        <w:rPr>
          <w:rFonts w:ascii="Times New Roman" w:eastAsia="Calibri" w:hAnsi="Times New Roman" w:cs="Times New Roman"/>
          <w:sz w:val="24"/>
          <w:szCs w:val="24"/>
        </w:rPr>
        <w:t>21</w:t>
      </w:r>
      <w:r w:rsidRPr="00740B92">
        <w:rPr>
          <w:rFonts w:ascii="Times New Roman" w:eastAsia="Calibri" w:hAnsi="Times New Roman" w:cs="Times New Roman"/>
          <w:sz w:val="24"/>
          <w:szCs w:val="24"/>
        </w:rPr>
        <w:t>. The KNF was owned and managed by the United States Forest Service (USFS), whereas Fort Polk</w:t>
      </w:r>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Peason</w:t>
      </w:r>
      <w:proofErr w:type="spellEnd"/>
      <w:r>
        <w:rPr>
          <w:rFonts w:ascii="Times New Roman" w:eastAsia="Calibri" w:hAnsi="Times New Roman" w:cs="Times New Roman"/>
          <w:sz w:val="24"/>
          <w:szCs w:val="24"/>
        </w:rPr>
        <w:t xml:space="preserve"> Ridge</w:t>
      </w:r>
      <w:r w:rsidRPr="00740B92">
        <w:rPr>
          <w:rFonts w:ascii="Times New Roman" w:eastAsia="Calibri" w:hAnsi="Times New Roman" w:cs="Times New Roman"/>
          <w:sz w:val="24"/>
          <w:szCs w:val="24"/>
        </w:rPr>
        <w:t xml:space="preserve"> WMA was jointly owned by the USFS and the United States Army. Louisiana sites were composed of pine (</w:t>
      </w:r>
      <w:r w:rsidRPr="00740B92">
        <w:rPr>
          <w:rFonts w:ascii="Times New Roman" w:eastAsia="Calibri" w:hAnsi="Times New Roman" w:cs="Times New Roman"/>
          <w:i/>
          <w:sz w:val="24"/>
          <w:szCs w:val="24"/>
        </w:rPr>
        <w:t>Pinus</w:t>
      </w:r>
      <w:r w:rsidRPr="00740B92">
        <w:rPr>
          <w:rFonts w:ascii="Times New Roman" w:eastAsia="Calibri" w:hAnsi="Times New Roman" w:cs="Times New Roman"/>
          <w:sz w:val="24"/>
          <w:szCs w:val="24"/>
        </w:rPr>
        <w:t xml:space="preserve"> spp.)-dominated forests, hardwood riparian zones, and forested wetlands, with forest openings, utility </w:t>
      </w:r>
      <w:proofErr w:type="spellStart"/>
      <w:r w:rsidRPr="00740B92">
        <w:rPr>
          <w:rFonts w:ascii="Times New Roman" w:eastAsia="Calibri" w:hAnsi="Times New Roman" w:cs="Times New Roman"/>
          <w:sz w:val="24"/>
          <w:szCs w:val="24"/>
        </w:rPr>
        <w:t>right-of-ways</w:t>
      </w:r>
      <w:proofErr w:type="spellEnd"/>
      <w:r w:rsidRPr="00740B92">
        <w:rPr>
          <w:rFonts w:ascii="Times New Roman" w:eastAsia="Calibri" w:hAnsi="Times New Roman" w:cs="Times New Roman"/>
          <w:sz w:val="24"/>
          <w:szCs w:val="24"/>
        </w:rPr>
        <w:t>, and forest roads distributed throughout. Primary overstory species included longleaf pine (</w:t>
      </w:r>
      <w:r w:rsidRPr="00740B92">
        <w:rPr>
          <w:rFonts w:ascii="Times New Roman" w:eastAsia="Calibri" w:hAnsi="Times New Roman" w:cs="Times New Roman"/>
          <w:i/>
          <w:sz w:val="24"/>
          <w:szCs w:val="24"/>
        </w:rPr>
        <w:t>Pinus palustris</w:t>
      </w:r>
      <w:r w:rsidRPr="00740B92">
        <w:rPr>
          <w:rFonts w:ascii="Times New Roman" w:eastAsia="Calibri" w:hAnsi="Times New Roman" w:cs="Times New Roman"/>
          <w:sz w:val="24"/>
          <w:szCs w:val="24"/>
        </w:rPr>
        <w:t>), loblolly pine (</w:t>
      </w:r>
      <w:r w:rsidRPr="00740B92">
        <w:rPr>
          <w:rFonts w:ascii="Times New Roman" w:eastAsia="Calibri" w:hAnsi="Times New Roman" w:cs="Times New Roman"/>
          <w:i/>
          <w:sz w:val="24"/>
          <w:szCs w:val="24"/>
        </w:rPr>
        <w:t xml:space="preserve">P. </w:t>
      </w:r>
      <w:proofErr w:type="spellStart"/>
      <w:r w:rsidRPr="00740B92">
        <w:rPr>
          <w:rFonts w:ascii="Times New Roman" w:eastAsia="Calibri" w:hAnsi="Times New Roman" w:cs="Times New Roman"/>
          <w:i/>
          <w:sz w:val="24"/>
          <w:szCs w:val="24"/>
        </w:rPr>
        <w:t>taeda</w:t>
      </w:r>
      <w:proofErr w:type="spellEnd"/>
      <w:r w:rsidRPr="00740B92">
        <w:rPr>
          <w:rFonts w:ascii="Times New Roman" w:eastAsia="Calibri" w:hAnsi="Times New Roman" w:cs="Times New Roman"/>
          <w:sz w:val="24"/>
          <w:szCs w:val="24"/>
        </w:rPr>
        <w:t>), oaks (</w:t>
      </w:r>
      <w:r w:rsidRPr="00740B92">
        <w:rPr>
          <w:rFonts w:ascii="Times New Roman" w:eastAsia="Calibri" w:hAnsi="Times New Roman" w:cs="Times New Roman"/>
          <w:i/>
          <w:sz w:val="24"/>
          <w:szCs w:val="24"/>
        </w:rPr>
        <w:t xml:space="preserve">Quercus </w:t>
      </w:r>
      <w:r w:rsidRPr="00740B92">
        <w:rPr>
          <w:rFonts w:ascii="Times New Roman" w:eastAsia="Calibri" w:hAnsi="Times New Roman" w:cs="Times New Roman"/>
          <w:sz w:val="24"/>
          <w:szCs w:val="24"/>
        </w:rPr>
        <w:t>spp.), hickories (</w:t>
      </w:r>
      <w:r w:rsidRPr="00740B92">
        <w:rPr>
          <w:rFonts w:ascii="Times New Roman" w:eastAsia="Calibri" w:hAnsi="Times New Roman" w:cs="Times New Roman"/>
          <w:i/>
          <w:sz w:val="24"/>
          <w:szCs w:val="24"/>
        </w:rPr>
        <w:t xml:space="preserve">Carya </w:t>
      </w:r>
      <w:r w:rsidRPr="00740B92">
        <w:rPr>
          <w:rFonts w:ascii="Times New Roman" w:eastAsia="Calibri" w:hAnsi="Times New Roman" w:cs="Times New Roman"/>
          <w:sz w:val="24"/>
          <w:szCs w:val="24"/>
        </w:rPr>
        <w:t>spp.), and red maple (</w:t>
      </w:r>
      <w:r w:rsidRPr="00740B92">
        <w:rPr>
          <w:rFonts w:ascii="Times New Roman" w:eastAsia="Calibri" w:hAnsi="Times New Roman" w:cs="Times New Roman"/>
          <w:i/>
          <w:sz w:val="24"/>
          <w:szCs w:val="24"/>
        </w:rPr>
        <w:t>Acer rubrum</w:t>
      </w:r>
      <w:r w:rsidRPr="00740B92">
        <w:rPr>
          <w:rFonts w:ascii="Times New Roman" w:eastAsia="Calibri" w:hAnsi="Times New Roman" w:cs="Times New Roman"/>
          <w:sz w:val="24"/>
          <w:szCs w:val="24"/>
        </w:rPr>
        <w:t xml:space="preserve">). For a detailed description of site conditions on KNF and Fort Polk WMA see </w:t>
      </w:r>
      <w:proofErr w:type="spellStart"/>
      <w:r w:rsidRPr="00740B92">
        <w:rPr>
          <w:rFonts w:ascii="Times New Roman" w:eastAsia="Calibri" w:hAnsi="Times New Roman" w:cs="Times New Roman"/>
          <w:sz w:val="24"/>
          <w:szCs w:val="24"/>
        </w:rPr>
        <w:t>Yeldell</w:t>
      </w:r>
      <w:proofErr w:type="spellEnd"/>
      <w:r w:rsidRPr="00740B92">
        <w:rPr>
          <w:rFonts w:ascii="Times New Roman" w:eastAsia="Calibri" w:hAnsi="Times New Roman" w:cs="Times New Roman"/>
          <w:sz w:val="24"/>
          <w:szCs w:val="24"/>
        </w:rPr>
        <w:t xml:space="preserve"> et al. (2017</w:t>
      </w:r>
      <w:r w:rsidRPr="00740B92">
        <w:rPr>
          <w:rFonts w:ascii="Times New Roman" w:eastAsia="Calibri" w:hAnsi="Times New Roman" w:cs="Times New Roman"/>
          <w:i/>
          <w:sz w:val="24"/>
          <w:szCs w:val="24"/>
        </w:rPr>
        <w:t>a,b</w:t>
      </w:r>
      <w:r w:rsidRPr="00740B92">
        <w:rPr>
          <w:rFonts w:ascii="Times New Roman" w:eastAsia="Calibri" w:hAnsi="Times New Roman" w:cs="Times New Roman"/>
          <w:sz w:val="24"/>
          <w:szCs w:val="24"/>
        </w:rPr>
        <w:t>).</w:t>
      </w:r>
    </w:p>
    <w:p w14:paraId="4C863FA2" w14:textId="77777777" w:rsidR="00510EE9" w:rsidRPr="00740B92" w:rsidRDefault="00510EE9" w:rsidP="00510EE9">
      <w:pPr>
        <w:spacing w:after="0" w:line="480" w:lineRule="auto"/>
        <w:ind w:firstLine="720"/>
        <w:contextualSpacing/>
        <w:rPr>
          <w:rFonts w:ascii="Times New Roman" w:eastAsia="Calibri" w:hAnsi="Times New Roman" w:cs="Times New Roman"/>
          <w:sz w:val="24"/>
          <w:szCs w:val="24"/>
        </w:rPr>
      </w:pPr>
      <w:r w:rsidRPr="00740B92">
        <w:rPr>
          <w:rFonts w:ascii="Times New Roman" w:eastAsia="Calibri" w:hAnsi="Times New Roman" w:cs="Times New Roman"/>
          <w:sz w:val="24"/>
          <w:szCs w:val="24"/>
        </w:rPr>
        <w:t>We conducted research on Lake Seminole and Silver Lake WMAs located in southwest Georgia from January 2015-</w:t>
      </w:r>
      <w:r>
        <w:rPr>
          <w:rFonts w:ascii="Times New Roman" w:eastAsia="Calibri" w:hAnsi="Times New Roman" w:cs="Times New Roman"/>
          <w:sz w:val="24"/>
          <w:szCs w:val="24"/>
        </w:rPr>
        <w:t>August</w:t>
      </w:r>
      <w:r w:rsidRPr="00740B92">
        <w:rPr>
          <w:rFonts w:ascii="Times New Roman" w:eastAsia="Calibri" w:hAnsi="Times New Roman" w:cs="Times New Roman"/>
          <w:sz w:val="24"/>
          <w:szCs w:val="24"/>
        </w:rPr>
        <w:t xml:space="preserve"> 2016. The Silver Lake WMA was owned and managed by the Georgia Department of Natural Resources-Wildlife Resources Division (GADNR), and the adjacent Lake Seminole WMA was owned by the U.S. Army Corps of Engineers and managed by GADNR. Both sites were predominantly mature pine forests and forested wetlands. Overstory </w:t>
      </w:r>
      <w:r w:rsidRPr="00740B92">
        <w:rPr>
          <w:rFonts w:ascii="Times New Roman" w:eastAsia="Calibri" w:hAnsi="Times New Roman" w:cs="Times New Roman"/>
          <w:sz w:val="24"/>
          <w:szCs w:val="24"/>
        </w:rPr>
        <w:lastRenderedPageBreak/>
        <w:t>species were predominately longleaf pine, loblolly pine, slash pine (</w:t>
      </w:r>
      <w:r w:rsidRPr="00740B92">
        <w:rPr>
          <w:rFonts w:ascii="Times New Roman" w:eastAsia="Calibri" w:hAnsi="Times New Roman" w:cs="Times New Roman"/>
          <w:i/>
          <w:sz w:val="24"/>
          <w:szCs w:val="24"/>
        </w:rPr>
        <w:t xml:space="preserve">P. </w:t>
      </w:r>
      <w:proofErr w:type="spellStart"/>
      <w:r w:rsidRPr="00740B92">
        <w:rPr>
          <w:rFonts w:ascii="Times New Roman" w:eastAsia="Calibri" w:hAnsi="Times New Roman" w:cs="Times New Roman"/>
          <w:i/>
          <w:sz w:val="24"/>
          <w:szCs w:val="24"/>
        </w:rPr>
        <w:t>elliottii</w:t>
      </w:r>
      <w:proofErr w:type="spellEnd"/>
      <w:r w:rsidRPr="00740B92">
        <w:rPr>
          <w:rFonts w:ascii="Times New Roman" w:eastAsia="Calibri" w:hAnsi="Times New Roman" w:cs="Times New Roman"/>
          <w:sz w:val="24"/>
          <w:szCs w:val="24"/>
        </w:rPr>
        <w:t>), oaks, and sweetgum (</w:t>
      </w:r>
      <w:r w:rsidRPr="00740B92">
        <w:rPr>
          <w:rFonts w:ascii="Times New Roman" w:eastAsia="Calibri" w:hAnsi="Times New Roman" w:cs="Times New Roman"/>
          <w:i/>
          <w:sz w:val="24"/>
          <w:szCs w:val="24"/>
        </w:rPr>
        <w:t>Liquidambar styraciflua</w:t>
      </w:r>
      <w:r w:rsidRPr="00740B92">
        <w:rPr>
          <w:rFonts w:ascii="Times New Roman" w:eastAsia="Calibri" w:hAnsi="Times New Roman" w:cs="Times New Roman"/>
          <w:sz w:val="24"/>
          <w:szCs w:val="24"/>
        </w:rPr>
        <w:t xml:space="preserve">). For a detailed description of site conditions on Silver Lake WMA see Wood et al. (2019).  </w:t>
      </w:r>
    </w:p>
    <w:p w14:paraId="554412C1" w14:textId="77777777" w:rsidR="00510EE9" w:rsidRPr="00740B92" w:rsidRDefault="00510EE9" w:rsidP="00510EE9">
      <w:pPr>
        <w:spacing w:after="0" w:line="480" w:lineRule="auto"/>
        <w:ind w:firstLine="720"/>
        <w:contextualSpacing/>
        <w:rPr>
          <w:rFonts w:ascii="Calibri" w:eastAsia="Calibri" w:hAnsi="Calibri" w:cs="Times New Roman"/>
          <w:szCs w:val="24"/>
        </w:rPr>
      </w:pPr>
      <w:r w:rsidRPr="00740B92">
        <w:rPr>
          <w:rFonts w:ascii="Times New Roman" w:eastAsia="Calibri" w:hAnsi="Times New Roman" w:cs="Times New Roman"/>
          <w:sz w:val="24"/>
          <w:szCs w:val="24"/>
        </w:rPr>
        <w:t xml:space="preserve">We conducted research on B.F. Grant </w:t>
      </w:r>
      <w:r>
        <w:rPr>
          <w:rFonts w:ascii="Times New Roman" w:eastAsia="Calibri" w:hAnsi="Times New Roman" w:cs="Times New Roman"/>
          <w:sz w:val="24"/>
          <w:szCs w:val="24"/>
        </w:rPr>
        <w:t>a</w:t>
      </w:r>
      <w:r w:rsidRPr="00740B92">
        <w:rPr>
          <w:rFonts w:ascii="Times New Roman" w:eastAsia="Calibri" w:hAnsi="Times New Roman" w:cs="Times New Roman"/>
          <w:sz w:val="24"/>
          <w:szCs w:val="24"/>
        </w:rPr>
        <w:t>nd Cedar Creek WMA</w:t>
      </w:r>
      <w:r>
        <w:rPr>
          <w:rFonts w:ascii="Times New Roman" w:eastAsia="Calibri" w:hAnsi="Times New Roman" w:cs="Times New Roman"/>
          <w:sz w:val="24"/>
          <w:szCs w:val="24"/>
        </w:rPr>
        <w:t>s</w:t>
      </w:r>
      <w:r w:rsidRPr="00740B92">
        <w:rPr>
          <w:rFonts w:ascii="Times New Roman" w:eastAsia="Calibri" w:hAnsi="Times New Roman" w:cs="Times New Roman"/>
          <w:sz w:val="24"/>
          <w:szCs w:val="24"/>
        </w:rPr>
        <w:t xml:space="preserve"> located in the Piedmont region of Georgia from January 201</w:t>
      </w:r>
      <w:r>
        <w:rPr>
          <w:rFonts w:ascii="Times New Roman" w:eastAsia="Calibri" w:hAnsi="Times New Roman" w:cs="Times New Roman"/>
          <w:sz w:val="24"/>
          <w:szCs w:val="24"/>
        </w:rPr>
        <w:t xml:space="preserve">7-August </w:t>
      </w:r>
      <w:r w:rsidRPr="00740B92">
        <w:rPr>
          <w:rFonts w:ascii="Times New Roman" w:eastAsia="Calibri" w:hAnsi="Times New Roman" w:cs="Times New Roman"/>
          <w:sz w:val="24"/>
          <w:szCs w:val="24"/>
        </w:rPr>
        <w:t>20</w:t>
      </w:r>
      <w:r>
        <w:rPr>
          <w:rFonts w:ascii="Times New Roman" w:eastAsia="Calibri" w:hAnsi="Times New Roman" w:cs="Times New Roman"/>
          <w:sz w:val="24"/>
          <w:szCs w:val="24"/>
        </w:rPr>
        <w:t>21</w:t>
      </w:r>
      <w:r w:rsidRPr="00740B92">
        <w:rPr>
          <w:rFonts w:ascii="Times New Roman" w:eastAsia="Calibri" w:hAnsi="Times New Roman" w:cs="Times New Roman"/>
          <w:sz w:val="24"/>
          <w:szCs w:val="24"/>
        </w:rPr>
        <w:t xml:space="preserve">. B.F. Grant WMA was owned by the Warnell School of Forestry and Natural Resources at the University of Georgia, and was managed jointly by the GADNR and the Warnell School. B.F. Grant WMA landcover </w:t>
      </w:r>
      <w:r>
        <w:rPr>
          <w:rFonts w:ascii="Times New Roman" w:eastAsia="Calibri" w:hAnsi="Times New Roman" w:cs="Times New Roman"/>
          <w:sz w:val="24"/>
          <w:szCs w:val="24"/>
        </w:rPr>
        <w:t xml:space="preserve">was </w:t>
      </w:r>
      <w:r w:rsidRPr="00740B92">
        <w:rPr>
          <w:rFonts w:ascii="Times New Roman" w:eastAsia="Calibri" w:hAnsi="Times New Roman" w:cs="Times New Roman"/>
          <w:sz w:val="24"/>
          <w:szCs w:val="24"/>
        </w:rPr>
        <w:t>primarily loblolly pine forest, agricultural lands, mixed hardwood and pine forests, and hardwood lowlands containing mostly oaks, sweet gum, and hickory. Agricultural lands were mostly grazed mixed fescue (</w:t>
      </w:r>
      <w:r w:rsidRPr="00740B92">
        <w:rPr>
          <w:rFonts w:ascii="Times New Roman" w:eastAsia="Calibri" w:hAnsi="Times New Roman" w:cs="Times New Roman"/>
          <w:i/>
          <w:sz w:val="24"/>
          <w:szCs w:val="24"/>
        </w:rPr>
        <w:t xml:space="preserve">Festuca </w:t>
      </w:r>
      <w:r w:rsidRPr="00740B92">
        <w:rPr>
          <w:rFonts w:ascii="Times New Roman" w:eastAsia="Calibri" w:hAnsi="Times New Roman" w:cs="Times New Roman"/>
          <w:iCs/>
          <w:sz w:val="24"/>
          <w:szCs w:val="24"/>
        </w:rPr>
        <w:t>sp</w:t>
      </w:r>
      <w:r w:rsidRPr="00740B92">
        <w:rPr>
          <w:rFonts w:ascii="Times New Roman" w:eastAsia="Calibri" w:hAnsi="Times New Roman" w:cs="Times New Roman"/>
          <w:i/>
          <w:sz w:val="24"/>
          <w:szCs w:val="24"/>
        </w:rPr>
        <w:t>.</w:t>
      </w:r>
      <w:r w:rsidRPr="00740B92">
        <w:rPr>
          <w:rFonts w:ascii="Times New Roman" w:eastAsia="Calibri" w:hAnsi="Times New Roman" w:cs="Times New Roman"/>
          <w:sz w:val="24"/>
          <w:szCs w:val="24"/>
        </w:rPr>
        <w:t>) fields and hay fields planted for ryegrass (</w:t>
      </w:r>
      <w:r w:rsidRPr="00740B92">
        <w:rPr>
          <w:rFonts w:ascii="Times New Roman" w:eastAsia="Calibri" w:hAnsi="Times New Roman" w:cs="Times New Roman"/>
          <w:i/>
          <w:sz w:val="24"/>
          <w:szCs w:val="24"/>
        </w:rPr>
        <w:t xml:space="preserve">Lolium </w:t>
      </w:r>
      <w:r w:rsidRPr="00740B92">
        <w:rPr>
          <w:rFonts w:ascii="Times New Roman" w:eastAsia="Calibri" w:hAnsi="Times New Roman" w:cs="Times New Roman"/>
          <w:iCs/>
          <w:sz w:val="24"/>
          <w:szCs w:val="24"/>
        </w:rPr>
        <w:t>sp</w:t>
      </w:r>
      <w:r w:rsidRPr="00740B92">
        <w:rPr>
          <w:rFonts w:ascii="Times New Roman" w:eastAsia="Calibri" w:hAnsi="Times New Roman" w:cs="Times New Roman"/>
          <w:i/>
          <w:sz w:val="24"/>
          <w:szCs w:val="24"/>
        </w:rPr>
        <w:t>.</w:t>
      </w:r>
      <w:r w:rsidRPr="00740B92">
        <w:rPr>
          <w:rFonts w:ascii="Times New Roman" w:eastAsia="Calibri" w:hAnsi="Times New Roman" w:cs="Times New Roman"/>
          <w:sz w:val="24"/>
          <w:szCs w:val="24"/>
        </w:rPr>
        <w:t xml:space="preserve">). Cedar Creek WMA was owned by the USFS and managed in partnership with GADNR. Cedar Creek WMA was composed primarily of loblolly pine uplands, mixed hardwood and pine forests, and hardwood lowlands of similar species composition as B.F. Grant WMA. </w:t>
      </w:r>
      <w:r w:rsidRPr="000C5474">
        <w:rPr>
          <w:rFonts w:ascii="Times New Roman" w:hAnsi="Times New Roman"/>
          <w:sz w:val="24"/>
        </w:rPr>
        <w:t>For a detailed description of site conditions</w:t>
      </w:r>
      <w:r>
        <w:rPr>
          <w:rFonts w:ascii="Times New Roman" w:hAnsi="Times New Roman"/>
          <w:sz w:val="24"/>
        </w:rPr>
        <w:t xml:space="preserve"> </w:t>
      </w:r>
      <w:r w:rsidRPr="000C5474">
        <w:rPr>
          <w:rFonts w:ascii="Times New Roman" w:hAnsi="Times New Roman"/>
          <w:sz w:val="24"/>
        </w:rPr>
        <w:t>see W</w:t>
      </w:r>
      <w:r>
        <w:rPr>
          <w:rFonts w:ascii="Times New Roman" w:hAnsi="Times New Roman"/>
          <w:sz w:val="24"/>
        </w:rPr>
        <w:t>akefield</w:t>
      </w:r>
      <w:r w:rsidRPr="000C5474">
        <w:rPr>
          <w:rFonts w:ascii="Times New Roman" w:hAnsi="Times New Roman"/>
          <w:sz w:val="24"/>
        </w:rPr>
        <w:t xml:space="preserve"> et al. (20</w:t>
      </w:r>
      <w:r>
        <w:rPr>
          <w:rFonts w:ascii="Times New Roman" w:hAnsi="Times New Roman"/>
          <w:sz w:val="24"/>
        </w:rPr>
        <w:t>20</w:t>
      </w:r>
      <w:r w:rsidRPr="000C5474">
        <w:rPr>
          <w:rFonts w:ascii="Times New Roman" w:hAnsi="Times New Roman"/>
          <w:sz w:val="24"/>
        </w:rPr>
        <w:t>).</w:t>
      </w:r>
    </w:p>
    <w:p w14:paraId="2F904BFC" w14:textId="77777777" w:rsidR="00510EE9" w:rsidRDefault="00510EE9" w:rsidP="00510EE9">
      <w:pPr>
        <w:spacing w:after="0" w:line="480" w:lineRule="auto"/>
        <w:ind w:firstLine="720"/>
        <w:rPr>
          <w:rFonts w:ascii="Times New Roman" w:hAnsi="Times New Roman"/>
          <w:sz w:val="24"/>
        </w:rPr>
      </w:pPr>
      <w:r w:rsidRPr="00740B92">
        <w:rPr>
          <w:rFonts w:ascii="Times New Roman" w:eastAsia="Calibri" w:hAnsi="Times New Roman" w:cs="Times New Roman"/>
          <w:sz w:val="24"/>
        </w:rPr>
        <w:t xml:space="preserve">We conducted research on 3 contiguous WMAs (Webb, Hamilton Ridge, and </w:t>
      </w:r>
      <w:proofErr w:type="spellStart"/>
      <w:r w:rsidRPr="00740B92">
        <w:rPr>
          <w:rFonts w:ascii="Times New Roman" w:eastAsia="Calibri" w:hAnsi="Times New Roman" w:cs="Times New Roman"/>
          <w:sz w:val="24"/>
        </w:rPr>
        <w:t>Palachucola</w:t>
      </w:r>
      <w:proofErr w:type="spellEnd"/>
      <w:r w:rsidRPr="00740B92">
        <w:rPr>
          <w:rFonts w:ascii="Times New Roman" w:eastAsia="Calibri" w:hAnsi="Times New Roman" w:cs="Times New Roman"/>
          <w:sz w:val="24"/>
        </w:rPr>
        <w:t>; hereafter, Webb WMA Complex</w:t>
      </w:r>
      <w:r>
        <w:rPr>
          <w:rFonts w:ascii="Times New Roman" w:eastAsia="Calibri" w:hAnsi="Times New Roman" w:cs="Times New Roman"/>
          <w:sz w:val="24"/>
        </w:rPr>
        <w:t>; January 2014-August 2018</w:t>
      </w:r>
      <w:r w:rsidRPr="00740B92">
        <w:rPr>
          <w:rFonts w:ascii="Times New Roman" w:eastAsia="Calibri" w:hAnsi="Times New Roman" w:cs="Times New Roman"/>
          <w:sz w:val="24"/>
        </w:rPr>
        <w:t xml:space="preserve">) </w:t>
      </w:r>
      <w:r>
        <w:rPr>
          <w:rFonts w:ascii="Times New Roman" w:eastAsia="Calibri" w:hAnsi="Times New Roman" w:cs="Times New Roman"/>
          <w:sz w:val="24"/>
        </w:rPr>
        <w:t xml:space="preserve">and the Savanah River Site (hereafter, SRS; January 2021-March 2021) </w:t>
      </w:r>
      <w:r w:rsidRPr="00740B92">
        <w:rPr>
          <w:rFonts w:ascii="Times New Roman" w:eastAsia="Calibri" w:hAnsi="Times New Roman" w:cs="Times New Roman"/>
          <w:sz w:val="24"/>
        </w:rPr>
        <w:t xml:space="preserve">in South Carolina. </w:t>
      </w:r>
      <w:r w:rsidRPr="000C5474">
        <w:rPr>
          <w:rFonts w:ascii="Times New Roman" w:hAnsi="Times New Roman"/>
          <w:sz w:val="24"/>
        </w:rPr>
        <w:t xml:space="preserve">The Webb WMA Complex </w:t>
      </w:r>
      <w:r>
        <w:rPr>
          <w:rFonts w:ascii="Times New Roman" w:hAnsi="Times New Roman"/>
          <w:sz w:val="24"/>
        </w:rPr>
        <w:t>wa</w:t>
      </w:r>
      <w:r w:rsidRPr="000C5474">
        <w:rPr>
          <w:rFonts w:ascii="Times New Roman" w:hAnsi="Times New Roman"/>
          <w:sz w:val="24"/>
        </w:rPr>
        <w:t xml:space="preserve">s owned and managed by the South Carolina Department of Natural Resources (SCDNR). The Webb WMA Complex </w:t>
      </w:r>
      <w:r>
        <w:rPr>
          <w:rFonts w:ascii="Times New Roman" w:hAnsi="Times New Roman"/>
          <w:sz w:val="24"/>
        </w:rPr>
        <w:t>was</w:t>
      </w:r>
      <w:r w:rsidRPr="000C5474">
        <w:rPr>
          <w:rFonts w:ascii="Times New Roman" w:hAnsi="Times New Roman"/>
          <w:sz w:val="24"/>
        </w:rPr>
        <w:t xml:space="preserve"> dominated by longleaf, loblolly, and slash pine forests with hardwood stands along riparian corridors, and expanses of bottomland hardwood wetlands. The SRS </w:t>
      </w:r>
      <w:r>
        <w:rPr>
          <w:rFonts w:ascii="Times New Roman" w:hAnsi="Times New Roman"/>
          <w:sz w:val="24"/>
        </w:rPr>
        <w:t>wa</w:t>
      </w:r>
      <w:r w:rsidRPr="000C5474">
        <w:rPr>
          <w:rFonts w:ascii="Times New Roman" w:hAnsi="Times New Roman"/>
          <w:sz w:val="24"/>
        </w:rPr>
        <w:t>s owned by the United States Department of Energy</w:t>
      </w:r>
      <w:r>
        <w:rPr>
          <w:rFonts w:ascii="Times New Roman" w:hAnsi="Times New Roman"/>
          <w:sz w:val="24"/>
        </w:rPr>
        <w:t xml:space="preserve"> and managed by USFS</w:t>
      </w:r>
      <w:r w:rsidRPr="000C5474">
        <w:rPr>
          <w:rFonts w:ascii="Times New Roman" w:hAnsi="Times New Roman"/>
          <w:sz w:val="24"/>
        </w:rPr>
        <w:t xml:space="preserve">. The SRS </w:t>
      </w:r>
      <w:r>
        <w:rPr>
          <w:rFonts w:ascii="Times New Roman" w:hAnsi="Times New Roman"/>
          <w:sz w:val="24"/>
        </w:rPr>
        <w:t>wa</w:t>
      </w:r>
      <w:r w:rsidRPr="000C5474">
        <w:rPr>
          <w:rFonts w:ascii="Times New Roman" w:hAnsi="Times New Roman"/>
          <w:sz w:val="24"/>
        </w:rPr>
        <w:t>s primarily forested and consist</w:t>
      </w:r>
      <w:r>
        <w:rPr>
          <w:rFonts w:ascii="Times New Roman" w:hAnsi="Times New Roman"/>
          <w:sz w:val="24"/>
        </w:rPr>
        <w:t>ed</w:t>
      </w:r>
      <w:r w:rsidRPr="000C5474">
        <w:rPr>
          <w:rFonts w:ascii="Times New Roman" w:hAnsi="Times New Roman"/>
          <w:sz w:val="24"/>
        </w:rPr>
        <w:t xml:space="preserve"> of bottomland hardwoods, mixed-pine </w:t>
      </w:r>
      <w:r w:rsidRPr="000C5474">
        <w:rPr>
          <w:rFonts w:ascii="Times New Roman" w:hAnsi="Times New Roman"/>
          <w:sz w:val="24"/>
        </w:rPr>
        <w:lastRenderedPageBreak/>
        <w:t>hardwoods, and planted stands of longleaf pine, loblolly pine and slash pine. For a detailed description of site conditions see Wightman et al. (201</w:t>
      </w:r>
      <w:r>
        <w:rPr>
          <w:rFonts w:ascii="Times New Roman" w:hAnsi="Times New Roman"/>
          <w:sz w:val="24"/>
        </w:rPr>
        <w:t>9</w:t>
      </w:r>
      <w:r w:rsidRPr="000C5474">
        <w:rPr>
          <w:rFonts w:ascii="Times New Roman" w:hAnsi="Times New Roman"/>
          <w:sz w:val="24"/>
        </w:rPr>
        <w:t>).</w:t>
      </w:r>
    </w:p>
    <w:p w14:paraId="4DBFBC2B" w14:textId="77777777" w:rsidR="00510EE9" w:rsidRDefault="00510EE9" w:rsidP="00510EE9">
      <w:pPr>
        <w:spacing w:after="0" w:line="480" w:lineRule="auto"/>
        <w:rPr>
          <w:rFonts w:ascii="Times New Roman" w:hAnsi="Times New Roman"/>
          <w:b/>
          <w:sz w:val="24"/>
        </w:rPr>
      </w:pPr>
      <w:r w:rsidRPr="00510EE9">
        <w:rPr>
          <w:rFonts w:ascii="Times New Roman" w:hAnsi="Times New Roman"/>
          <w:b/>
          <w:sz w:val="24"/>
        </w:rPr>
        <w:t>Literature Cited</w:t>
      </w:r>
    </w:p>
    <w:p w14:paraId="4FA28B3F" w14:textId="77777777" w:rsidR="00510EE9" w:rsidRDefault="00510EE9" w:rsidP="00510EE9">
      <w:pPr>
        <w:spacing w:after="0" w:line="480" w:lineRule="auto"/>
        <w:rPr>
          <w:rFonts w:ascii="Times New Roman" w:hAnsi="Times New Roman" w:cs="Times New Roman"/>
          <w:sz w:val="24"/>
          <w:szCs w:val="24"/>
        </w:rPr>
      </w:pPr>
      <w:r w:rsidRPr="00A42C56">
        <w:rPr>
          <w:rFonts w:ascii="Times New Roman" w:hAnsi="Times New Roman" w:cs="Times New Roman"/>
          <w:sz w:val="24"/>
          <w:szCs w:val="24"/>
        </w:rPr>
        <w:t xml:space="preserve">Wakefield, C.T., Martin, J.A., Wightman, P.H., Bond, B.T., Lowrey, D.K., Cohen, B.S., Collier, </w:t>
      </w:r>
      <w:r w:rsidRPr="00A42C56">
        <w:rPr>
          <w:rFonts w:ascii="Times New Roman" w:hAnsi="Times New Roman" w:cs="Times New Roman"/>
          <w:sz w:val="24"/>
          <w:szCs w:val="24"/>
        </w:rPr>
        <w:tab/>
        <w:t xml:space="preserve">B.A. &amp; Chamberlain, M.J. (2020). Hunting activity effects on roost selection by male </w:t>
      </w:r>
      <w:r w:rsidRPr="00A42C56">
        <w:rPr>
          <w:rFonts w:ascii="Times New Roman" w:hAnsi="Times New Roman" w:cs="Times New Roman"/>
          <w:sz w:val="24"/>
          <w:szCs w:val="24"/>
        </w:rPr>
        <w:tab/>
        <w:t xml:space="preserve">wild turkeys. </w:t>
      </w:r>
      <w:r w:rsidRPr="00A42C56">
        <w:rPr>
          <w:rFonts w:ascii="Times New Roman" w:hAnsi="Times New Roman" w:cs="Times New Roman"/>
          <w:i/>
          <w:iCs/>
          <w:sz w:val="24"/>
          <w:szCs w:val="24"/>
        </w:rPr>
        <w:t>Journal of Wildlife Management,</w:t>
      </w:r>
      <w:r w:rsidRPr="00A42C56">
        <w:rPr>
          <w:rFonts w:ascii="Times New Roman" w:hAnsi="Times New Roman" w:cs="Times New Roman"/>
          <w:sz w:val="24"/>
          <w:szCs w:val="24"/>
        </w:rPr>
        <w:t xml:space="preserve"> </w:t>
      </w:r>
      <w:r w:rsidRPr="00A42C56">
        <w:rPr>
          <w:rFonts w:ascii="Times New Roman" w:hAnsi="Times New Roman" w:cs="Times New Roman"/>
          <w:b/>
          <w:bCs/>
          <w:sz w:val="24"/>
          <w:szCs w:val="24"/>
        </w:rPr>
        <w:t>84</w:t>
      </w:r>
      <w:r w:rsidRPr="00A42C56">
        <w:rPr>
          <w:rFonts w:ascii="Times New Roman" w:hAnsi="Times New Roman" w:cs="Times New Roman"/>
          <w:bCs/>
          <w:sz w:val="24"/>
          <w:szCs w:val="24"/>
        </w:rPr>
        <w:t>(3),</w:t>
      </w:r>
      <w:r w:rsidRPr="00A42C56">
        <w:rPr>
          <w:rFonts w:ascii="Times New Roman" w:hAnsi="Times New Roman" w:cs="Times New Roman"/>
          <w:sz w:val="24"/>
          <w:szCs w:val="24"/>
        </w:rPr>
        <w:t xml:space="preserve"> 458-467.</w:t>
      </w:r>
    </w:p>
    <w:p w14:paraId="29C4D09F" w14:textId="77777777" w:rsidR="00510EE9" w:rsidRDefault="00510EE9" w:rsidP="00510EE9">
      <w:pPr>
        <w:spacing w:after="0" w:line="480" w:lineRule="auto"/>
        <w:rPr>
          <w:rFonts w:ascii="Times New Roman" w:hAnsi="Times New Roman" w:cs="Times New Roman"/>
          <w:sz w:val="24"/>
          <w:szCs w:val="24"/>
        </w:rPr>
      </w:pPr>
      <w:r w:rsidRPr="00213DB9">
        <w:rPr>
          <w:rFonts w:ascii="Times New Roman" w:hAnsi="Times New Roman" w:cs="Times New Roman"/>
          <w:sz w:val="24"/>
          <w:szCs w:val="24"/>
        </w:rPr>
        <w:t xml:space="preserve">Wightman, P.H., </w:t>
      </w:r>
      <w:proofErr w:type="spellStart"/>
      <w:r w:rsidRPr="00213DB9">
        <w:rPr>
          <w:rFonts w:ascii="Times New Roman" w:hAnsi="Times New Roman" w:cs="Times New Roman"/>
          <w:sz w:val="24"/>
          <w:szCs w:val="24"/>
        </w:rPr>
        <w:t>Kilgo</w:t>
      </w:r>
      <w:proofErr w:type="spellEnd"/>
      <w:r w:rsidRPr="00213DB9">
        <w:rPr>
          <w:rFonts w:ascii="Times New Roman" w:hAnsi="Times New Roman" w:cs="Times New Roman"/>
          <w:sz w:val="24"/>
          <w:szCs w:val="24"/>
        </w:rPr>
        <w:t xml:space="preserve">, J.C., </w:t>
      </w:r>
      <w:proofErr w:type="spellStart"/>
      <w:r w:rsidRPr="00213DB9">
        <w:rPr>
          <w:rFonts w:ascii="Times New Roman" w:hAnsi="Times New Roman" w:cs="Times New Roman"/>
          <w:sz w:val="24"/>
          <w:szCs w:val="24"/>
        </w:rPr>
        <w:t>Vukovich</w:t>
      </w:r>
      <w:proofErr w:type="spellEnd"/>
      <w:r w:rsidRPr="00213DB9">
        <w:rPr>
          <w:rFonts w:ascii="Times New Roman" w:hAnsi="Times New Roman" w:cs="Times New Roman"/>
          <w:sz w:val="24"/>
          <w:szCs w:val="24"/>
        </w:rPr>
        <w:t xml:space="preserve">, M., Cantrell, J.R., Ruth, C.R., Cohen, B.S., </w:t>
      </w:r>
      <w:r>
        <w:rPr>
          <w:rFonts w:ascii="Times New Roman" w:hAnsi="Times New Roman" w:cs="Times New Roman"/>
          <w:sz w:val="24"/>
          <w:szCs w:val="24"/>
        </w:rPr>
        <w:tab/>
      </w:r>
      <w:r w:rsidRPr="00213DB9">
        <w:rPr>
          <w:rFonts w:ascii="Times New Roman" w:hAnsi="Times New Roman" w:cs="Times New Roman"/>
          <w:sz w:val="24"/>
          <w:szCs w:val="24"/>
        </w:rPr>
        <w:t xml:space="preserve">Chamberlain, M.J. </w:t>
      </w:r>
      <w:r>
        <w:rPr>
          <w:rFonts w:ascii="Times New Roman" w:hAnsi="Times New Roman" w:cs="Times New Roman"/>
          <w:sz w:val="24"/>
          <w:szCs w:val="24"/>
        </w:rPr>
        <w:t>&amp;</w:t>
      </w:r>
      <w:r w:rsidRPr="00213DB9">
        <w:rPr>
          <w:rFonts w:ascii="Times New Roman" w:hAnsi="Times New Roman" w:cs="Times New Roman"/>
          <w:sz w:val="24"/>
          <w:szCs w:val="24"/>
        </w:rPr>
        <w:t xml:space="preserve"> Collier, B.A.</w:t>
      </w:r>
      <w:r>
        <w:rPr>
          <w:rFonts w:ascii="Times New Roman" w:hAnsi="Times New Roman" w:cs="Times New Roman"/>
          <w:sz w:val="24"/>
          <w:szCs w:val="24"/>
        </w:rPr>
        <w:t xml:space="preserve"> (</w:t>
      </w:r>
      <w:r w:rsidRPr="00213DB9">
        <w:rPr>
          <w:rFonts w:ascii="Times New Roman" w:hAnsi="Times New Roman" w:cs="Times New Roman"/>
          <w:sz w:val="24"/>
          <w:szCs w:val="24"/>
        </w:rPr>
        <w:t>2019</w:t>
      </w:r>
      <w:r>
        <w:rPr>
          <w:rFonts w:ascii="Times New Roman" w:hAnsi="Times New Roman" w:cs="Times New Roman"/>
          <w:sz w:val="24"/>
          <w:szCs w:val="24"/>
        </w:rPr>
        <w:t>)</w:t>
      </w:r>
      <w:r w:rsidRPr="00213DB9">
        <w:rPr>
          <w:rFonts w:ascii="Times New Roman" w:hAnsi="Times New Roman" w:cs="Times New Roman"/>
          <w:sz w:val="24"/>
          <w:szCs w:val="24"/>
        </w:rPr>
        <w:t xml:space="preserve">. Gobbling chronology of eastern wild turkeys </w:t>
      </w:r>
      <w:r>
        <w:rPr>
          <w:rFonts w:ascii="Times New Roman" w:hAnsi="Times New Roman" w:cs="Times New Roman"/>
          <w:sz w:val="24"/>
          <w:szCs w:val="24"/>
        </w:rPr>
        <w:tab/>
      </w:r>
      <w:r w:rsidRPr="00213DB9">
        <w:rPr>
          <w:rFonts w:ascii="Times New Roman" w:hAnsi="Times New Roman" w:cs="Times New Roman"/>
          <w:sz w:val="24"/>
          <w:szCs w:val="24"/>
        </w:rPr>
        <w:t xml:space="preserve">in South Carolina. </w:t>
      </w:r>
      <w:r w:rsidRPr="00213DB9">
        <w:rPr>
          <w:rFonts w:ascii="Times New Roman" w:hAnsi="Times New Roman" w:cs="Times New Roman"/>
          <w:i/>
          <w:iCs/>
          <w:sz w:val="24"/>
          <w:szCs w:val="24"/>
        </w:rPr>
        <w:t>Journal of Wildlife Management</w:t>
      </w:r>
      <w:r w:rsidRPr="00213DB9">
        <w:rPr>
          <w:rFonts w:ascii="Times New Roman" w:hAnsi="Times New Roman" w:cs="Times New Roman"/>
          <w:sz w:val="24"/>
          <w:szCs w:val="24"/>
        </w:rPr>
        <w:t xml:space="preserve">, </w:t>
      </w:r>
      <w:r w:rsidRPr="00213DB9">
        <w:rPr>
          <w:rFonts w:ascii="Times New Roman" w:hAnsi="Times New Roman" w:cs="Times New Roman"/>
          <w:b/>
          <w:bCs/>
          <w:sz w:val="24"/>
          <w:szCs w:val="24"/>
        </w:rPr>
        <w:t>83</w:t>
      </w:r>
      <w:r w:rsidRPr="00213DB9">
        <w:rPr>
          <w:rFonts w:ascii="Times New Roman" w:hAnsi="Times New Roman" w:cs="Times New Roman"/>
          <w:sz w:val="24"/>
          <w:szCs w:val="24"/>
        </w:rPr>
        <w:t>(2), 325-333.</w:t>
      </w:r>
    </w:p>
    <w:p w14:paraId="7E842A57" w14:textId="77777777" w:rsidR="00510EE9" w:rsidRDefault="00510EE9" w:rsidP="00510EE9">
      <w:pPr>
        <w:spacing w:after="0" w:line="480" w:lineRule="auto"/>
        <w:rPr>
          <w:rFonts w:ascii="Times New Roman" w:hAnsi="Times New Roman" w:cs="Times New Roman"/>
          <w:sz w:val="24"/>
          <w:szCs w:val="24"/>
        </w:rPr>
      </w:pPr>
      <w:r w:rsidRPr="00A42C56">
        <w:rPr>
          <w:rFonts w:ascii="Times New Roman" w:hAnsi="Times New Roman" w:cs="Times New Roman"/>
          <w:sz w:val="24"/>
          <w:szCs w:val="24"/>
        </w:rPr>
        <w:t xml:space="preserve">Wood, J.D., Cohen, B.S., Conner, L.M., Collier, B.A. &amp; Chamberlain, M.J. (2019). Nest and </w:t>
      </w:r>
      <w:r w:rsidRPr="00A42C56">
        <w:rPr>
          <w:rFonts w:ascii="Times New Roman" w:hAnsi="Times New Roman" w:cs="Times New Roman"/>
          <w:sz w:val="24"/>
          <w:szCs w:val="24"/>
        </w:rPr>
        <w:tab/>
        <w:t xml:space="preserve">brood site selection of eastern wild turkeys. </w:t>
      </w:r>
      <w:r w:rsidRPr="00A42C56">
        <w:rPr>
          <w:rFonts w:ascii="Times New Roman" w:hAnsi="Times New Roman" w:cs="Times New Roman"/>
          <w:i/>
          <w:iCs/>
          <w:sz w:val="24"/>
          <w:szCs w:val="24"/>
        </w:rPr>
        <w:t>Journal of Wildlife Management,</w:t>
      </w:r>
      <w:r w:rsidRPr="00A42C56">
        <w:rPr>
          <w:rFonts w:ascii="Times New Roman" w:hAnsi="Times New Roman" w:cs="Times New Roman"/>
          <w:sz w:val="24"/>
          <w:szCs w:val="24"/>
        </w:rPr>
        <w:t xml:space="preserve"> </w:t>
      </w:r>
      <w:r w:rsidRPr="00A42C56">
        <w:rPr>
          <w:rFonts w:ascii="Times New Roman" w:hAnsi="Times New Roman" w:cs="Times New Roman"/>
          <w:b/>
          <w:bCs/>
          <w:sz w:val="24"/>
          <w:szCs w:val="24"/>
        </w:rPr>
        <w:t>83</w:t>
      </w:r>
      <w:r w:rsidRPr="00A42C56">
        <w:rPr>
          <w:rFonts w:ascii="Times New Roman" w:hAnsi="Times New Roman" w:cs="Times New Roman"/>
          <w:bCs/>
          <w:sz w:val="24"/>
          <w:szCs w:val="24"/>
        </w:rPr>
        <w:t>(1),</w:t>
      </w:r>
      <w:r w:rsidRPr="00A42C56">
        <w:rPr>
          <w:rFonts w:ascii="Times New Roman" w:hAnsi="Times New Roman" w:cs="Times New Roman"/>
          <w:sz w:val="24"/>
          <w:szCs w:val="24"/>
        </w:rPr>
        <w:t xml:space="preserve"> 192-</w:t>
      </w:r>
      <w:r w:rsidRPr="00A42C56">
        <w:rPr>
          <w:rFonts w:ascii="Times New Roman" w:hAnsi="Times New Roman" w:cs="Times New Roman"/>
          <w:sz w:val="24"/>
          <w:szCs w:val="24"/>
        </w:rPr>
        <w:tab/>
        <w:t>204.</w:t>
      </w:r>
    </w:p>
    <w:p w14:paraId="2F594FDB" w14:textId="77777777" w:rsidR="00510EE9" w:rsidRPr="00A42C56" w:rsidRDefault="00510EE9" w:rsidP="00510EE9">
      <w:pPr>
        <w:spacing w:after="0" w:line="480" w:lineRule="auto"/>
        <w:rPr>
          <w:rFonts w:ascii="Times New Roman" w:hAnsi="Times New Roman" w:cs="Times New Roman"/>
          <w:sz w:val="24"/>
          <w:szCs w:val="24"/>
        </w:rPr>
      </w:pPr>
      <w:proofErr w:type="spellStart"/>
      <w:r w:rsidRPr="00A42C56">
        <w:rPr>
          <w:rFonts w:ascii="Times New Roman" w:hAnsi="Times New Roman" w:cs="Times New Roman"/>
          <w:sz w:val="24"/>
          <w:szCs w:val="24"/>
        </w:rPr>
        <w:t>Yeldell</w:t>
      </w:r>
      <w:proofErr w:type="spellEnd"/>
      <w:r w:rsidRPr="00A42C56">
        <w:rPr>
          <w:rFonts w:ascii="Times New Roman" w:hAnsi="Times New Roman" w:cs="Times New Roman"/>
          <w:sz w:val="24"/>
          <w:szCs w:val="24"/>
        </w:rPr>
        <w:t xml:space="preserve">, N.A., Cohen, B.S., Little, A.R., Collier, B.A. &amp; Chamberlain, M.J. (2017). Nest site </w:t>
      </w:r>
      <w:r w:rsidRPr="00A42C56">
        <w:rPr>
          <w:rFonts w:ascii="Times New Roman" w:hAnsi="Times New Roman" w:cs="Times New Roman"/>
          <w:sz w:val="24"/>
          <w:szCs w:val="24"/>
        </w:rPr>
        <w:tab/>
        <w:t xml:space="preserve">selection and nest survival of eastern wild turkeys in a pyric landscape. </w:t>
      </w:r>
      <w:r w:rsidRPr="00A42C56">
        <w:rPr>
          <w:rFonts w:ascii="Times New Roman" w:hAnsi="Times New Roman" w:cs="Times New Roman"/>
          <w:i/>
          <w:iCs/>
          <w:sz w:val="24"/>
          <w:szCs w:val="24"/>
        </w:rPr>
        <w:t xml:space="preserve">Journal of </w:t>
      </w:r>
      <w:r w:rsidRPr="00A42C56">
        <w:rPr>
          <w:rFonts w:ascii="Times New Roman" w:hAnsi="Times New Roman" w:cs="Times New Roman"/>
          <w:i/>
          <w:iCs/>
          <w:sz w:val="24"/>
          <w:szCs w:val="24"/>
        </w:rPr>
        <w:tab/>
        <w:t>Wildlife Management,</w:t>
      </w:r>
      <w:r w:rsidRPr="00A42C56">
        <w:rPr>
          <w:rFonts w:ascii="Times New Roman" w:hAnsi="Times New Roman" w:cs="Times New Roman"/>
          <w:sz w:val="24"/>
          <w:szCs w:val="24"/>
        </w:rPr>
        <w:t xml:space="preserve"> </w:t>
      </w:r>
      <w:r w:rsidRPr="00A42C56">
        <w:rPr>
          <w:rFonts w:ascii="Times New Roman" w:hAnsi="Times New Roman" w:cs="Times New Roman"/>
          <w:b/>
          <w:bCs/>
          <w:sz w:val="24"/>
          <w:szCs w:val="24"/>
        </w:rPr>
        <w:t>81</w:t>
      </w:r>
      <w:r w:rsidRPr="00A42C56">
        <w:rPr>
          <w:rFonts w:ascii="Times New Roman" w:hAnsi="Times New Roman" w:cs="Times New Roman"/>
          <w:bCs/>
          <w:sz w:val="24"/>
          <w:szCs w:val="24"/>
        </w:rPr>
        <w:t>(6),</w:t>
      </w:r>
      <w:r w:rsidRPr="00A42C56">
        <w:rPr>
          <w:rFonts w:ascii="Times New Roman" w:hAnsi="Times New Roman" w:cs="Times New Roman"/>
          <w:sz w:val="24"/>
          <w:szCs w:val="24"/>
        </w:rPr>
        <w:t xml:space="preserve"> 1073-1083.</w:t>
      </w:r>
    </w:p>
    <w:p w14:paraId="10594EF7" w14:textId="77777777" w:rsidR="00510EE9" w:rsidRPr="00A42C56" w:rsidRDefault="00510EE9" w:rsidP="00510EE9">
      <w:pPr>
        <w:spacing w:after="0" w:line="480" w:lineRule="auto"/>
        <w:rPr>
          <w:rFonts w:ascii="Times New Roman" w:hAnsi="Times New Roman" w:cs="Times New Roman"/>
          <w:sz w:val="24"/>
          <w:szCs w:val="24"/>
        </w:rPr>
      </w:pPr>
      <w:proofErr w:type="spellStart"/>
      <w:r w:rsidRPr="00A42C56">
        <w:rPr>
          <w:rFonts w:ascii="Times New Roman" w:hAnsi="Times New Roman" w:cs="Times New Roman"/>
          <w:sz w:val="24"/>
          <w:szCs w:val="24"/>
        </w:rPr>
        <w:t>Yeldell</w:t>
      </w:r>
      <w:proofErr w:type="spellEnd"/>
      <w:r w:rsidRPr="00A42C56">
        <w:rPr>
          <w:rFonts w:ascii="Times New Roman" w:hAnsi="Times New Roman" w:cs="Times New Roman"/>
          <w:sz w:val="24"/>
          <w:szCs w:val="24"/>
        </w:rPr>
        <w:t xml:space="preserve">, N.A., Cohen, B.S., </w:t>
      </w:r>
      <w:proofErr w:type="spellStart"/>
      <w:r w:rsidRPr="00A42C56">
        <w:rPr>
          <w:rFonts w:ascii="Times New Roman" w:hAnsi="Times New Roman" w:cs="Times New Roman"/>
          <w:sz w:val="24"/>
          <w:szCs w:val="24"/>
        </w:rPr>
        <w:t>Prebyl</w:t>
      </w:r>
      <w:proofErr w:type="spellEnd"/>
      <w:r w:rsidRPr="00A42C56">
        <w:rPr>
          <w:rFonts w:ascii="Times New Roman" w:hAnsi="Times New Roman" w:cs="Times New Roman"/>
          <w:sz w:val="24"/>
          <w:szCs w:val="24"/>
        </w:rPr>
        <w:t xml:space="preserve">, T.J., Collier, B.A. &amp; Chamberlain, M.J. (2017). Prescribed </w:t>
      </w:r>
      <w:r w:rsidRPr="00A42C56">
        <w:rPr>
          <w:rFonts w:ascii="Times New Roman" w:hAnsi="Times New Roman" w:cs="Times New Roman"/>
          <w:sz w:val="24"/>
          <w:szCs w:val="24"/>
        </w:rPr>
        <w:tab/>
        <w:t xml:space="preserve">fire influences habitat selection of female eastern wild turkeys. </w:t>
      </w:r>
      <w:r w:rsidRPr="00A42C56">
        <w:rPr>
          <w:rFonts w:ascii="Times New Roman" w:hAnsi="Times New Roman" w:cs="Times New Roman"/>
          <w:i/>
          <w:iCs/>
          <w:sz w:val="24"/>
          <w:szCs w:val="24"/>
        </w:rPr>
        <w:t xml:space="preserve">Journal of Wildlife </w:t>
      </w:r>
      <w:r w:rsidRPr="00A42C56">
        <w:rPr>
          <w:rFonts w:ascii="Times New Roman" w:hAnsi="Times New Roman" w:cs="Times New Roman"/>
          <w:i/>
          <w:iCs/>
          <w:sz w:val="24"/>
          <w:szCs w:val="24"/>
        </w:rPr>
        <w:tab/>
        <w:t>Management,</w:t>
      </w:r>
      <w:r w:rsidRPr="00A42C56">
        <w:rPr>
          <w:rFonts w:ascii="Times New Roman" w:hAnsi="Times New Roman" w:cs="Times New Roman"/>
          <w:sz w:val="24"/>
          <w:szCs w:val="24"/>
        </w:rPr>
        <w:t xml:space="preserve"> </w:t>
      </w:r>
      <w:r w:rsidRPr="00A42C56">
        <w:rPr>
          <w:rFonts w:ascii="Times New Roman" w:hAnsi="Times New Roman" w:cs="Times New Roman"/>
          <w:b/>
          <w:bCs/>
          <w:sz w:val="24"/>
          <w:szCs w:val="24"/>
        </w:rPr>
        <w:t>81</w:t>
      </w:r>
      <w:r w:rsidRPr="00A42C56">
        <w:rPr>
          <w:rFonts w:ascii="Times New Roman" w:hAnsi="Times New Roman" w:cs="Times New Roman"/>
          <w:bCs/>
          <w:sz w:val="24"/>
          <w:szCs w:val="24"/>
        </w:rPr>
        <w:t>(7),</w:t>
      </w:r>
      <w:r w:rsidRPr="00A42C56">
        <w:rPr>
          <w:rFonts w:ascii="Times New Roman" w:hAnsi="Times New Roman" w:cs="Times New Roman"/>
          <w:sz w:val="24"/>
          <w:szCs w:val="24"/>
        </w:rPr>
        <w:t xml:space="preserve"> 1287-1297.</w:t>
      </w:r>
    </w:p>
    <w:p w14:paraId="4D371B5E" w14:textId="77777777" w:rsidR="00510EE9" w:rsidRPr="00A42C56" w:rsidRDefault="00510EE9" w:rsidP="00510EE9">
      <w:pPr>
        <w:spacing w:after="0" w:line="480" w:lineRule="auto"/>
        <w:rPr>
          <w:rFonts w:ascii="Times New Roman" w:hAnsi="Times New Roman" w:cs="Times New Roman"/>
          <w:sz w:val="24"/>
          <w:szCs w:val="24"/>
        </w:rPr>
      </w:pPr>
    </w:p>
    <w:p w14:paraId="5621C37B" w14:textId="77777777" w:rsidR="00510EE9" w:rsidRPr="00510EE9" w:rsidRDefault="00510EE9" w:rsidP="00510EE9">
      <w:pPr>
        <w:spacing w:line="480" w:lineRule="auto"/>
        <w:rPr>
          <w:rFonts w:ascii="Times New Roman" w:hAnsi="Times New Roman"/>
          <w:b/>
          <w:sz w:val="24"/>
        </w:rPr>
      </w:pPr>
    </w:p>
    <w:sectPr w:rsidR="00510EE9" w:rsidRPr="00510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E9"/>
    <w:rsid w:val="00133896"/>
    <w:rsid w:val="00510EE9"/>
    <w:rsid w:val="009E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1BF6"/>
  <w15:chartTrackingRefBased/>
  <w15:docId w15:val="{7DDC4026-4D7C-44C0-9705-3FD59E6F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EE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510EE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Warnell School of Forestry and Natural Resources</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Nick Bakner</cp:lastModifiedBy>
  <cp:revision>2</cp:revision>
  <dcterms:created xsi:type="dcterms:W3CDTF">2023-03-27T17:13:00Z</dcterms:created>
  <dcterms:modified xsi:type="dcterms:W3CDTF">2023-03-28T17:51:00Z</dcterms:modified>
</cp:coreProperties>
</file>