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74BDFA" w14:textId="77777777" w:rsidR="00A35093" w:rsidRDefault="00A35093" w:rsidP="00A35093">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Extended data figures &amp; legends </w:t>
      </w:r>
    </w:p>
    <w:p w14:paraId="71A8F7EF" w14:textId="77777777" w:rsidR="00A35093" w:rsidRDefault="00A35093" w:rsidP="00A35093">
      <w:pPr>
        <w:spacing w:line="360" w:lineRule="auto"/>
        <w:jc w:val="both"/>
        <w:rPr>
          <w:rFonts w:ascii="Times New Roman" w:eastAsia="Times New Roman" w:hAnsi="Times New Roman" w:cs="Times New Roman"/>
          <w:b/>
        </w:rPr>
      </w:pPr>
      <w:r>
        <w:rPr>
          <w:rFonts w:ascii="Times New Roman" w:eastAsia="Times New Roman" w:hAnsi="Times New Roman" w:cs="Times New Roman"/>
          <w:b/>
        </w:rPr>
        <w:t>Extended data table 1. Data collection and refinement statistics (molecular replacement) for Pcobs</w:t>
      </w:r>
    </w:p>
    <w:tbl>
      <w:tblPr>
        <w:tblW w:w="8130" w:type="dxa"/>
        <w:tblBorders>
          <w:top w:val="single" w:sz="12" w:space="0" w:color="008000"/>
          <w:left w:val="nil"/>
          <w:bottom w:val="single" w:sz="12" w:space="0" w:color="008000"/>
          <w:right w:val="nil"/>
          <w:insideH w:val="nil"/>
          <w:insideV w:val="nil"/>
        </w:tblBorders>
        <w:tblLayout w:type="fixed"/>
        <w:tblLook w:val="0000" w:firstRow="0" w:lastRow="0" w:firstColumn="0" w:lastColumn="0" w:noHBand="0" w:noVBand="0"/>
      </w:tblPr>
      <w:tblGrid>
        <w:gridCol w:w="2969"/>
        <w:gridCol w:w="1999"/>
        <w:gridCol w:w="1581"/>
        <w:gridCol w:w="1581"/>
      </w:tblGrid>
      <w:tr w:rsidR="00A35093" w14:paraId="243C4607" w14:textId="77777777" w:rsidTr="006E596E">
        <w:tc>
          <w:tcPr>
            <w:tcW w:w="2969" w:type="dxa"/>
            <w:tcBorders>
              <w:bottom w:val="single" w:sz="6" w:space="0" w:color="008000"/>
            </w:tcBorders>
          </w:tcPr>
          <w:p w14:paraId="7A3C8B6D" w14:textId="77777777" w:rsidR="00A35093" w:rsidRDefault="00A35093" w:rsidP="006E596E">
            <w:pPr>
              <w:rPr>
                <w:rFonts w:ascii="Times New Roman" w:eastAsia="Times New Roman" w:hAnsi="Times New Roman" w:cs="Times New Roman"/>
                <w:sz w:val="20"/>
                <w:szCs w:val="20"/>
              </w:rPr>
            </w:pPr>
          </w:p>
        </w:tc>
        <w:tc>
          <w:tcPr>
            <w:tcW w:w="1999" w:type="dxa"/>
            <w:tcBorders>
              <w:bottom w:val="single" w:sz="6" w:space="0" w:color="008000"/>
            </w:tcBorders>
          </w:tcPr>
          <w:p w14:paraId="7FBDBB52"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i/>
                <w:sz w:val="20"/>
                <w:szCs w:val="20"/>
              </w:rPr>
              <w:t>Ab</w:t>
            </w:r>
            <w:r>
              <w:rPr>
                <w:rFonts w:ascii="Times New Roman" w:eastAsia="Times New Roman" w:hAnsi="Times New Roman" w:cs="Times New Roman"/>
                <w:sz w:val="20"/>
                <w:szCs w:val="20"/>
              </w:rPr>
              <w:t>Pcob dark</w:t>
            </w:r>
          </w:p>
          <w:p w14:paraId="2CC83A31"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(8J2Y)</w:t>
            </w:r>
          </w:p>
        </w:tc>
        <w:tc>
          <w:tcPr>
            <w:tcW w:w="1581" w:type="dxa"/>
            <w:tcBorders>
              <w:bottom w:val="single" w:sz="6" w:space="0" w:color="008000"/>
            </w:tcBorders>
          </w:tcPr>
          <w:p w14:paraId="186D37F4"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i/>
                <w:sz w:val="20"/>
                <w:szCs w:val="20"/>
              </w:rPr>
              <w:t>Sas</w:t>
            </w:r>
            <w:r>
              <w:rPr>
                <w:rFonts w:ascii="Times New Roman" w:eastAsia="Times New Roman" w:hAnsi="Times New Roman" w:cs="Times New Roman"/>
                <w:sz w:val="20"/>
                <w:szCs w:val="20"/>
              </w:rPr>
              <w:t>Pcob dark</w:t>
            </w:r>
          </w:p>
          <w:p w14:paraId="3108506D"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(8J2W)</w:t>
            </w:r>
          </w:p>
        </w:tc>
        <w:tc>
          <w:tcPr>
            <w:tcW w:w="1581" w:type="dxa"/>
            <w:tcBorders>
              <w:bottom w:val="single" w:sz="6" w:space="0" w:color="008000"/>
            </w:tcBorders>
          </w:tcPr>
          <w:p w14:paraId="270235B3"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i/>
                <w:sz w:val="20"/>
                <w:szCs w:val="20"/>
              </w:rPr>
              <w:t>Sas</w:t>
            </w:r>
            <w:r>
              <w:rPr>
                <w:rFonts w:ascii="Times New Roman" w:eastAsia="Times New Roman" w:hAnsi="Times New Roman" w:cs="Times New Roman"/>
                <w:sz w:val="20"/>
                <w:szCs w:val="20"/>
              </w:rPr>
              <w:t>Pcob light</w:t>
            </w:r>
          </w:p>
          <w:p w14:paraId="1AD2CE2D"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(8J2X)</w:t>
            </w:r>
          </w:p>
        </w:tc>
      </w:tr>
      <w:tr w:rsidR="00A35093" w14:paraId="48BD21AA" w14:textId="77777777" w:rsidTr="006E596E">
        <w:tc>
          <w:tcPr>
            <w:tcW w:w="2969" w:type="dxa"/>
            <w:tcBorders>
              <w:top w:val="single" w:sz="6" w:space="0" w:color="008000"/>
            </w:tcBorders>
          </w:tcPr>
          <w:p w14:paraId="37573E6E" w14:textId="77777777" w:rsidR="00A35093" w:rsidRDefault="00A35093" w:rsidP="006E596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Data collection</w:t>
            </w:r>
          </w:p>
        </w:tc>
        <w:tc>
          <w:tcPr>
            <w:tcW w:w="1999" w:type="dxa"/>
            <w:tcBorders>
              <w:top w:val="single" w:sz="6" w:space="0" w:color="008000"/>
            </w:tcBorders>
          </w:tcPr>
          <w:p w14:paraId="2902CB2B" w14:textId="77777777" w:rsidR="00A35093" w:rsidRDefault="00A35093" w:rsidP="006E596E">
            <w:pPr>
              <w:rPr>
                <w:rFonts w:ascii="Times New Roman" w:eastAsia="Times New Roman" w:hAnsi="Times New Roman" w:cs="Times New Roman"/>
                <w:sz w:val="20"/>
                <w:szCs w:val="20"/>
              </w:rPr>
            </w:pPr>
          </w:p>
        </w:tc>
        <w:tc>
          <w:tcPr>
            <w:tcW w:w="1581" w:type="dxa"/>
            <w:tcBorders>
              <w:top w:val="single" w:sz="6" w:space="0" w:color="008000"/>
            </w:tcBorders>
          </w:tcPr>
          <w:p w14:paraId="6B38F5DA" w14:textId="77777777" w:rsidR="00A35093" w:rsidRDefault="00A35093" w:rsidP="006E596E">
            <w:pPr>
              <w:rPr>
                <w:rFonts w:ascii="Times New Roman" w:eastAsia="Times New Roman" w:hAnsi="Times New Roman" w:cs="Times New Roman"/>
                <w:sz w:val="20"/>
                <w:szCs w:val="20"/>
              </w:rPr>
            </w:pPr>
          </w:p>
        </w:tc>
        <w:tc>
          <w:tcPr>
            <w:tcW w:w="1581" w:type="dxa"/>
            <w:tcBorders>
              <w:top w:val="single" w:sz="6" w:space="0" w:color="008000"/>
            </w:tcBorders>
          </w:tcPr>
          <w:p w14:paraId="033CA61C" w14:textId="77777777" w:rsidR="00A35093" w:rsidRDefault="00A35093" w:rsidP="006E596E">
            <w:pPr>
              <w:rPr>
                <w:rFonts w:ascii="Times New Roman" w:eastAsia="Times New Roman" w:hAnsi="Times New Roman" w:cs="Times New Roman"/>
                <w:sz w:val="20"/>
                <w:szCs w:val="20"/>
              </w:rPr>
            </w:pPr>
          </w:p>
        </w:tc>
      </w:tr>
      <w:tr w:rsidR="00A35093" w14:paraId="7BEC2262" w14:textId="77777777" w:rsidTr="006E596E">
        <w:tc>
          <w:tcPr>
            <w:tcW w:w="2969" w:type="dxa"/>
          </w:tcPr>
          <w:p w14:paraId="1AC15805"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Space group</w:t>
            </w:r>
          </w:p>
        </w:tc>
        <w:tc>
          <w:tcPr>
            <w:tcW w:w="1999" w:type="dxa"/>
          </w:tcPr>
          <w:p w14:paraId="065A7975"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C 2 2 21</w:t>
            </w:r>
          </w:p>
        </w:tc>
        <w:tc>
          <w:tcPr>
            <w:tcW w:w="1581" w:type="dxa"/>
          </w:tcPr>
          <w:p w14:paraId="57F23579"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C 1 2 1</w:t>
            </w:r>
          </w:p>
        </w:tc>
        <w:tc>
          <w:tcPr>
            <w:tcW w:w="1581" w:type="dxa"/>
          </w:tcPr>
          <w:p w14:paraId="01FA571A"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P 32 2 1</w:t>
            </w:r>
          </w:p>
        </w:tc>
      </w:tr>
      <w:tr w:rsidR="00A35093" w14:paraId="0DE8ACD6" w14:textId="77777777" w:rsidTr="006E596E">
        <w:tc>
          <w:tcPr>
            <w:tcW w:w="2969" w:type="dxa"/>
          </w:tcPr>
          <w:p w14:paraId="2CF014AC"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Cell dimensions</w:t>
            </w:r>
            <w:r>
              <w:rPr>
                <w:rFonts w:ascii="Noto Sans Symbols" w:eastAsia="Noto Sans Symbols" w:hAnsi="Noto Sans Symbols" w:cs="Noto Sans Symbols"/>
                <w:sz w:val="20"/>
                <w:szCs w:val="20"/>
              </w:rPr>
              <w:t xml:space="preserve">  </w:t>
            </w:r>
          </w:p>
        </w:tc>
        <w:tc>
          <w:tcPr>
            <w:tcW w:w="1999" w:type="dxa"/>
          </w:tcPr>
          <w:p w14:paraId="1155D9D6" w14:textId="77777777" w:rsidR="00A35093" w:rsidRDefault="00A35093" w:rsidP="006E596E">
            <w:pPr>
              <w:rPr>
                <w:rFonts w:ascii="Times New Roman" w:eastAsia="Times New Roman" w:hAnsi="Times New Roman" w:cs="Times New Roman"/>
                <w:sz w:val="20"/>
                <w:szCs w:val="20"/>
              </w:rPr>
            </w:pPr>
          </w:p>
        </w:tc>
        <w:tc>
          <w:tcPr>
            <w:tcW w:w="1581" w:type="dxa"/>
          </w:tcPr>
          <w:p w14:paraId="2592A7EF" w14:textId="77777777" w:rsidR="00A35093" w:rsidRDefault="00A35093" w:rsidP="006E596E">
            <w:pPr>
              <w:rPr>
                <w:rFonts w:ascii="Times New Roman" w:eastAsia="Times New Roman" w:hAnsi="Times New Roman" w:cs="Times New Roman"/>
                <w:sz w:val="20"/>
                <w:szCs w:val="20"/>
              </w:rPr>
            </w:pPr>
          </w:p>
        </w:tc>
        <w:tc>
          <w:tcPr>
            <w:tcW w:w="1581" w:type="dxa"/>
          </w:tcPr>
          <w:p w14:paraId="0641305A" w14:textId="77777777" w:rsidR="00A35093" w:rsidRDefault="00A35093" w:rsidP="006E596E">
            <w:pPr>
              <w:rPr>
                <w:rFonts w:ascii="Times New Roman" w:eastAsia="Times New Roman" w:hAnsi="Times New Roman" w:cs="Times New Roman"/>
                <w:sz w:val="20"/>
                <w:szCs w:val="20"/>
              </w:rPr>
            </w:pPr>
          </w:p>
        </w:tc>
      </w:tr>
      <w:tr w:rsidR="00A35093" w14:paraId="68C2B8ED" w14:textId="77777777" w:rsidTr="006E596E">
        <w:tc>
          <w:tcPr>
            <w:tcW w:w="2969" w:type="dxa"/>
          </w:tcPr>
          <w:p w14:paraId="323B53CD" w14:textId="77777777" w:rsidR="00A35093" w:rsidRDefault="00A35093" w:rsidP="006E596E">
            <w:pPr>
              <w:rPr>
                <w:rFonts w:ascii="Noto Sans Symbols" w:eastAsia="Noto Sans Symbols" w:hAnsi="Noto Sans Symbols" w:cs="Noto Sans Symbols"/>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a</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b</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c</w:t>
            </w:r>
            <w:r>
              <w:rPr>
                <w:rFonts w:ascii="Times New Roman" w:eastAsia="Times New Roman" w:hAnsi="Times New Roman" w:cs="Times New Roman"/>
                <w:sz w:val="20"/>
                <w:szCs w:val="20"/>
              </w:rPr>
              <w:t xml:space="preserve"> (Å)</w:t>
            </w:r>
          </w:p>
        </w:tc>
        <w:tc>
          <w:tcPr>
            <w:tcW w:w="1999" w:type="dxa"/>
          </w:tcPr>
          <w:p w14:paraId="290AB2F2"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108.773 125.836 124.63</w:t>
            </w:r>
          </w:p>
        </w:tc>
        <w:tc>
          <w:tcPr>
            <w:tcW w:w="1581" w:type="dxa"/>
          </w:tcPr>
          <w:p w14:paraId="1A7FAEBB"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132.111 97.5389 72.6624</w:t>
            </w:r>
          </w:p>
        </w:tc>
        <w:tc>
          <w:tcPr>
            <w:tcW w:w="1581" w:type="dxa"/>
          </w:tcPr>
          <w:p w14:paraId="2F5EF3FB"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109.667 109.667 98.0743</w:t>
            </w:r>
          </w:p>
        </w:tc>
      </w:tr>
      <w:tr w:rsidR="00A35093" w14:paraId="501C82EC" w14:textId="77777777" w:rsidTr="006E596E">
        <w:tc>
          <w:tcPr>
            <w:tcW w:w="2969" w:type="dxa"/>
            <w:tcBorders>
              <w:top w:val="nil"/>
              <w:left w:val="nil"/>
              <w:bottom w:val="nil"/>
              <w:right w:val="nil"/>
            </w:tcBorders>
          </w:tcPr>
          <w:p w14:paraId="113D46A6" w14:textId="77777777" w:rsidR="00A35093" w:rsidRDefault="00A35093" w:rsidP="006E596E">
            <w:pPr>
              <w:rPr>
                <w:rFonts w:ascii="Times New Roman" w:eastAsia="Times New Roman" w:hAnsi="Times New Roman" w:cs="Times New Roman"/>
                <w:sz w:val="20"/>
                <w:szCs w:val="20"/>
              </w:rPr>
            </w:pPr>
            <w:r>
              <w:rPr>
                <w:rFonts w:ascii="Noto Sans Symbols" w:eastAsia="Noto Sans Symbols" w:hAnsi="Noto Sans Symbols" w:cs="Noto Sans Symbols"/>
                <w:sz w:val="20"/>
                <w:szCs w:val="20"/>
              </w:rPr>
              <w:t xml:space="preserve">    α, β, γ </w:t>
            </w:r>
            <w:r>
              <w:rPr>
                <w:rFonts w:ascii="Times New Roman" w:eastAsia="Times New Roman" w:hAnsi="Times New Roman" w:cs="Times New Roman"/>
                <w:sz w:val="20"/>
                <w:szCs w:val="20"/>
              </w:rPr>
              <w:t>(</w:t>
            </w:r>
            <w:r>
              <w:rPr>
                <w:rFonts w:ascii="Symbol" w:eastAsia="Symbol" w:hAnsi="Symbol" w:cs="Symbol"/>
                <w:sz w:val="20"/>
                <w:szCs w:val="20"/>
              </w:rPr>
              <w:t>°</w:t>
            </w:r>
            <w:r>
              <w:rPr>
                <w:rFonts w:ascii="Times New Roman" w:eastAsia="Times New Roman" w:hAnsi="Times New Roman" w:cs="Times New Roman"/>
                <w:sz w:val="20"/>
                <w:szCs w:val="20"/>
              </w:rPr>
              <w:t xml:space="preserve">) </w:t>
            </w:r>
          </w:p>
        </w:tc>
        <w:tc>
          <w:tcPr>
            <w:tcW w:w="1999" w:type="dxa"/>
            <w:tcBorders>
              <w:top w:val="nil"/>
              <w:left w:val="nil"/>
              <w:bottom w:val="nil"/>
              <w:right w:val="nil"/>
            </w:tcBorders>
          </w:tcPr>
          <w:p w14:paraId="76CC0D04"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90 90 90</w:t>
            </w:r>
          </w:p>
        </w:tc>
        <w:tc>
          <w:tcPr>
            <w:tcW w:w="1581" w:type="dxa"/>
            <w:tcBorders>
              <w:top w:val="nil"/>
              <w:left w:val="nil"/>
              <w:bottom w:val="nil"/>
              <w:right w:val="nil"/>
            </w:tcBorders>
          </w:tcPr>
          <w:p w14:paraId="0D1C53EF"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90 116.716 90</w:t>
            </w:r>
          </w:p>
        </w:tc>
        <w:tc>
          <w:tcPr>
            <w:tcW w:w="1581" w:type="dxa"/>
            <w:tcBorders>
              <w:top w:val="nil"/>
              <w:left w:val="nil"/>
              <w:bottom w:val="nil"/>
              <w:right w:val="nil"/>
            </w:tcBorders>
          </w:tcPr>
          <w:p w14:paraId="12CCA682"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90 90 120</w:t>
            </w:r>
          </w:p>
        </w:tc>
      </w:tr>
      <w:tr w:rsidR="00A35093" w14:paraId="62CF4907" w14:textId="77777777" w:rsidTr="006E596E">
        <w:tc>
          <w:tcPr>
            <w:tcW w:w="2969" w:type="dxa"/>
            <w:tcBorders>
              <w:top w:val="nil"/>
            </w:tcBorders>
          </w:tcPr>
          <w:p w14:paraId="70D76C53"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Resolution (Å)</w:t>
            </w:r>
          </w:p>
        </w:tc>
        <w:tc>
          <w:tcPr>
            <w:tcW w:w="1999" w:type="dxa"/>
            <w:tcBorders>
              <w:top w:val="nil"/>
            </w:tcBorders>
          </w:tcPr>
          <w:p w14:paraId="1363AF21"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44.31 - 2.3 (2.382 - 2.3)</w:t>
            </w:r>
          </w:p>
        </w:tc>
        <w:tc>
          <w:tcPr>
            <w:tcW w:w="1581" w:type="dxa"/>
            <w:tcBorders>
              <w:top w:val="nil"/>
            </w:tcBorders>
          </w:tcPr>
          <w:p w14:paraId="72424BF1"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75.18 – 1.70 (1.73 - 170)</w:t>
            </w:r>
          </w:p>
        </w:tc>
        <w:tc>
          <w:tcPr>
            <w:tcW w:w="1581" w:type="dxa"/>
            <w:tcBorders>
              <w:top w:val="nil"/>
            </w:tcBorders>
          </w:tcPr>
          <w:p w14:paraId="74685D46"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95.16 - 1.98 (2.051 - 1.98)</w:t>
            </w:r>
          </w:p>
        </w:tc>
      </w:tr>
      <w:tr w:rsidR="00A35093" w14:paraId="46A4855B" w14:textId="77777777" w:rsidTr="006E596E">
        <w:tc>
          <w:tcPr>
            <w:tcW w:w="2969" w:type="dxa"/>
          </w:tcPr>
          <w:p w14:paraId="45318276"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i/>
                <w:sz w:val="20"/>
                <w:szCs w:val="20"/>
              </w:rPr>
              <w:t>R</w:t>
            </w:r>
            <w:r>
              <w:rPr>
                <w:rFonts w:ascii="Times New Roman" w:eastAsia="Times New Roman" w:hAnsi="Times New Roman" w:cs="Times New Roman"/>
                <w:sz w:val="20"/>
                <w:szCs w:val="20"/>
                <w:vertAlign w:val="subscript"/>
              </w:rPr>
              <w:t>merge</w:t>
            </w:r>
          </w:p>
        </w:tc>
        <w:tc>
          <w:tcPr>
            <w:tcW w:w="1999" w:type="dxa"/>
          </w:tcPr>
          <w:p w14:paraId="1766B872"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0.1766 0.9439)</w:t>
            </w:r>
          </w:p>
        </w:tc>
        <w:tc>
          <w:tcPr>
            <w:tcW w:w="1581" w:type="dxa"/>
          </w:tcPr>
          <w:p w14:paraId="5ABE9D24"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0.0765 (0.8162)</w:t>
            </w:r>
          </w:p>
        </w:tc>
        <w:tc>
          <w:tcPr>
            <w:tcW w:w="1581" w:type="dxa"/>
          </w:tcPr>
          <w:p w14:paraId="5D9F62F7"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0.07186 (2.404)</w:t>
            </w:r>
          </w:p>
        </w:tc>
      </w:tr>
      <w:tr w:rsidR="00A35093" w14:paraId="6C29F607" w14:textId="77777777" w:rsidTr="006E596E">
        <w:tc>
          <w:tcPr>
            <w:tcW w:w="2969" w:type="dxa"/>
          </w:tcPr>
          <w:p w14:paraId="309CD5EB"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I </w:t>
            </w:r>
            <w:r>
              <w:rPr>
                <w:rFonts w:ascii="Times New Roman" w:eastAsia="Times New Roman" w:hAnsi="Times New Roman" w:cs="Times New Roman"/>
                <w:sz w:val="20"/>
                <w:szCs w:val="20"/>
              </w:rPr>
              <w:t xml:space="preserve">/ </w:t>
            </w:r>
            <w:r>
              <w:rPr>
                <w:rFonts w:ascii="Noto Sans Symbols" w:eastAsia="Noto Sans Symbols" w:hAnsi="Noto Sans Symbols" w:cs="Noto Sans Symbols"/>
                <w:sz w:val="20"/>
                <w:szCs w:val="20"/>
              </w:rPr>
              <w:t>σ</w:t>
            </w:r>
            <w:r>
              <w:rPr>
                <w:rFonts w:ascii="Times New Roman" w:eastAsia="Times New Roman" w:hAnsi="Times New Roman" w:cs="Times New Roman"/>
                <w:i/>
                <w:sz w:val="20"/>
                <w:szCs w:val="20"/>
              </w:rPr>
              <w:t>I</w:t>
            </w:r>
          </w:p>
        </w:tc>
        <w:tc>
          <w:tcPr>
            <w:tcW w:w="1999" w:type="dxa"/>
          </w:tcPr>
          <w:p w14:paraId="0BC75464"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6.95 (0.94)</w:t>
            </w:r>
          </w:p>
        </w:tc>
        <w:tc>
          <w:tcPr>
            <w:tcW w:w="1581" w:type="dxa"/>
          </w:tcPr>
          <w:p w14:paraId="78FD46C2"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15.0 (1.1)</w:t>
            </w:r>
          </w:p>
        </w:tc>
        <w:tc>
          <w:tcPr>
            <w:tcW w:w="1581" w:type="dxa"/>
          </w:tcPr>
          <w:p w14:paraId="279076CA"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20.64 (0.67)</w:t>
            </w:r>
          </w:p>
        </w:tc>
      </w:tr>
      <w:tr w:rsidR="00A35093" w14:paraId="4C3487E7" w14:textId="77777777" w:rsidTr="006E596E">
        <w:tc>
          <w:tcPr>
            <w:tcW w:w="2969" w:type="dxa"/>
          </w:tcPr>
          <w:p w14:paraId="20D051CC"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Completeness (%)</w:t>
            </w:r>
          </w:p>
        </w:tc>
        <w:tc>
          <w:tcPr>
            <w:tcW w:w="1999" w:type="dxa"/>
          </w:tcPr>
          <w:p w14:paraId="72DEBE45"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99.86 (99.79)</w:t>
            </w:r>
          </w:p>
        </w:tc>
        <w:tc>
          <w:tcPr>
            <w:tcW w:w="1581" w:type="dxa"/>
          </w:tcPr>
          <w:p w14:paraId="663661FD"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99.8 (95.9)</w:t>
            </w:r>
          </w:p>
        </w:tc>
        <w:tc>
          <w:tcPr>
            <w:tcW w:w="1581" w:type="dxa"/>
          </w:tcPr>
          <w:p w14:paraId="4F5A09BD"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99.92 (99.79)</w:t>
            </w:r>
          </w:p>
        </w:tc>
      </w:tr>
      <w:tr w:rsidR="00A35093" w14:paraId="21B32D88" w14:textId="77777777" w:rsidTr="006E596E">
        <w:tc>
          <w:tcPr>
            <w:tcW w:w="2969" w:type="dxa"/>
          </w:tcPr>
          <w:p w14:paraId="164E8682"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Redundancy</w:t>
            </w:r>
          </w:p>
        </w:tc>
        <w:tc>
          <w:tcPr>
            <w:tcW w:w="1999" w:type="dxa"/>
          </w:tcPr>
          <w:p w14:paraId="5D8AD7AE"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13.7 (13.3)</w:t>
            </w:r>
          </w:p>
        </w:tc>
        <w:tc>
          <w:tcPr>
            <w:tcW w:w="1581" w:type="dxa"/>
          </w:tcPr>
          <w:p w14:paraId="32811FBA"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6.9 (5.6)</w:t>
            </w:r>
          </w:p>
        </w:tc>
        <w:tc>
          <w:tcPr>
            <w:tcW w:w="1581" w:type="dxa"/>
          </w:tcPr>
          <w:p w14:paraId="1EAB0388"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20.6 (20.5)</w:t>
            </w:r>
          </w:p>
        </w:tc>
      </w:tr>
      <w:tr w:rsidR="00A35093" w14:paraId="0121B711" w14:textId="77777777" w:rsidTr="006E596E">
        <w:tc>
          <w:tcPr>
            <w:tcW w:w="2969" w:type="dxa"/>
          </w:tcPr>
          <w:p w14:paraId="71E68BED" w14:textId="77777777" w:rsidR="00A35093" w:rsidRDefault="00A35093" w:rsidP="006E596E">
            <w:pPr>
              <w:rPr>
                <w:rFonts w:ascii="Times New Roman" w:eastAsia="Times New Roman" w:hAnsi="Times New Roman" w:cs="Times New Roman"/>
                <w:b/>
                <w:i/>
                <w:sz w:val="20"/>
                <w:szCs w:val="20"/>
              </w:rPr>
            </w:pPr>
          </w:p>
        </w:tc>
        <w:tc>
          <w:tcPr>
            <w:tcW w:w="1999" w:type="dxa"/>
          </w:tcPr>
          <w:p w14:paraId="3492F4EA" w14:textId="77777777" w:rsidR="00A35093" w:rsidRDefault="00A35093" w:rsidP="006E596E">
            <w:pPr>
              <w:rPr>
                <w:rFonts w:ascii="Times New Roman" w:eastAsia="Times New Roman" w:hAnsi="Times New Roman" w:cs="Times New Roman"/>
                <w:sz w:val="20"/>
                <w:szCs w:val="20"/>
              </w:rPr>
            </w:pPr>
          </w:p>
        </w:tc>
        <w:tc>
          <w:tcPr>
            <w:tcW w:w="1581" w:type="dxa"/>
          </w:tcPr>
          <w:p w14:paraId="04CA8B8E" w14:textId="77777777" w:rsidR="00A35093" w:rsidRDefault="00A35093" w:rsidP="006E596E">
            <w:pPr>
              <w:rPr>
                <w:rFonts w:ascii="Times New Roman" w:eastAsia="Times New Roman" w:hAnsi="Times New Roman" w:cs="Times New Roman"/>
                <w:sz w:val="20"/>
                <w:szCs w:val="20"/>
              </w:rPr>
            </w:pPr>
          </w:p>
        </w:tc>
        <w:tc>
          <w:tcPr>
            <w:tcW w:w="1581" w:type="dxa"/>
          </w:tcPr>
          <w:p w14:paraId="69587231" w14:textId="77777777" w:rsidR="00A35093" w:rsidRDefault="00A35093" w:rsidP="006E596E">
            <w:pPr>
              <w:rPr>
                <w:rFonts w:ascii="Times New Roman" w:eastAsia="Times New Roman" w:hAnsi="Times New Roman" w:cs="Times New Roman"/>
                <w:sz w:val="20"/>
                <w:szCs w:val="20"/>
              </w:rPr>
            </w:pPr>
          </w:p>
        </w:tc>
      </w:tr>
      <w:tr w:rsidR="00A35093" w14:paraId="1FC53B32" w14:textId="77777777" w:rsidTr="006E596E">
        <w:tc>
          <w:tcPr>
            <w:tcW w:w="2969" w:type="dxa"/>
          </w:tcPr>
          <w:p w14:paraId="0578C4EC" w14:textId="77777777" w:rsidR="00A35093" w:rsidRDefault="00A35093" w:rsidP="006E596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Refinement</w:t>
            </w:r>
          </w:p>
        </w:tc>
        <w:tc>
          <w:tcPr>
            <w:tcW w:w="1999" w:type="dxa"/>
          </w:tcPr>
          <w:p w14:paraId="052738A1" w14:textId="77777777" w:rsidR="00A35093" w:rsidRDefault="00A35093" w:rsidP="006E596E">
            <w:pPr>
              <w:rPr>
                <w:rFonts w:ascii="Times New Roman" w:eastAsia="Times New Roman" w:hAnsi="Times New Roman" w:cs="Times New Roman"/>
                <w:sz w:val="20"/>
                <w:szCs w:val="20"/>
              </w:rPr>
            </w:pPr>
          </w:p>
        </w:tc>
        <w:tc>
          <w:tcPr>
            <w:tcW w:w="1581" w:type="dxa"/>
          </w:tcPr>
          <w:p w14:paraId="4CB41B83" w14:textId="77777777" w:rsidR="00A35093" w:rsidRDefault="00A35093" w:rsidP="006E596E">
            <w:pPr>
              <w:rPr>
                <w:rFonts w:ascii="Times New Roman" w:eastAsia="Times New Roman" w:hAnsi="Times New Roman" w:cs="Times New Roman"/>
                <w:sz w:val="20"/>
                <w:szCs w:val="20"/>
              </w:rPr>
            </w:pPr>
          </w:p>
        </w:tc>
        <w:tc>
          <w:tcPr>
            <w:tcW w:w="1581" w:type="dxa"/>
          </w:tcPr>
          <w:p w14:paraId="349052CC" w14:textId="77777777" w:rsidR="00A35093" w:rsidRDefault="00A35093" w:rsidP="006E596E">
            <w:pPr>
              <w:rPr>
                <w:rFonts w:ascii="Times New Roman" w:eastAsia="Times New Roman" w:hAnsi="Times New Roman" w:cs="Times New Roman"/>
                <w:sz w:val="20"/>
                <w:szCs w:val="20"/>
              </w:rPr>
            </w:pPr>
          </w:p>
        </w:tc>
      </w:tr>
      <w:tr w:rsidR="00A35093" w14:paraId="32F41050" w14:textId="77777777" w:rsidTr="006E596E">
        <w:tc>
          <w:tcPr>
            <w:tcW w:w="2969" w:type="dxa"/>
          </w:tcPr>
          <w:p w14:paraId="6C7CB3E5"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Resolution (Å)</w:t>
            </w:r>
          </w:p>
        </w:tc>
        <w:tc>
          <w:tcPr>
            <w:tcW w:w="1999" w:type="dxa"/>
          </w:tcPr>
          <w:p w14:paraId="070E4404"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44.31 - 2.3 (2.36 - 2.30)</w:t>
            </w:r>
          </w:p>
        </w:tc>
        <w:tc>
          <w:tcPr>
            <w:tcW w:w="1581" w:type="dxa"/>
          </w:tcPr>
          <w:p w14:paraId="49540F9D"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75.18 - 1.699 (1.74 – 1.70)</w:t>
            </w:r>
          </w:p>
        </w:tc>
        <w:tc>
          <w:tcPr>
            <w:tcW w:w="1581" w:type="dxa"/>
          </w:tcPr>
          <w:p w14:paraId="38E7E2C9"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94.97 - 1.98 (2.03 - 1.98)</w:t>
            </w:r>
          </w:p>
        </w:tc>
      </w:tr>
      <w:tr w:rsidR="00A35093" w14:paraId="571E17EE" w14:textId="77777777" w:rsidTr="006E596E">
        <w:tc>
          <w:tcPr>
            <w:tcW w:w="2969" w:type="dxa"/>
          </w:tcPr>
          <w:p w14:paraId="582297FD"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No. reflections</w:t>
            </w:r>
          </w:p>
        </w:tc>
        <w:tc>
          <w:tcPr>
            <w:tcW w:w="1999" w:type="dxa"/>
          </w:tcPr>
          <w:p w14:paraId="422DB753"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36278 (2610)</w:t>
            </w:r>
          </w:p>
        </w:tc>
        <w:tc>
          <w:tcPr>
            <w:tcW w:w="1581" w:type="dxa"/>
          </w:tcPr>
          <w:p w14:paraId="6EDED300"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85824(6228)</w:t>
            </w:r>
          </w:p>
        </w:tc>
        <w:tc>
          <w:tcPr>
            <w:tcW w:w="1581" w:type="dxa"/>
          </w:tcPr>
          <w:p w14:paraId="75519DC2"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45541 (3314)</w:t>
            </w:r>
          </w:p>
        </w:tc>
      </w:tr>
      <w:tr w:rsidR="00A35093" w14:paraId="017E0303" w14:textId="77777777" w:rsidTr="006E596E">
        <w:tc>
          <w:tcPr>
            <w:tcW w:w="2969" w:type="dxa"/>
          </w:tcPr>
          <w:p w14:paraId="3888FA6D"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i/>
                <w:sz w:val="20"/>
                <w:szCs w:val="20"/>
              </w:rPr>
              <w:t>R</w:t>
            </w:r>
            <w:r>
              <w:rPr>
                <w:rFonts w:ascii="Times New Roman" w:eastAsia="Times New Roman" w:hAnsi="Times New Roman" w:cs="Times New Roman"/>
                <w:sz w:val="20"/>
                <w:szCs w:val="20"/>
                <w:vertAlign w:val="subscript"/>
              </w:rPr>
              <w:t>work</w:t>
            </w:r>
            <w:r>
              <w:rPr>
                <w:rFonts w:ascii="Times New Roman" w:eastAsia="Times New Roman" w:hAnsi="Times New Roman" w:cs="Times New Roman"/>
                <w:sz w:val="20"/>
                <w:szCs w:val="20"/>
              </w:rPr>
              <w:t xml:space="preserve"> / </w:t>
            </w:r>
            <w:r>
              <w:rPr>
                <w:rFonts w:ascii="Times New Roman" w:eastAsia="Times New Roman" w:hAnsi="Times New Roman" w:cs="Times New Roman"/>
                <w:i/>
                <w:sz w:val="20"/>
                <w:szCs w:val="20"/>
              </w:rPr>
              <w:t>R</w:t>
            </w:r>
            <w:r>
              <w:rPr>
                <w:rFonts w:ascii="Times New Roman" w:eastAsia="Times New Roman" w:hAnsi="Times New Roman" w:cs="Times New Roman"/>
                <w:sz w:val="20"/>
                <w:szCs w:val="20"/>
                <w:vertAlign w:val="subscript"/>
              </w:rPr>
              <w:t>free</w:t>
            </w:r>
          </w:p>
        </w:tc>
        <w:tc>
          <w:tcPr>
            <w:tcW w:w="1999" w:type="dxa"/>
          </w:tcPr>
          <w:p w14:paraId="79FBEFD3"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0.2094/0.2366</w:t>
            </w:r>
          </w:p>
        </w:tc>
        <w:tc>
          <w:tcPr>
            <w:tcW w:w="1581" w:type="dxa"/>
          </w:tcPr>
          <w:p w14:paraId="512C75C0"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0.1829/0.2118</w:t>
            </w:r>
          </w:p>
        </w:tc>
        <w:tc>
          <w:tcPr>
            <w:tcW w:w="1581" w:type="dxa"/>
          </w:tcPr>
          <w:p w14:paraId="31AE2995"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0.1832/0.2003</w:t>
            </w:r>
          </w:p>
        </w:tc>
      </w:tr>
      <w:tr w:rsidR="00A35093" w14:paraId="5C9142CC" w14:textId="77777777" w:rsidTr="006E596E">
        <w:tc>
          <w:tcPr>
            <w:tcW w:w="2969" w:type="dxa"/>
          </w:tcPr>
          <w:p w14:paraId="5A464150"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No. atoms</w:t>
            </w:r>
          </w:p>
        </w:tc>
        <w:tc>
          <w:tcPr>
            <w:tcW w:w="1999" w:type="dxa"/>
          </w:tcPr>
          <w:p w14:paraId="54446EE2" w14:textId="77777777" w:rsidR="00A35093" w:rsidRDefault="00A35093" w:rsidP="006E596E">
            <w:pPr>
              <w:rPr>
                <w:rFonts w:ascii="Times New Roman" w:eastAsia="Times New Roman" w:hAnsi="Times New Roman" w:cs="Times New Roman"/>
                <w:sz w:val="20"/>
                <w:szCs w:val="20"/>
              </w:rPr>
            </w:pPr>
          </w:p>
        </w:tc>
        <w:tc>
          <w:tcPr>
            <w:tcW w:w="1581" w:type="dxa"/>
          </w:tcPr>
          <w:p w14:paraId="605EAAB8" w14:textId="77777777" w:rsidR="00A35093" w:rsidRDefault="00A35093" w:rsidP="006E596E">
            <w:pPr>
              <w:rPr>
                <w:rFonts w:ascii="Times New Roman" w:eastAsia="Times New Roman" w:hAnsi="Times New Roman" w:cs="Times New Roman"/>
                <w:sz w:val="20"/>
                <w:szCs w:val="20"/>
              </w:rPr>
            </w:pPr>
          </w:p>
        </w:tc>
        <w:tc>
          <w:tcPr>
            <w:tcW w:w="1581" w:type="dxa"/>
          </w:tcPr>
          <w:p w14:paraId="2AC82DC9" w14:textId="77777777" w:rsidR="00A35093" w:rsidRDefault="00A35093" w:rsidP="006E596E">
            <w:pPr>
              <w:rPr>
                <w:rFonts w:ascii="Times New Roman" w:eastAsia="Times New Roman" w:hAnsi="Times New Roman" w:cs="Times New Roman"/>
                <w:sz w:val="20"/>
                <w:szCs w:val="20"/>
              </w:rPr>
            </w:pPr>
          </w:p>
        </w:tc>
      </w:tr>
      <w:tr w:rsidR="00A35093" w14:paraId="6F3FC57B" w14:textId="77777777" w:rsidTr="006E596E">
        <w:tc>
          <w:tcPr>
            <w:tcW w:w="2969" w:type="dxa"/>
          </w:tcPr>
          <w:p w14:paraId="4BBC7096"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Protein</w:t>
            </w:r>
          </w:p>
        </w:tc>
        <w:tc>
          <w:tcPr>
            <w:tcW w:w="1999" w:type="dxa"/>
          </w:tcPr>
          <w:p w14:paraId="17381A96"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4902</w:t>
            </w:r>
          </w:p>
        </w:tc>
        <w:tc>
          <w:tcPr>
            <w:tcW w:w="1581" w:type="dxa"/>
          </w:tcPr>
          <w:p w14:paraId="5E60BC24"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4997</w:t>
            </w:r>
          </w:p>
        </w:tc>
        <w:tc>
          <w:tcPr>
            <w:tcW w:w="1581" w:type="dxa"/>
          </w:tcPr>
          <w:p w14:paraId="401E8E24"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2568</w:t>
            </w:r>
          </w:p>
        </w:tc>
      </w:tr>
      <w:tr w:rsidR="00A35093" w14:paraId="4A8739BA" w14:textId="77777777" w:rsidTr="006E596E">
        <w:tc>
          <w:tcPr>
            <w:tcW w:w="2969" w:type="dxa"/>
          </w:tcPr>
          <w:p w14:paraId="7C87E7AE"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Ligand/ion</w:t>
            </w:r>
          </w:p>
        </w:tc>
        <w:tc>
          <w:tcPr>
            <w:tcW w:w="1999" w:type="dxa"/>
          </w:tcPr>
          <w:p w14:paraId="04D002EA"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231</w:t>
            </w:r>
          </w:p>
        </w:tc>
        <w:tc>
          <w:tcPr>
            <w:tcW w:w="1581" w:type="dxa"/>
          </w:tcPr>
          <w:p w14:paraId="3B0C727F"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336</w:t>
            </w:r>
          </w:p>
        </w:tc>
        <w:tc>
          <w:tcPr>
            <w:tcW w:w="1581" w:type="dxa"/>
          </w:tcPr>
          <w:p w14:paraId="67914169"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141</w:t>
            </w:r>
          </w:p>
        </w:tc>
      </w:tr>
      <w:tr w:rsidR="00A35093" w14:paraId="3D32BDE2" w14:textId="77777777" w:rsidTr="006E596E">
        <w:tc>
          <w:tcPr>
            <w:tcW w:w="2969" w:type="dxa"/>
          </w:tcPr>
          <w:p w14:paraId="40BE7394"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Water</w:t>
            </w:r>
          </w:p>
        </w:tc>
        <w:tc>
          <w:tcPr>
            <w:tcW w:w="1999" w:type="dxa"/>
          </w:tcPr>
          <w:p w14:paraId="6564DAE4"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131</w:t>
            </w:r>
          </w:p>
        </w:tc>
        <w:tc>
          <w:tcPr>
            <w:tcW w:w="1581" w:type="dxa"/>
          </w:tcPr>
          <w:p w14:paraId="692E4CC5"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406</w:t>
            </w:r>
          </w:p>
        </w:tc>
        <w:tc>
          <w:tcPr>
            <w:tcW w:w="1581" w:type="dxa"/>
          </w:tcPr>
          <w:p w14:paraId="304409A5"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p>
        </w:tc>
      </w:tr>
      <w:tr w:rsidR="00A35093" w14:paraId="752C929E" w14:textId="77777777" w:rsidTr="006E596E">
        <w:tc>
          <w:tcPr>
            <w:tcW w:w="2969" w:type="dxa"/>
          </w:tcPr>
          <w:p w14:paraId="5EAB50C1"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i/>
                <w:sz w:val="20"/>
                <w:szCs w:val="20"/>
              </w:rPr>
              <w:t>B</w:t>
            </w:r>
            <w:r>
              <w:rPr>
                <w:rFonts w:ascii="Times New Roman" w:eastAsia="Times New Roman" w:hAnsi="Times New Roman" w:cs="Times New Roman"/>
                <w:sz w:val="20"/>
                <w:szCs w:val="20"/>
              </w:rPr>
              <w:t>-factors</w:t>
            </w:r>
          </w:p>
        </w:tc>
        <w:tc>
          <w:tcPr>
            <w:tcW w:w="1999" w:type="dxa"/>
          </w:tcPr>
          <w:p w14:paraId="6D45EB28" w14:textId="77777777" w:rsidR="00A35093" w:rsidRDefault="00A35093" w:rsidP="006E596E">
            <w:pPr>
              <w:rPr>
                <w:rFonts w:ascii="Times New Roman" w:eastAsia="Times New Roman" w:hAnsi="Times New Roman" w:cs="Times New Roman"/>
                <w:sz w:val="16"/>
                <w:szCs w:val="16"/>
              </w:rPr>
            </w:pPr>
          </w:p>
        </w:tc>
        <w:tc>
          <w:tcPr>
            <w:tcW w:w="1581" w:type="dxa"/>
          </w:tcPr>
          <w:p w14:paraId="2E5B3EB7" w14:textId="77777777" w:rsidR="00A35093" w:rsidRDefault="00A35093" w:rsidP="006E596E">
            <w:pPr>
              <w:rPr>
                <w:rFonts w:ascii="Times New Roman" w:eastAsia="Times New Roman" w:hAnsi="Times New Roman" w:cs="Times New Roman"/>
                <w:sz w:val="20"/>
                <w:szCs w:val="20"/>
              </w:rPr>
            </w:pPr>
          </w:p>
        </w:tc>
        <w:tc>
          <w:tcPr>
            <w:tcW w:w="1581" w:type="dxa"/>
          </w:tcPr>
          <w:p w14:paraId="7D81BC95" w14:textId="77777777" w:rsidR="00A35093" w:rsidRDefault="00A35093" w:rsidP="006E596E">
            <w:pPr>
              <w:rPr>
                <w:rFonts w:ascii="Times New Roman" w:eastAsia="Times New Roman" w:hAnsi="Times New Roman" w:cs="Times New Roman"/>
                <w:sz w:val="20"/>
                <w:szCs w:val="20"/>
              </w:rPr>
            </w:pPr>
          </w:p>
        </w:tc>
      </w:tr>
      <w:tr w:rsidR="00A35093" w14:paraId="6E634C05" w14:textId="77777777" w:rsidTr="006E596E">
        <w:tc>
          <w:tcPr>
            <w:tcW w:w="2969" w:type="dxa"/>
          </w:tcPr>
          <w:p w14:paraId="4A01A638"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Protein</w:t>
            </w:r>
          </w:p>
        </w:tc>
        <w:tc>
          <w:tcPr>
            <w:tcW w:w="1999" w:type="dxa"/>
          </w:tcPr>
          <w:p w14:paraId="3C527EB2"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66.53</w:t>
            </w:r>
          </w:p>
        </w:tc>
        <w:tc>
          <w:tcPr>
            <w:tcW w:w="1581" w:type="dxa"/>
          </w:tcPr>
          <w:p w14:paraId="43D35006"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35.14</w:t>
            </w:r>
          </w:p>
        </w:tc>
        <w:tc>
          <w:tcPr>
            <w:tcW w:w="1581" w:type="dxa"/>
          </w:tcPr>
          <w:p w14:paraId="1CB1DC76"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61.54</w:t>
            </w:r>
          </w:p>
        </w:tc>
      </w:tr>
      <w:tr w:rsidR="00A35093" w14:paraId="41D4BC78" w14:textId="77777777" w:rsidTr="006E596E">
        <w:tc>
          <w:tcPr>
            <w:tcW w:w="2969" w:type="dxa"/>
          </w:tcPr>
          <w:p w14:paraId="72683BA6"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Ligand/ion</w:t>
            </w:r>
          </w:p>
        </w:tc>
        <w:tc>
          <w:tcPr>
            <w:tcW w:w="1999" w:type="dxa"/>
          </w:tcPr>
          <w:p w14:paraId="23C5356F"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43.60</w:t>
            </w:r>
          </w:p>
        </w:tc>
        <w:tc>
          <w:tcPr>
            <w:tcW w:w="1581" w:type="dxa"/>
          </w:tcPr>
          <w:p w14:paraId="5F9FACFA"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26.55</w:t>
            </w:r>
          </w:p>
        </w:tc>
        <w:tc>
          <w:tcPr>
            <w:tcW w:w="1581" w:type="dxa"/>
          </w:tcPr>
          <w:p w14:paraId="0BBBE1DE"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50.37</w:t>
            </w:r>
          </w:p>
        </w:tc>
      </w:tr>
      <w:tr w:rsidR="00A35093" w14:paraId="7730C075" w14:textId="77777777" w:rsidTr="006E596E">
        <w:tc>
          <w:tcPr>
            <w:tcW w:w="2969" w:type="dxa"/>
          </w:tcPr>
          <w:p w14:paraId="194F11A0"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Water</w:t>
            </w:r>
          </w:p>
        </w:tc>
        <w:tc>
          <w:tcPr>
            <w:tcW w:w="1999" w:type="dxa"/>
          </w:tcPr>
          <w:p w14:paraId="0963EC4A"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46.05</w:t>
            </w:r>
          </w:p>
        </w:tc>
        <w:tc>
          <w:tcPr>
            <w:tcW w:w="1581" w:type="dxa"/>
          </w:tcPr>
          <w:p w14:paraId="596C7918"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39.64</w:t>
            </w:r>
          </w:p>
        </w:tc>
        <w:tc>
          <w:tcPr>
            <w:tcW w:w="1581" w:type="dxa"/>
          </w:tcPr>
          <w:p w14:paraId="316E7FFC"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56.82</w:t>
            </w:r>
          </w:p>
        </w:tc>
      </w:tr>
      <w:tr w:rsidR="00A35093" w14:paraId="34C357D8" w14:textId="77777777" w:rsidTr="006E596E">
        <w:tc>
          <w:tcPr>
            <w:tcW w:w="2969" w:type="dxa"/>
          </w:tcPr>
          <w:p w14:paraId="24544782"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R.m.s. deviations</w:t>
            </w:r>
          </w:p>
        </w:tc>
        <w:tc>
          <w:tcPr>
            <w:tcW w:w="1999" w:type="dxa"/>
          </w:tcPr>
          <w:p w14:paraId="50481B92" w14:textId="77777777" w:rsidR="00A35093" w:rsidRDefault="00A35093" w:rsidP="006E596E">
            <w:pPr>
              <w:rPr>
                <w:rFonts w:ascii="Times New Roman" w:eastAsia="Times New Roman" w:hAnsi="Times New Roman" w:cs="Times New Roman"/>
                <w:sz w:val="20"/>
                <w:szCs w:val="20"/>
              </w:rPr>
            </w:pPr>
          </w:p>
        </w:tc>
        <w:tc>
          <w:tcPr>
            <w:tcW w:w="1581" w:type="dxa"/>
          </w:tcPr>
          <w:p w14:paraId="7956859B" w14:textId="77777777" w:rsidR="00A35093" w:rsidRDefault="00A35093" w:rsidP="006E596E">
            <w:pPr>
              <w:rPr>
                <w:rFonts w:ascii="Times New Roman" w:eastAsia="Times New Roman" w:hAnsi="Times New Roman" w:cs="Times New Roman"/>
                <w:sz w:val="20"/>
                <w:szCs w:val="20"/>
              </w:rPr>
            </w:pPr>
          </w:p>
        </w:tc>
        <w:tc>
          <w:tcPr>
            <w:tcW w:w="1581" w:type="dxa"/>
          </w:tcPr>
          <w:p w14:paraId="075075C9" w14:textId="77777777" w:rsidR="00A35093" w:rsidRDefault="00A35093" w:rsidP="006E596E">
            <w:pPr>
              <w:rPr>
                <w:rFonts w:ascii="Times New Roman" w:eastAsia="Times New Roman" w:hAnsi="Times New Roman" w:cs="Times New Roman"/>
                <w:sz w:val="20"/>
                <w:szCs w:val="20"/>
              </w:rPr>
            </w:pPr>
          </w:p>
        </w:tc>
      </w:tr>
      <w:tr w:rsidR="00A35093" w14:paraId="0DFEAE3B" w14:textId="77777777" w:rsidTr="006E596E">
        <w:tc>
          <w:tcPr>
            <w:tcW w:w="2969" w:type="dxa"/>
          </w:tcPr>
          <w:p w14:paraId="450DB94F"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Bond lengths (Å)</w:t>
            </w:r>
          </w:p>
        </w:tc>
        <w:tc>
          <w:tcPr>
            <w:tcW w:w="1999" w:type="dxa"/>
          </w:tcPr>
          <w:p w14:paraId="3A8ADC3F"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0.027</w:t>
            </w:r>
          </w:p>
        </w:tc>
        <w:tc>
          <w:tcPr>
            <w:tcW w:w="1581" w:type="dxa"/>
          </w:tcPr>
          <w:p w14:paraId="7C3040D6"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0.011</w:t>
            </w:r>
          </w:p>
        </w:tc>
        <w:tc>
          <w:tcPr>
            <w:tcW w:w="1581" w:type="dxa"/>
          </w:tcPr>
          <w:p w14:paraId="62345DC8"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0.011</w:t>
            </w:r>
          </w:p>
        </w:tc>
      </w:tr>
      <w:tr w:rsidR="00A35093" w14:paraId="5DBBCDF3" w14:textId="77777777" w:rsidTr="006E596E">
        <w:tc>
          <w:tcPr>
            <w:tcW w:w="2969" w:type="dxa"/>
          </w:tcPr>
          <w:p w14:paraId="7E6EC879"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Bond angles (</w:t>
            </w:r>
            <w:r>
              <w:rPr>
                <w:rFonts w:ascii="Symbol" w:eastAsia="Symbol" w:hAnsi="Symbol" w:cs="Symbol"/>
                <w:sz w:val="20"/>
                <w:szCs w:val="20"/>
              </w:rPr>
              <w:t>°</w:t>
            </w:r>
            <w:r>
              <w:rPr>
                <w:rFonts w:ascii="Times New Roman" w:eastAsia="Times New Roman" w:hAnsi="Times New Roman" w:cs="Times New Roman"/>
                <w:sz w:val="20"/>
                <w:szCs w:val="20"/>
              </w:rPr>
              <w:t>)</w:t>
            </w:r>
          </w:p>
        </w:tc>
        <w:tc>
          <w:tcPr>
            <w:tcW w:w="1999" w:type="dxa"/>
          </w:tcPr>
          <w:p w14:paraId="7B0DCF40"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2.01</w:t>
            </w:r>
          </w:p>
        </w:tc>
        <w:tc>
          <w:tcPr>
            <w:tcW w:w="1581" w:type="dxa"/>
          </w:tcPr>
          <w:p w14:paraId="5BD4CFD9"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1.72</w:t>
            </w:r>
          </w:p>
        </w:tc>
        <w:tc>
          <w:tcPr>
            <w:tcW w:w="1581" w:type="dxa"/>
          </w:tcPr>
          <w:p w14:paraId="0E368C94" w14:textId="77777777" w:rsidR="00A35093" w:rsidRDefault="00A35093" w:rsidP="006E596E">
            <w:pPr>
              <w:rPr>
                <w:rFonts w:ascii="Times New Roman" w:eastAsia="Times New Roman" w:hAnsi="Times New Roman" w:cs="Times New Roman"/>
                <w:sz w:val="20"/>
                <w:szCs w:val="20"/>
              </w:rPr>
            </w:pPr>
            <w:r>
              <w:rPr>
                <w:rFonts w:ascii="Times New Roman" w:eastAsia="Times New Roman" w:hAnsi="Times New Roman" w:cs="Times New Roman"/>
                <w:sz w:val="20"/>
                <w:szCs w:val="20"/>
              </w:rPr>
              <w:t>1.65</w:t>
            </w:r>
          </w:p>
        </w:tc>
      </w:tr>
    </w:tbl>
    <w:p w14:paraId="08D8C85C" w14:textId="77777777" w:rsidR="00A35093" w:rsidRDefault="00A35093" w:rsidP="00A35093">
      <w:pPr>
        <w:rPr>
          <w:rFonts w:ascii="Times New Roman" w:eastAsia="Times New Roman" w:hAnsi="Times New Roman" w:cs="Times New Roman"/>
          <w:sz w:val="20"/>
          <w:szCs w:val="20"/>
        </w:rPr>
      </w:pPr>
      <w:r>
        <w:rPr>
          <w:rFonts w:ascii="Times New Roman" w:eastAsia="Times New Roman" w:hAnsi="Times New Roman" w:cs="Times New Roman"/>
          <w:sz w:val="20"/>
          <w:szCs w:val="20"/>
        </w:rPr>
        <w:t>Values in parentheses are for highest-resolution shell.</w:t>
      </w:r>
    </w:p>
    <w:p w14:paraId="7F8B262B" w14:textId="77777777" w:rsidR="00A35093" w:rsidRDefault="00A35093" w:rsidP="00A35093">
      <w:pPr>
        <w:spacing w:line="360" w:lineRule="auto"/>
        <w:jc w:val="both"/>
        <w:rPr>
          <w:rFonts w:ascii="Times New Roman" w:eastAsia="Times New Roman" w:hAnsi="Times New Roman" w:cs="Times New Roman"/>
          <w:b/>
        </w:rPr>
      </w:pPr>
    </w:p>
    <w:p w14:paraId="18443B08" w14:textId="77777777" w:rsidR="00A35093" w:rsidRDefault="00A35093" w:rsidP="00A35093">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0C995BAE" w14:textId="77777777" w:rsidR="00A35093" w:rsidRDefault="00A35093" w:rsidP="00A35093">
      <w:pPr>
        <w:rPr>
          <w:rFonts w:ascii="Times New Roman" w:eastAsia="Times New Roman" w:hAnsi="Times New Roman" w:cs="Times New Roman"/>
        </w:rPr>
      </w:pPr>
      <w:r>
        <w:rPr>
          <w:rFonts w:ascii="Times New Roman" w:eastAsia="Times New Roman" w:hAnsi="Times New Roman" w:cs="Times New Roman"/>
        </w:rPr>
        <w:br w:type="page"/>
      </w:r>
    </w:p>
    <w:p w14:paraId="725ED768" w14:textId="77777777" w:rsidR="00A35093" w:rsidRDefault="00A35093" w:rsidP="00A35093">
      <w:pPr>
        <w:jc w:val="both"/>
        <w:rPr>
          <w:rFonts w:ascii="Times New Roman" w:hAnsi="Times New Roman" w:cs="Times New Roman"/>
        </w:rPr>
      </w:pPr>
      <w:r>
        <w:rPr>
          <w:rFonts w:ascii="Times New Roman" w:hAnsi="Times New Roman" w:cs="Times New Roman"/>
        </w:rPr>
        <w:lastRenderedPageBreak/>
        <w:t>Extended data figures</w:t>
      </w:r>
    </w:p>
    <w:p w14:paraId="3B7AAFA3" w14:textId="77777777" w:rsidR="00A35093" w:rsidRDefault="00A35093" w:rsidP="00A35093">
      <w:pPr>
        <w:jc w:val="center"/>
        <w:rPr>
          <w:rFonts w:ascii="Times New Roman" w:hAnsi="Times New Roman" w:cs="Times New Roman"/>
        </w:rPr>
      </w:pPr>
    </w:p>
    <w:p w14:paraId="6CB0C79E" w14:textId="77777777" w:rsidR="00A35093" w:rsidRDefault="00A35093" w:rsidP="00A35093">
      <w:pPr>
        <w:jc w:val="both"/>
        <w:rPr>
          <w:rFonts w:ascii="Times New Roman" w:hAnsi="Times New Roman" w:cs="Times New Roman"/>
        </w:rPr>
      </w:pPr>
      <w:r>
        <w:rPr>
          <w:rFonts w:ascii="Times New Roman" w:hAnsi="Times New Roman" w:cs="Times New Roman"/>
          <w:b/>
          <w:bCs/>
        </w:rPr>
        <w:t>Figure 1. Chromophore binding properties of photocobilins.</w:t>
      </w:r>
      <w:r>
        <w:rPr>
          <w:rFonts w:ascii="Times New Roman" w:hAnsi="Times New Roman" w:cs="Times New Roman"/>
        </w:rPr>
        <w:t xml:space="preserve"> </w:t>
      </w:r>
      <w:r>
        <w:rPr>
          <w:rFonts w:ascii="Times New Roman" w:hAnsi="Times New Roman" w:cs="Times New Roman"/>
          <w:b/>
        </w:rPr>
        <w:t>a,</w:t>
      </w:r>
      <w:r>
        <w:rPr>
          <w:rFonts w:ascii="Times New Roman" w:hAnsi="Times New Roman" w:cs="Times New Roman"/>
        </w:rPr>
        <w:t xml:space="preserve"> The binding ratio (chromophore:protein) of B</w:t>
      </w:r>
      <w:r>
        <w:rPr>
          <w:rFonts w:ascii="Times New Roman" w:hAnsi="Times New Roman" w:cs="Times New Roman"/>
          <w:vertAlign w:val="subscript"/>
        </w:rPr>
        <w:t>12</w:t>
      </w:r>
      <w:r>
        <w:rPr>
          <w:rFonts w:ascii="Times New Roman" w:hAnsi="Times New Roman" w:cs="Times New Roman"/>
        </w:rPr>
        <w:t xml:space="preserve"> and BV for </w:t>
      </w:r>
      <w:r>
        <w:rPr>
          <w:rFonts w:ascii="Times New Roman" w:hAnsi="Times New Roman" w:cs="Times New Roman"/>
          <w:i/>
        </w:rPr>
        <w:t>Sas</w:t>
      </w:r>
      <w:r>
        <w:rPr>
          <w:rFonts w:ascii="Times New Roman" w:hAnsi="Times New Roman" w:cs="Times New Roman"/>
        </w:rPr>
        <w:t xml:space="preserve">Pcob. The binding ratio was calculated based on the chromophore and protein molar concentrations. </w:t>
      </w:r>
      <w:r>
        <w:rPr>
          <w:rFonts w:ascii="Times New Roman" w:hAnsi="Times New Roman" w:cs="Times New Roman"/>
          <w:b/>
        </w:rPr>
        <w:t>b,</w:t>
      </w:r>
      <w:r>
        <w:rPr>
          <w:rFonts w:ascii="Times New Roman" w:hAnsi="Times New Roman" w:cs="Times New Roman"/>
        </w:rPr>
        <w:t xml:space="preserve"> The binding ratio of B</w:t>
      </w:r>
      <w:r>
        <w:rPr>
          <w:rFonts w:ascii="Times New Roman" w:hAnsi="Times New Roman" w:cs="Times New Roman"/>
          <w:vertAlign w:val="subscript"/>
        </w:rPr>
        <w:t>12</w:t>
      </w:r>
      <w:r>
        <w:rPr>
          <w:rFonts w:ascii="Times New Roman" w:hAnsi="Times New Roman" w:cs="Times New Roman"/>
        </w:rPr>
        <w:t xml:space="preserve"> and BV for </w:t>
      </w:r>
      <w:r>
        <w:rPr>
          <w:rFonts w:ascii="Times New Roman" w:hAnsi="Times New Roman" w:cs="Times New Roman"/>
          <w:i/>
        </w:rPr>
        <w:t>Ab</w:t>
      </w:r>
      <w:r>
        <w:rPr>
          <w:rFonts w:ascii="Times New Roman" w:hAnsi="Times New Roman" w:cs="Times New Roman"/>
        </w:rPr>
        <w:t xml:space="preserve">BGD protein. </w:t>
      </w:r>
      <w:r>
        <w:rPr>
          <w:rFonts w:ascii="Times New Roman" w:hAnsi="Times New Roman" w:cs="Times New Roman"/>
          <w:b/>
        </w:rPr>
        <w:t>c,</w:t>
      </w:r>
      <w:r>
        <w:rPr>
          <w:rFonts w:ascii="Times New Roman" w:hAnsi="Times New Roman" w:cs="Times New Roman"/>
        </w:rPr>
        <w:t xml:space="preserve"> The absorbance increase of AdoCbl at 540 nm at increasing concentrations of </w:t>
      </w:r>
      <w:r>
        <w:rPr>
          <w:rFonts w:ascii="Times New Roman" w:hAnsi="Times New Roman" w:cs="Times New Roman"/>
          <w:i/>
        </w:rPr>
        <w:t>Sas</w:t>
      </w:r>
      <w:r>
        <w:rPr>
          <w:rFonts w:ascii="Times New Roman" w:hAnsi="Times New Roman" w:cs="Times New Roman"/>
        </w:rPr>
        <w:t>Pcob was used to calculate the binding constant (</w:t>
      </w:r>
      <w:r>
        <w:rPr>
          <w:rFonts w:ascii="Times New Roman" w:hAnsi="Times New Roman" w:cs="Times New Roman"/>
          <w:i/>
        </w:rPr>
        <w:t>K</w:t>
      </w:r>
      <w:r>
        <w:rPr>
          <w:rFonts w:ascii="Times New Roman" w:hAnsi="Times New Roman" w:cs="Times New Roman"/>
          <w:vertAlign w:val="subscript"/>
        </w:rPr>
        <w:t>d</w:t>
      </w:r>
      <w:r>
        <w:rPr>
          <w:rFonts w:ascii="Times New Roman" w:hAnsi="Times New Roman" w:cs="Times New Roman"/>
        </w:rPr>
        <w:t xml:space="preserve">) for AdoCbl to the protein. </w:t>
      </w:r>
      <w:r>
        <w:rPr>
          <w:rFonts w:ascii="Times New Roman" w:hAnsi="Times New Roman" w:cs="Times New Roman"/>
          <w:b/>
        </w:rPr>
        <w:t>d-e,</w:t>
      </w:r>
      <w:r>
        <w:rPr>
          <w:rFonts w:ascii="Times New Roman" w:hAnsi="Times New Roman" w:cs="Times New Roman"/>
        </w:rPr>
        <w:t xml:space="preserve"> The absorbance increase of BV at 700 nm at increasing concentrations of </w:t>
      </w:r>
      <w:r>
        <w:rPr>
          <w:rFonts w:ascii="Times New Roman" w:hAnsi="Times New Roman" w:cs="Times New Roman"/>
          <w:i/>
        </w:rPr>
        <w:t>Sas</w:t>
      </w:r>
      <w:r>
        <w:rPr>
          <w:rFonts w:ascii="Times New Roman" w:hAnsi="Times New Roman" w:cs="Times New Roman"/>
        </w:rPr>
        <w:t>Pcob was used to calculate the (</w:t>
      </w:r>
      <w:r>
        <w:rPr>
          <w:rFonts w:ascii="Times New Roman" w:hAnsi="Times New Roman" w:cs="Times New Roman"/>
          <w:i/>
        </w:rPr>
        <w:t>K</w:t>
      </w:r>
      <w:r>
        <w:rPr>
          <w:rFonts w:ascii="Times New Roman" w:hAnsi="Times New Roman" w:cs="Times New Roman"/>
          <w:vertAlign w:val="subscript"/>
        </w:rPr>
        <w:t>d</w:t>
      </w:r>
      <w:r>
        <w:rPr>
          <w:rFonts w:ascii="Times New Roman" w:hAnsi="Times New Roman" w:cs="Times New Roman"/>
        </w:rPr>
        <w:t>) for BV in the absence of AdoCbl (</w:t>
      </w:r>
      <w:r>
        <w:rPr>
          <w:rFonts w:ascii="Times New Roman" w:hAnsi="Times New Roman" w:cs="Times New Roman"/>
          <w:b/>
        </w:rPr>
        <w:t>d</w:t>
      </w:r>
      <w:r>
        <w:rPr>
          <w:rFonts w:ascii="Times New Roman" w:hAnsi="Times New Roman" w:cs="Times New Roman"/>
        </w:rPr>
        <w:t>) and with AdoCbl pre-bound (</w:t>
      </w:r>
      <w:r>
        <w:rPr>
          <w:rFonts w:ascii="Times New Roman" w:hAnsi="Times New Roman" w:cs="Times New Roman"/>
          <w:b/>
        </w:rPr>
        <w:t>e</w:t>
      </w:r>
      <w:r>
        <w:rPr>
          <w:rFonts w:ascii="Times New Roman" w:hAnsi="Times New Roman" w:cs="Times New Roman"/>
        </w:rPr>
        <w:t xml:space="preserve">). </w:t>
      </w:r>
      <w:r>
        <w:rPr>
          <w:rFonts w:ascii="Times New Roman" w:hAnsi="Times New Roman" w:cs="Times New Roman"/>
          <w:b/>
          <w:bCs/>
        </w:rPr>
        <w:t>f</w:t>
      </w:r>
      <w:r>
        <w:rPr>
          <w:rFonts w:ascii="Times New Roman" w:hAnsi="Times New Roman" w:cs="Times New Roman"/>
        </w:rPr>
        <w:t xml:space="preserve">, BV titration with </w:t>
      </w:r>
      <w:r>
        <w:rPr>
          <w:rFonts w:ascii="Times New Roman" w:hAnsi="Times New Roman" w:cs="Times New Roman"/>
          <w:i/>
          <w:iCs/>
        </w:rPr>
        <w:t>Ab</w:t>
      </w:r>
      <w:r>
        <w:rPr>
          <w:rFonts w:ascii="Times New Roman" w:hAnsi="Times New Roman" w:cs="Times New Roman"/>
        </w:rPr>
        <w:t xml:space="preserve">DPcob. BV was kept at 3.5 </w:t>
      </w:r>
      <w:r>
        <w:rPr>
          <w:rFonts w:ascii="Symbol" w:hAnsi="Symbol" w:cs="Times New Roman"/>
        </w:rPr>
        <w:t>m</w:t>
      </w:r>
      <w:r>
        <w:rPr>
          <w:rFonts w:ascii="Times New Roman" w:hAnsi="Times New Roman" w:cs="Times New Roman"/>
        </w:rPr>
        <w:t xml:space="preserve">M and </w:t>
      </w:r>
      <w:r>
        <w:rPr>
          <w:rFonts w:ascii="Times New Roman" w:hAnsi="Times New Roman" w:cs="Times New Roman"/>
          <w:i/>
          <w:iCs/>
        </w:rPr>
        <w:t>Ab</w:t>
      </w:r>
      <w:r>
        <w:rPr>
          <w:rFonts w:ascii="Times New Roman" w:hAnsi="Times New Roman" w:cs="Times New Roman"/>
        </w:rPr>
        <w:t xml:space="preserve">DPcob ranging from 12 to 80 </w:t>
      </w:r>
      <w:r>
        <w:rPr>
          <w:rFonts w:ascii="Symbol" w:hAnsi="Symbol" w:cs="Times New Roman"/>
        </w:rPr>
        <w:t>m</w:t>
      </w:r>
      <w:r>
        <w:rPr>
          <w:rFonts w:ascii="Times New Roman" w:hAnsi="Times New Roman" w:cs="Times New Roman"/>
        </w:rPr>
        <w:t>M. All measurements were repeated 3 times for data collection.</w:t>
      </w:r>
    </w:p>
    <w:p w14:paraId="54E6FC92" w14:textId="77777777" w:rsidR="00A35093" w:rsidRDefault="00A35093" w:rsidP="00A35093">
      <w:pPr>
        <w:jc w:val="both"/>
        <w:rPr>
          <w:rFonts w:ascii="Times New Roman" w:hAnsi="Times New Roman" w:cs="Times New Roman"/>
        </w:rPr>
      </w:pPr>
    </w:p>
    <w:p w14:paraId="3C7456C3" w14:textId="77777777" w:rsidR="00A35093" w:rsidRDefault="00A35093" w:rsidP="00A35093">
      <w:pPr>
        <w:jc w:val="both"/>
        <w:rPr>
          <w:rFonts w:ascii="Times New Roman" w:hAnsi="Times New Roman" w:cs="Times New Roman"/>
        </w:rPr>
      </w:pPr>
      <w:r>
        <w:rPr>
          <w:rFonts w:ascii="Times New Roman" w:hAnsi="Times New Roman" w:cs="Times New Roman"/>
          <w:b/>
          <w:bCs/>
        </w:rPr>
        <w:t>Figure 2. Absorbance spectra of photocobilins with BV and AdoCbl bound</w:t>
      </w:r>
      <w:r>
        <w:rPr>
          <w:rFonts w:ascii="Times New Roman" w:hAnsi="Times New Roman" w:cs="Times New Roman"/>
        </w:rPr>
        <w:t xml:space="preserve">. </w:t>
      </w:r>
      <w:r>
        <w:rPr>
          <w:rFonts w:ascii="Times New Roman" w:hAnsi="Times New Roman" w:cs="Times New Roman"/>
          <w:b/>
        </w:rPr>
        <w:t>a,</w:t>
      </w:r>
      <w:r>
        <w:rPr>
          <w:rFonts w:ascii="Times New Roman" w:hAnsi="Times New Roman" w:cs="Times New Roman"/>
        </w:rPr>
        <w:t xml:space="preserve"> absorbance spectra of </w:t>
      </w:r>
      <w:r>
        <w:rPr>
          <w:rFonts w:ascii="Times New Roman" w:hAnsi="Times New Roman" w:cs="Times New Roman"/>
          <w:i/>
        </w:rPr>
        <w:t>Sas</w:t>
      </w:r>
      <w:r>
        <w:rPr>
          <w:rFonts w:ascii="Times New Roman" w:hAnsi="Times New Roman" w:cs="Times New Roman"/>
        </w:rPr>
        <w:t xml:space="preserve">Pcob with either BV, AdoCbl or both bound. </w:t>
      </w:r>
      <w:r>
        <w:rPr>
          <w:rFonts w:ascii="Times New Roman" w:hAnsi="Times New Roman" w:cs="Times New Roman"/>
          <w:b/>
        </w:rPr>
        <w:t>b,</w:t>
      </w:r>
      <w:r>
        <w:rPr>
          <w:rFonts w:ascii="Times New Roman" w:hAnsi="Times New Roman" w:cs="Times New Roman"/>
        </w:rPr>
        <w:t xml:space="preserve"> absorbance spectra of </w:t>
      </w:r>
      <w:r>
        <w:rPr>
          <w:rFonts w:ascii="Times New Roman" w:hAnsi="Times New Roman" w:cs="Times New Roman"/>
          <w:i/>
        </w:rPr>
        <w:t>Ab</w:t>
      </w:r>
      <w:r>
        <w:rPr>
          <w:rFonts w:ascii="Times New Roman" w:hAnsi="Times New Roman" w:cs="Times New Roman"/>
        </w:rPr>
        <w:t xml:space="preserve">DPcob with either BV, AdoCbl or both bound. </w:t>
      </w:r>
      <w:r>
        <w:rPr>
          <w:rFonts w:ascii="Times New Roman" w:hAnsi="Times New Roman" w:cs="Times New Roman"/>
          <w:b/>
        </w:rPr>
        <w:t>c-d,</w:t>
      </w:r>
      <w:r>
        <w:rPr>
          <w:rFonts w:ascii="Times New Roman" w:hAnsi="Times New Roman" w:cs="Times New Roman"/>
        </w:rPr>
        <w:t xml:space="preserve"> absorbance spectra of </w:t>
      </w:r>
      <w:r>
        <w:rPr>
          <w:rFonts w:ascii="Times New Roman" w:hAnsi="Times New Roman" w:cs="Times New Roman"/>
          <w:i/>
        </w:rPr>
        <w:t>Sas</w:t>
      </w:r>
      <w:r>
        <w:rPr>
          <w:rFonts w:ascii="Times New Roman" w:hAnsi="Times New Roman" w:cs="Times New Roman"/>
        </w:rPr>
        <w:t>BG with BV bound before and after light illumination with red (</w:t>
      </w:r>
      <w:r>
        <w:rPr>
          <w:rFonts w:ascii="Times New Roman" w:hAnsi="Times New Roman" w:cs="Times New Roman"/>
          <w:b/>
        </w:rPr>
        <w:t>c</w:t>
      </w:r>
      <w:r>
        <w:rPr>
          <w:rFonts w:ascii="Times New Roman" w:hAnsi="Times New Roman" w:cs="Times New Roman"/>
        </w:rPr>
        <w:t>) or green (</w:t>
      </w:r>
      <w:r>
        <w:rPr>
          <w:rFonts w:ascii="Times New Roman" w:hAnsi="Times New Roman" w:cs="Times New Roman"/>
          <w:b/>
        </w:rPr>
        <w:t>d</w:t>
      </w:r>
      <w:r>
        <w:rPr>
          <w:rFonts w:ascii="Times New Roman" w:hAnsi="Times New Roman" w:cs="Times New Roman"/>
        </w:rPr>
        <w:t xml:space="preserve">) light. </w:t>
      </w:r>
      <w:r>
        <w:rPr>
          <w:rFonts w:ascii="Times New Roman" w:hAnsi="Times New Roman" w:cs="Times New Roman"/>
          <w:b/>
          <w:bCs/>
        </w:rPr>
        <w:t>e-f</w:t>
      </w:r>
      <w:r>
        <w:rPr>
          <w:rFonts w:ascii="Times New Roman" w:hAnsi="Times New Roman" w:cs="Times New Roman"/>
        </w:rPr>
        <w:t xml:space="preserve">, difference spectra of </w:t>
      </w:r>
      <w:r>
        <w:rPr>
          <w:rFonts w:ascii="Times New Roman" w:hAnsi="Times New Roman" w:cs="Times New Roman"/>
          <w:i/>
          <w:iCs/>
        </w:rPr>
        <w:t>Ab</w:t>
      </w:r>
      <w:r>
        <w:rPr>
          <w:rFonts w:ascii="Times New Roman" w:hAnsi="Times New Roman" w:cs="Times New Roman"/>
        </w:rPr>
        <w:t>DPcob with both AdoCbl and BV bound after illumination with green (</w:t>
      </w:r>
      <w:r>
        <w:rPr>
          <w:rFonts w:ascii="Times New Roman" w:hAnsi="Times New Roman" w:cs="Times New Roman"/>
          <w:b/>
        </w:rPr>
        <w:t>e</w:t>
      </w:r>
      <w:r>
        <w:rPr>
          <w:rFonts w:ascii="Times New Roman" w:hAnsi="Times New Roman" w:cs="Times New Roman"/>
        </w:rPr>
        <w:t>) or red (</w:t>
      </w:r>
      <w:r>
        <w:rPr>
          <w:rFonts w:ascii="Times New Roman" w:hAnsi="Times New Roman" w:cs="Times New Roman"/>
          <w:b/>
        </w:rPr>
        <w:t>f</w:t>
      </w:r>
      <w:r>
        <w:rPr>
          <w:rFonts w:ascii="Times New Roman" w:hAnsi="Times New Roman" w:cs="Times New Roman"/>
        </w:rPr>
        <w:t>) light</w:t>
      </w:r>
    </w:p>
    <w:p w14:paraId="56315BFE" w14:textId="77777777" w:rsidR="00A35093" w:rsidRDefault="00A35093" w:rsidP="00A35093">
      <w:pPr>
        <w:jc w:val="both"/>
        <w:rPr>
          <w:rFonts w:ascii="Times New Roman" w:hAnsi="Times New Roman" w:cs="Times New Roman"/>
        </w:rPr>
      </w:pPr>
    </w:p>
    <w:p w14:paraId="3EA3015B" w14:textId="77777777" w:rsidR="00A35093" w:rsidRDefault="00A35093" w:rsidP="00A35093">
      <w:pPr>
        <w:jc w:val="both"/>
        <w:rPr>
          <w:rFonts w:ascii="Times New Roman" w:hAnsi="Times New Roman" w:cs="Times New Roman"/>
        </w:rPr>
      </w:pPr>
      <w:r>
        <w:rPr>
          <w:rFonts w:ascii="Times New Roman" w:hAnsi="Times New Roman" w:cs="Times New Roman"/>
          <w:b/>
          <w:bCs/>
        </w:rPr>
        <w:t>Figure 3. Light response of photocobilin proteins with methycobalamin bound.</w:t>
      </w:r>
      <w:r>
        <w:rPr>
          <w:rFonts w:ascii="Times New Roman" w:hAnsi="Times New Roman" w:cs="Times New Roman"/>
        </w:rPr>
        <w:t xml:space="preserve"> </w:t>
      </w:r>
      <w:r>
        <w:rPr>
          <w:rFonts w:ascii="Times New Roman" w:hAnsi="Times New Roman" w:cs="Times New Roman"/>
          <w:b/>
        </w:rPr>
        <w:t>a-b,</w:t>
      </w:r>
      <w:r>
        <w:rPr>
          <w:rFonts w:ascii="Times New Roman" w:hAnsi="Times New Roman" w:cs="Times New Roman"/>
        </w:rPr>
        <w:t xml:space="preserve"> Difference absorbance spectra of </w:t>
      </w:r>
      <w:r>
        <w:rPr>
          <w:rFonts w:ascii="Times New Roman" w:hAnsi="Times New Roman" w:cs="Times New Roman"/>
          <w:i/>
        </w:rPr>
        <w:t>Sas</w:t>
      </w:r>
      <w:r>
        <w:rPr>
          <w:rFonts w:ascii="Times New Roman" w:hAnsi="Times New Roman" w:cs="Times New Roman"/>
        </w:rPr>
        <w:t>Pcob with methylcobalamin bound after illumination with green (</w:t>
      </w:r>
      <w:r>
        <w:rPr>
          <w:rFonts w:ascii="Times New Roman" w:hAnsi="Times New Roman" w:cs="Times New Roman"/>
          <w:b/>
        </w:rPr>
        <w:t>a</w:t>
      </w:r>
      <w:r>
        <w:rPr>
          <w:rFonts w:ascii="Times New Roman" w:hAnsi="Times New Roman" w:cs="Times New Roman"/>
        </w:rPr>
        <w:t>) or red (</w:t>
      </w:r>
      <w:r>
        <w:rPr>
          <w:rFonts w:ascii="Times New Roman" w:hAnsi="Times New Roman" w:cs="Times New Roman"/>
          <w:b/>
        </w:rPr>
        <w:t>b</w:t>
      </w:r>
      <w:r>
        <w:rPr>
          <w:rFonts w:ascii="Times New Roman" w:hAnsi="Times New Roman" w:cs="Times New Roman"/>
        </w:rPr>
        <w:t xml:space="preserve">) light. </w:t>
      </w:r>
      <w:r>
        <w:rPr>
          <w:rFonts w:ascii="Times New Roman" w:hAnsi="Times New Roman" w:cs="Times New Roman"/>
          <w:b/>
        </w:rPr>
        <w:t>c-d,</w:t>
      </w:r>
      <w:r>
        <w:rPr>
          <w:rFonts w:ascii="Times New Roman" w:hAnsi="Times New Roman" w:cs="Times New Roman"/>
        </w:rPr>
        <w:t xml:space="preserve"> Difference absorbance spectra of </w:t>
      </w:r>
      <w:r>
        <w:rPr>
          <w:rFonts w:ascii="Times New Roman" w:hAnsi="Times New Roman" w:cs="Times New Roman"/>
          <w:i/>
        </w:rPr>
        <w:t>Sas</w:t>
      </w:r>
      <w:r>
        <w:rPr>
          <w:rFonts w:ascii="Times New Roman" w:hAnsi="Times New Roman" w:cs="Times New Roman"/>
        </w:rPr>
        <w:t>Pcob with methylcobalamin and BV bound after illumination with green (</w:t>
      </w:r>
      <w:r>
        <w:rPr>
          <w:rFonts w:ascii="Times New Roman" w:hAnsi="Times New Roman" w:cs="Times New Roman"/>
          <w:b/>
        </w:rPr>
        <w:t>c</w:t>
      </w:r>
      <w:r>
        <w:rPr>
          <w:rFonts w:ascii="Times New Roman" w:hAnsi="Times New Roman" w:cs="Times New Roman"/>
        </w:rPr>
        <w:t>) or red (</w:t>
      </w:r>
      <w:r>
        <w:rPr>
          <w:rFonts w:ascii="Times New Roman" w:hAnsi="Times New Roman" w:cs="Times New Roman"/>
          <w:b/>
        </w:rPr>
        <w:t>d</w:t>
      </w:r>
      <w:r>
        <w:rPr>
          <w:rFonts w:ascii="Times New Roman" w:hAnsi="Times New Roman" w:cs="Times New Roman"/>
        </w:rPr>
        <w:t xml:space="preserve">) light. </w:t>
      </w:r>
      <w:r>
        <w:rPr>
          <w:rFonts w:ascii="Times New Roman" w:hAnsi="Times New Roman" w:cs="Times New Roman"/>
          <w:b/>
        </w:rPr>
        <w:t>e</w:t>
      </w:r>
      <w:r>
        <w:rPr>
          <w:rFonts w:ascii="Times New Roman" w:hAnsi="Times New Roman" w:cs="Times New Roman"/>
        </w:rPr>
        <w:t>-</w:t>
      </w:r>
      <w:r>
        <w:rPr>
          <w:rFonts w:ascii="Times New Roman" w:hAnsi="Times New Roman" w:cs="Times New Roman"/>
          <w:b/>
        </w:rPr>
        <w:t>f</w:t>
      </w:r>
      <w:r>
        <w:rPr>
          <w:rFonts w:ascii="Times New Roman" w:hAnsi="Times New Roman" w:cs="Times New Roman"/>
        </w:rPr>
        <w:t xml:space="preserve">, Difference absorbance spectra of </w:t>
      </w:r>
      <w:r>
        <w:rPr>
          <w:rFonts w:ascii="Times New Roman" w:hAnsi="Times New Roman" w:cs="Times New Roman"/>
          <w:i/>
        </w:rPr>
        <w:t>Ab</w:t>
      </w:r>
      <w:r>
        <w:rPr>
          <w:rFonts w:ascii="Times New Roman" w:hAnsi="Times New Roman" w:cs="Times New Roman"/>
        </w:rPr>
        <w:t>DPcob with methylcobalamin and BV bound after illumination with green (</w:t>
      </w:r>
      <w:r>
        <w:rPr>
          <w:rFonts w:ascii="Times New Roman" w:hAnsi="Times New Roman" w:cs="Times New Roman"/>
          <w:b/>
        </w:rPr>
        <w:t>e</w:t>
      </w:r>
      <w:r>
        <w:rPr>
          <w:rFonts w:ascii="Times New Roman" w:hAnsi="Times New Roman" w:cs="Times New Roman"/>
        </w:rPr>
        <w:t>) or red (</w:t>
      </w:r>
      <w:r>
        <w:rPr>
          <w:rFonts w:ascii="Times New Roman" w:hAnsi="Times New Roman" w:cs="Times New Roman"/>
          <w:b/>
        </w:rPr>
        <w:t>f</w:t>
      </w:r>
      <w:r>
        <w:rPr>
          <w:rFonts w:ascii="Times New Roman" w:hAnsi="Times New Roman" w:cs="Times New Roman"/>
        </w:rPr>
        <w:t xml:space="preserve">) light. A dark spectrum was collected prior to any illumination and used as the blank in each case. </w:t>
      </w:r>
      <w:r>
        <w:rPr>
          <w:rFonts w:ascii="Times New Roman" w:hAnsi="Times New Roman" w:cs="Times New Roman"/>
          <w:b/>
          <w:bCs/>
        </w:rPr>
        <w:t>g</w:t>
      </w:r>
      <w:r>
        <w:rPr>
          <w:rFonts w:ascii="Times New Roman" w:hAnsi="Times New Roman" w:cs="Times New Roman"/>
        </w:rPr>
        <w:t xml:space="preserve">, </w:t>
      </w:r>
      <w:r>
        <w:rPr>
          <w:rFonts w:ascii="Times New Roman" w:hAnsi="Times New Roman" w:cs="Times New Roman"/>
          <w:i/>
          <w:iCs/>
        </w:rPr>
        <w:t>Sas</w:t>
      </w:r>
      <w:r>
        <w:rPr>
          <w:rFonts w:ascii="Times New Roman" w:hAnsi="Times New Roman" w:cs="Times New Roman"/>
        </w:rPr>
        <w:t xml:space="preserve">Pcob with only BV bound illuminated at 530nm. </w:t>
      </w:r>
      <w:r>
        <w:rPr>
          <w:rFonts w:ascii="Times New Roman" w:hAnsi="Times New Roman" w:cs="Times New Roman"/>
          <w:b/>
          <w:bCs/>
        </w:rPr>
        <w:t>h</w:t>
      </w:r>
      <w:r>
        <w:rPr>
          <w:rFonts w:ascii="Times New Roman" w:hAnsi="Times New Roman" w:cs="Times New Roman"/>
        </w:rPr>
        <w:t xml:space="preserve">, </w:t>
      </w:r>
      <w:r>
        <w:rPr>
          <w:rFonts w:ascii="Times New Roman" w:hAnsi="Times New Roman" w:cs="Times New Roman"/>
          <w:i/>
          <w:iCs/>
        </w:rPr>
        <w:t>Sas</w:t>
      </w:r>
      <w:r>
        <w:rPr>
          <w:rFonts w:ascii="Times New Roman" w:hAnsi="Times New Roman" w:cs="Times New Roman"/>
        </w:rPr>
        <w:t>Pcob with only AdoB12 bound illuminated at 660nm.</w:t>
      </w:r>
    </w:p>
    <w:p w14:paraId="0E77D0FC" w14:textId="77777777" w:rsidR="00A35093" w:rsidRDefault="00A35093" w:rsidP="00A35093">
      <w:pPr>
        <w:jc w:val="center"/>
        <w:rPr>
          <w:rFonts w:ascii="Times New Roman" w:hAnsi="Times New Roman" w:cs="Times New Roman"/>
        </w:rPr>
      </w:pPr>
    </w:p>
    <w:p w14:paraId="25990D9E" w14:textId="77777777" w:rsidR="00A35093" w:rsidRDefault="00A35093" w:rsidP="00A35093">
      <w:pPr>
        <w:jc w:val="both"/>
        <w:rPr>
          <w:rFonts w:ascii="Times New Roman" w:hAnsi="Times New Roman" w:cs="Times New Roman"/>
        </w:rPr>
      </w:pPr>
      <w:r>
        <w:rPr>
          <w:rFonts w:ascii="Times New Roman" w:hAnsi="Times New Roman" w:cs="Times New Roman"/>
          <w:b/>
          <w:bCs/>
        </w:rPr>
        <w:t>Figure 4. Structural comparison of photocobilins with CarH</w:t>
      </w:r>
      <w:r>
        <w:rPr>
          <w:rFonts w:ascii="Times New Roman" w:hAnsi="Times New Roman" w:cs="Times New Roman"/>
          <w:vertAlign w:val="superscript"/>
        </w:rPr>
        <w:t>3</w:t>
      </w:r>
      <w:r>
        <w:rPr>
          <w:rFonts w:ascii="Times New Roman" w:hAnsi="Times New Roman" w:cs="Times New Roman"/>
          <w:b/>
          <w:bCs/>
        </w:rPr>
        <w:t xml:space="preserve"> and BV binding protein</w:t>
      </w:r>
      <w:r>
        <w:rPr>
          <w:rFonts w:ascii="Times New Roman" w:hAnsi="Times New Roman" w:cs="Times New Roman"/>
          <w:vertAlign w:val="superscript"/>
        </w:rPr>
        <w:t>11,12</w:t>
      </w:r>
      <w:r>
        <w:rPr>
          <w:rFonts w:ascii="Times New Roman" w:hAnsi="Times New Roman" w:cs="Times New Roman"/>
          <w:b/>
          <w:bCs/>
        </w:rPr>
        <w:t>.</w:t>
      </w:r>
      <w:r>
        <w:rPr>
          <w:rFonts w:ascii="Times New Roman" w:hAnsi="Times New Roman" w:cs="Times New Roman"/>
        </w:rPr>
        <w:t xml:space="preserve"> </w:t>
      </w:r>
      <w:r>
        <w:rPr>
          <w:rFonts w:ascii="Times New Roman" w:hAnsi="Times New Roman" w:cs="Times New Roman"/>
          <w:b/>
          <w:bCs/>
        </w:rPr>
        <w:t>a</w:t>
      </w:r>
      <w:r>
        <w:rPr>
          <w:rFonts w:ascii="Times New Roman" w:hAnsi="Times New Roman" w:cs="Times New Roman"/>
        </w:rPr>
        <w:t xml:space="preserve">, Structural alignment of </w:t>
      </w:r>
      <w:r>
        <w:rPr>
          <w:rFonts w:ascii="Times New Roman" w:hAnsi="Times New Roman" w:cs="Times New Roman"/>
          <w:i/>
        </w:rPr>
        <w:t>Sas</w:t>
      </w:r>
      <w:r>
        <w:rPr>
          <w:rFonts w:ascii="Times New Roman" w:hAnsi="Times New Roman" w:cs="Times New Roman"/>
        </w:rPr>
        <w:t xml:space="preserve">Pcob, </w:t>
      </w:r>
      <w:r>
        <w:rPr>
          <w:rFonts w:ascii="Times New Roman" w:hAnsi="Times New Roman" w:cs="Times New Roman"/>
          <w:i/>
        </w:rPr>
        <w:t>Ab</w:t>
      </w:r>
      <w:r>
        <w:rPr>
          <w:rFonts w:ascii="Times New Roman" w:hAnsi="Times New Roman" w:cs="Times New Roman"/>
        </w:rPr>
        <w:t>Pcob and CarH proteins(5C8A). The B</w:t>
      </w:r>
      <w:r>
        <w:rPr>
          <w:rFonts w:ascii="Times New Roman" w:hAnsi="Times New Roman" w:cs="Times New Roman"/>
          <w:vertAlign w:val="subscript"/>
        </w:rPr>
        <w:t>12</w:t>
      </w:r>
      <w:r>
        <w:rPr>
          <w:rFonts w:ascii="Times New Roman" w:hAnsi="Times New Roman" w:cs="Times New Roman"/>
        </w:rPr>
        <w:t xml:space="preserve"> binding region is shown as green (</w:t>
      </w:r>
      <w:r>
        <w:rPr>
          <w:rFonts w:ascii="Times New Roman" w:hAnsi="Times New Roman" w:cs="Times New Roman"/>
          <w:i/>
        </w:rPr>
        <w:t>Sas</w:t>
      </w:r>
      <w:r>
        <w:rPr>
          <w:rFonts w:ascii="Times New Roman" w:hAnsi="Times New Roman" w:cs="Times New Roman"/>
        </w:rPr>
        <w:t>Pcob), cyan (</w:t>
      </w:r>
      <w:r>
        <w:rPr>
          <w:rFonts w:ascii="Times New Roman" w:hAnsi="Times New Roman" w:cs="Times New Roman"/>
          <w:i/>
        </w:rPr>
        <w:t>Ab</w:t>
      </w:r>
      <w:r>
        <w:rPr>
          <w:rFonts w:ascii="Times New Roman" w:hAnsi="Times New Roman" w:cs="Times New Roman"/>
        </w:rPr>
        <w:t>Pcob), and magenta (CarH) ribbons. The BV binding domain is shown as yellow (</w:t>
      </w:r>
      <w:r>
        <w:rPr>
          <w:rFonts w:ascii="Times New Roman" w:hAnsi="Times New Roman" w:cs="Times New Roman"/>
          <w:i/>
        </w:rPr>
        <w:t>Sas</w:t>
      </w:r>
      <w:r>
        <w:rPr>
          <w:rFonts w:ascii="Times New Roman" w:hAnsi="Times New Roman" w:cs="Times New Roman"/>
        </w:rPr>
        <w:t>Pcob) and blue (</w:t>
      </w:r>
      <w:r>
        <w:rPr>
          <w:rFonts w:ascii="Times New Roman" w:hAnsi="Times New Roman" w:cs="Times New Roman"/>
          <w:i/>
        </w:rPr>
        <w:t>Ab</w:t>
      </w:r>
      <w:r>
        <w:rPr>
          <w:rFonts w:ascii="Times New Roman" w:hAnsi="Times New Roman" w:cs="Times New Roman"/>
        </w:rPr>
        <w:t xml:space="preserve">Pcob) ribbons. </w:t>
      </w:r>
      <w:r>
        <w:rPr>
          <w:rFonts w:ascii="Times New Roman" w:hAnsi="Times New Roman" w:cs="Times New Roman"/>
          <w:b/>
          <w:bCs/>
        </w:rPr>
        <w:t>b</w:t>
      </w:r>
      <w:r>
        <w:rPr>
          <w:rFonts w:ascii="Times New Roman" w:hAnsi="Times New Roman" w:cs="Times New Roman"/>
        </w:rPr>
        <w:t xml:space="preserve">, Sequence alignment of </w:t>
      </w:r>
      <w:r>
        <w:rPr>
          <w:rFonts w:ascii="Times New Roman" w:hAnsi="Times New Roman" w:cs="Times New Roman"/>
          <w:i/>
        </w:rPr>
        <w:t>Sas</w:t>
      </w:r>
      <w:r>
        <w:rPr>
          <w:rFonts w:ascii="Times New Roman" w:hAnsi="Times New Roman" w:cs="Times New Roman"/>
        </w:rPr>
        <w:t xml:space="preserve">Pcob, </w:t>
      </w:r>
      <w:r>
        <w:rPr>
          <w:rFonts w:ascii="Times New Roman" w:hAnsi="Times New Roman" w:cs="Times New Roman"/>
          <w:i/>
        </w:rPr>
        <w:t>Ab</w:t>
      </w:r>
      <w:r>
        <w:rPr>
          <w:rFonts w:ascii="Times New Roman" w:hAnsi="Times New Roman" w:cs="Times New Roman"/>
        </w:rPr>
        <w:t>Pcob and CarH proteins. The alignment result is coloured according to sequence identity by MView</w:t>
      </w:r>
      <w:r>
        <w:rPr>
          <w:rFonts w:ascii="Times New Roman" w:hAnsi="Times New Roman" w:cs="Times New Roman"/>
          <w:vertAlign w:val="superscript"/>
        </w:rPr>
        <w:t>39</w:t>
      </w:r>
      <w:r>
        <w:rPr>
          <w:rFonts w:ascii="Times New Roman" w:hAnsi="Times New Roman" w:cs="Times New Roman"/>
        </w:rPr>
        <w:t xml:space="preserve">.  The residues in the red box are the key residues at the dimer interface. </w:t>
      </w:r>
      <w:r>
        <w:rPr>
          <w:rFonts w:ascii="Times New Roman" w:hAnsi="Times New Roman" w:cs="Times New Roman"/>
          <w:b/>
        </w:rPr>
        <w:t>c,</w:t>
      </w:r>
      <w:r>
        <w:rPr>
          <w:rFonts w:ascii="Times New Roman" w:hAnsi="Times New Roman" w:cs="Times New Roman"/>
        </w:rPr>
        <w:t xml:space="preserve"> Structural alignment of BV binding domain of </w:t>
      </w:r>
      <w:r>
        <w:rPr>
          <w:rFonts w:ascii="Times New Roman" w:hAnsi="Times New Roman" w:cs="Times New Roman"/>
          <w:i/>
        </w:rPr>
        <w:t>Sas</w:t>
      </w:r>
      <w:r>
        <w:rPr>
          <w:rFonts w:ascii="Times New Roman" w:hAnsi="Times New Roman" w:cs="Times New Roman"/>
        </w:rPr>
        <w:t xml:space="preserve">Pcob (green) and </w:t>
      </w:r>
      <w:r>
        <w:rPr>
          <w:rFonts w:ascii="Times New Roman" w:hAnsi="Times New Roman" w:cs="Times New Roman"/>
          <w:i/>
        </w:rPr>
        <w:t>Ab</w:t>
      </w:r>
      <w:r>
        <w:rPr>
          <w:rFonts w:ascii="Times New Roman" w:hAnsi="Times New Roman" w:cs="Times New Roman"/>
        </w:rPr>
        <w:t xml:space="preserve">Pcob (cyan). The BV molecule is shown as red sticks. </w:t>
      </w:r>
      <w:r>
        <w:rPr>
          <w:rFonts w:ascii="Times New Roman" w:hAnsi="Times New Roman" w:cs="Times New Roman"/>
          <w:b/>
        </w:rPr>
        <w:t>d,</w:t>
      </w:r>
      <w:r>
        <w:rPr>
          <w:rFonts w:ascii="Times New Roman" w:hAnsi="Times New Roman" w:cs="Times New Roman"/>
        </w:rPr>
        <w:t xml:space="preserve"> Structural alignment of BV binding domains of </w:t>
      </w:r>
      <w:r>
        <w:rPr>
          <w:rFonts w:ascii="Times New Roman" w:hAnsi="Times New Roman" w:cs="Times New Roman"/>
          <w:i/>
        </w:rPr>
        <w:t>Sas</w:t>
      </w:r>
      <w:r>
        <w:rPr>
          <w:rFonts w:ascii="Times New Roman" w:hAnsi="Times New Roman" w:cs="Times New Roman"/>
        </w:rPr>
        <w:t xml:space="preserve">Pcob (green) and </w:t>
      </w:r>
      <w:r>
        <w:rPr>
          <w:rFonts w:ascii="Times New Roman" w:hAnsi="Times New Roman" w:cs="Times New Roman"/>
          <w:i/>
        </w:rPr>
        <w:t>Ab</w:t>
      </w:r>
      <w:r>
        <w:rPr>
          <w:rFonts w:ascii="Times New Roman" w:hAnsi="Times New Roman" w:cs="Times New Roman"/>
        </w:rPr>
        <w:t xml:space="preserve">Pcob (cyan) with phycobilisome proteins 1B33 (yellow) and 3MWN (magenta). </w:t>
      </w:r>
      <w:r>
        <w:rPr>
          <w:rFonts w:ascii="Times New Roman" w:hAnsi="Times New Roman" w:cs="Times New Roman"/>
          <w:b/>
        </w:rPr>
        <w:t>e,</w:t>
      </w:r>
      <w:r>
        <w:rPr>
          <w:rFonts w:ascii="Times New Roman" w:hAnsi="Times New Roman" w:cs="Times New Roman"/>
        </w:rPr>
        <w:t xml:space="preserve"> Structural alignment (same as </w:t>
      </w:r>
      <w:r>
        <w:rPr>
          <w:rFonts w:ascii="Times New Roman" w:hAnsi="Times New Roman" w:cs="Times New Roman"/>
          <w:b/>
        </w:rPr>
        <w:t>c</w:t>
      </w:r>
      <w:r>
        <w:rPr>
          <w:rFonts w:ascii="Times New Roman" w:hAnsi="Times New Roman" w:cs="Times New Roman"/>
        </w:rPr>
        <w:t xml:space="preserve">) showing position of BV chromophore in the binding pocket. The BV is shown in red for </w:t>
      </w:r>
      <w:r>
        <w:rPr>
          <w:rFonts w:ascii="Times New Roman" w:hAnsi="Times New Roman" w:cs="Times New Roman"/>
          <w:i/>
        </w:rPr>
        <w:t>Sas</w:t>
      </w:r>
      <w:r>
        <w:rPr>
          <w:rFonts w:ascii="Times New Roman" w:hAnsi="Times New Roman" w:cs="Times New Roman"/>
        </w:rPr>
        <w:t>Pcob, yellow for 1B33</w:t>
      </w:r>
      <w:r>
        <w:rPr>
          <w:rFonts w:ascii="Times New Roman" w:hAnsi="Times New Roman" w:cs="Times New Roman"/>
          <w:vertAlign w:val="superscript"/>
        </w:rPr>
        <w:t>11</w:t>
      </w:r>
      <w:r>
        <w:rPr>
          <w:rFonts w:ascii="Times New Roman" w:hAnsi="Times New Roman" w:cs="Times New Roman"/>
        </w:rPr>
        <w:t xml:space="preserve"> and blue for 3MWN</w:t>
      </w:r>
      <w:r>
        <w:rPr>
          <w:rFonts w:ascii="Times New Roman" w:hAnsi="Times New Roman" w:cs="Times New Roman"/>
          <w:vertAlign w:val="superscript"/>
        </w:rPr>
        <w:t>12</w:t>
      </w:r>
      <w:r>
        <w:rPr>
          <w:rFonts w:ascii="Times New Roman" w:hAnsi="Times New Roman" w:cs="Times New Roman"/>
        </w:rPr>
        <w:t xml:space="preserve">. </w:t>
      </w:r>
      <w:r>
        <w:rPr>
          <w:rFonts w:ascii="Times New Roman" w:hAnsi="Times New Roman" w:cs="Times New Roman"/>
          <w:b/>
        </w:rPr>
        <w:t>f,</w:t>
      </w:r>
      <w:r>
        <w:rPr>
          <w:rFonts w:ascii="Times New Roman" w:hAnsi="Times New Roman" w:cs="Times New Roman"/>
        </w:rPr>
        <w:t xml:space="preserve"> Sequence alignment of photocobilins with 3MWN and 1B33. The residues in the red box forms the BV binding motif.</w:t>
      </w:r>
    </w:p>
    <w:p w14:paraId="7BAC3778" w14:textId="77777777" w:rsidR="00A35093" w:rsidRDefault="00A35093" w:rsidP="00A35093">
      <w:pPr>
        <w:jc w:val="center"/>
        <w:rPr>
          <w:rFonts w:ascii="Times New Roman" w:hAnsi="Times New Roman" w:cs="Times New Roman"/>
        </w:rPr>
      </w:pPr>
    </w:p>
    <w:p w14:paraId="18D8E4F7" w14:textId="77777777" w:rsidR="00A35093" w:rsidRDefault="00A35093" w:rsidP="00A35093">
      <w:pPr>
        <w:jc w:val="both"/>
        <w:rPr>
          <w:rFonts w:ascii="Times New Roman" w:hAnsi="Times New Roman" w:cs="Times New Roman"/>
        </w:rPr>
      </w:pPr>
      <w:r>
        <w:rPr>
          <w:rFonts w:ascii="Times New Roman" w:hAnsi="Times New Roman" w:cs="Times New Roman"/>
          <w:b/>
          <w:bCs/>
        </w:rPr>
        <w:t xml:space="preserve">Figure 5. Chromophore binding of </w:t>
      </w:r>
      <w:r>
        <w:rPr>
          <w:rFonts w:ascii="Times New Roman" w:hAnsi="Times New Roman" w:cs="Times New Roman"/>
          <w:b/>
          <w:bCs/>
          <w:i/>
          <w:iCs/>
        </w:rPr>
        <w:t>Sas</w:t>
      </w:r>
      <w:r>
        <w:rPr>
          <w:rFonts w:ascii="Times New Roman" w:hAnsi="Times New Roman" w:cs="Times New Roman"/>
          <w:b/>
          <w:bCs/>
        </w:rPr>
        <w:t xml:space="preserve">Pcob and BV docking into </w:t>
      </w:r>
      <w:r>
        <w:rPr>
          <w:rFonts w:ascii="Times New Roman" w:hAnsi="Times New Roman" w:cs="Times New Roman"/>
          <w:b/>
          <w:bCs/>
          <w:i/>
          <w:iCs/>
        </w:rPr>
        <w:t>Ab</w:t>
      </w:r>
      <w:r>
        <w:rPr>
          <w:rFonts w:ascii="Times New Roman" w:hAnsi="Times New Roman" w:cs="Times New Roman"/>
          <w:b/>
          <w:bCs/>
        </w:rPr>
        <w:t xml:space="preserve">Pcob. a </w:t>
      </w:r>
      <w:r>
        <w:rPr>
          <w:rFonts w:ascii="Times New Roman" w:hAnsi="Times New Roman" w:cs="Times New Roman"/>
        </w:rPr>
        <w:t>and</w:t>
      </w:r>
      <w:r>
        <w:rPr>
          <w:rFonts w:ascii="Times New Roman" w:hAnsi="Times New Roman" w:cs="Times New Roman"/>
          <w:b/>
          <w:bCs/>
        </w:rPr>
        <w:t xml:space="preserve"> b, </w:t>
      </w:r>
      <w:r>
        <w:rPr>
          <w:rFonts w:ascii="Times New Roman" w:hAnsi="Times New Roman" w:cs="Times New Roman"/>
        </w:rPr>
        <w:t xml:space="preserve">AdoCbl and BV binding in </w:t>
      </w:r>
      <w:r>
        <w:rPr>
          <w:rFonts w:ascii="Times New Roman" w:hAnsi="Times New Roman" w:cs="Times New Roman"/>
          <w:i/>
          <w:iCs/>
        </w:rPr>
        <w:t>Sas</w:t>
      </w:r>
      <w:r>
        <w:rPr>
          <w:rFonts w:ascii="Times New Roman" w:hAnsi="Times New Roman" w:cs="Times New Roman"/>
        </w:rPr>
        <w:t xml:space="preserve">Pcob. Protein residues are shown as orange sticks. Residues from another protein chain are shown as blue sticks. AdoCbl and BV molecule are shown as yelllow and pink sticks, respectively, and water molecules as blue spheres. Conserved water molecules are shown as green spheres. Salt-bridges and its centre are shown as yellow dash and cyan sphere, hydrophobic interactions as a blue dash and hydrogen bonds as a red dash. </w:t>
      </w:r>
      <w:r>
        <w:rPr>
          <w:rFonts w:ascii="Times New Roman" w:hAnsi="Times New Roman" w:cs="Times New Roman"/>
          <w:b/>
          <w:bCs/>
        </w:rPr>
        <w:t xml:space="preserve">c-f, </w:t>
      </w:r>
      <w:r>
        <w:rPr>
          <w:rFonts w:ascii="Times New Roman" w:hAnsi="Times New Roman" w:cs="Times New Roman"/>
        </w:rPr>
        <w:t xml:space="preserve">Clustered </w:t>
      </w:r>
      <w:r>
        <w:rPr>
          <w:rFonts w:ascii="Times New Roman" w:hAnsi="Times New Roman" w:cs="Times New Roman"/>
          <w:i/>
          <w:iCs/>
        </w:rPr>
        <w:t>Ab</w:t>
      </w:r>
      <w:r>
        <w:rPr>
          <w:rFonts w:ascii="Times New Roman" w:hAnsi="Times New Roman" w:cs="Times New Roman"/>
        </w:rPr>
        <w:t xml:space="preserve">Pcob </w:t>
      </w:r>
      <w:r>
        <w:rPr>
          <w:rFonts w:ascii="Times New Roman" w:hAnsi="Times New Roman" w:cs="Times New Roman"/>
        </w:rPr>
        <w:lastRenderedPageBreak/>
        <w:t xml:space="preserve">protein structures after MD simulation showing possible binding pose with BV. The grey cartoon and sticks are the representations for </w:t>
      </w:r>
      <w:r>
        <w:rPr>
          <w:rFonts w:ascii="Times New Roman" w:hAnsi="Times New Roman" w:cs="Times New Roman"/>
          <w:i/>
          <w:iCs/>
        </w:rPr>
        <w:t>Sas</w:t>
      </w:r>
      <w:r>
        <w:rPr>
          <w:rFonts w:ascii="Times New Roman" w:hAnsi="Times New Roman" w:cs="Times New Roman"/>
        </w:rPr>
        <w:t xml:space="preserve">Pcob as comparision. BV molecule and its binding region in </w:t>
      </w:r>
      <w:r>
        <w:rPr>
          <w:rFonts w:ascii="Times New Roman" w:hAnsi="Times New Roman" w:cs="Times New Roman"/>
          <w:i/>
          <w:iCs/>
        </w:rPr>
        <w:t>Ab</w:t>
      </w:r>
      <w:r>
        <w:rPr>
          <w:rFonts w:ascii="Times New Roman" w:hAnsi="Times New Roman" w:cs="Times New Roman"/>
        </w:rPr>
        <w:t xml:space="preserve">Pcob are coloured as yellow sticks and red cartoon. </w:t>
      </w:r>
      <w:r>
        <w:rPr>
          <w:rFonts w:ascii="Times New Roman" w:hAnsi="Times New Roman" w:cs="Times New Roman"/>
          <w:b/>
          <w:bCs/>
        </w:rPr>
        <w:t>g-h</w:t>
      </w:r>
      <w:r>
        <w:rPr>
          <w:rFonts w:ascii="Times New Roman" w:hAnsi="Times New Roman" w:cs="Times New Roman"/>
        </w:rPr>
        <w:t xml:space="preserve">, comparison of BV binding in </w:t>
      </w:r>
      <w:r>
        <w:rPr>
          <w:rFonts w:ascii="Times New Roman" w:hAnsi="Times New Roman" w:cs="Times New Roman"/>
          <w:i/>
          <w:iCs/>
        </w:rPr>
        <w:t>Ab</w:t>
      </w:r>
      <w:r>
        <w:rPr>
          <w:rFonts w:ascii="Times New Roman" w:hAnsi="Times New Roman" w:cs="Times New Roman"/>
        </w:rPr>
        <w:t xml:space="preserve">Pcob(g) and </w:t>
      </w:r>
      <w:r>
        <w:rPr>
          <w:rFonts w:ascii="Times New Roman" w:hAnsi="Times New Roman" w:cs="Times New Roman"/>
          <w:i/>
          <w:iCs/>
        </w:rPr>
        <w:t>Sas</w:t>
      </w:r>
      <w:r>
        <w:rPr>
          <w:rFonts w:ascii="Times New Roman" w:hAnsi="Times New Roman" w:cs="Times New Roman"/>
        </w:rPr>
        <w:t>Pcob(</w:t>
      </w:r>
      <w:r>
        <w:rPr>
          <w:rFonts w:ascii="Times New Roman" w:hAnsi="Times New Roman" w:cs="Times New Roman"/>
          <w:b/>
          <w:bCs/>
        </w:rPr>
        <w:t>h</w:t>
      </w:r>
      <w:r>
        <w:rPr>
          <w:rFonts w:ascii="Times New Roman" w:hAnsi="Times New Roman" w:cs="Times New Roman"/>
        </w:rPr>
        <w:t>). Binding poses in cluster 6 was selected for comparison. BV and B12 molecules are shown as above. Residues around BV with 4Å are shown as red (</w:t>
      </w:r>
      <w:r>
        <w:rPr>
          <w:rFonts w:ascii="Times New Roman" w:hAnsi="Times New Roman" w:cs="Times New Roman"/>
          <w:i/>
          <w:iCs/>
        </w:rPr>
        <w:t>Ab</w:t>
      </w:r>
      <w:r>
        <w:rPr>
          <w:rFonts w:ascii="Times New Roman" w:hAnsi="Times New Roman" w:cs="Times New Roman"/>
        </w:rPr>
        <w:t>Pcob) and grey (</w:t>
      </w:r>
      <w:r>
        <w:rPr>
          <w:rFonts w:ascii="Times New Roman" w:hAnsi="Times New Roman" w:cs="Times New Roman"/>
          <w:i/>
          <w:iCs/>
        </w:rPr>
        <w:t>Sas</w:t>
      </w:r>
      <w:r>
        <w:rPr>
          <w:rFonts w:ascii="Times New Roman" w:hAnsi="Times New Roman" w:cs="Times New Roman"/>
        </w:rPr>
        <w:t xml:space="preserve">Pcob) sticks. </w:t>
      </w:r>
    </w:p>
    <w:p w14:paraId="53D4A0A3" w14:textId="77777777" w:rsidR="00A35093" w:rsidRDefault="00A35093" w:rsidP="00A35093">
      <w:pPr>
        <w:jc w:val="both"/>
        <w:rPr>
          <w:rFonts w:ascii="Times New Roman" w:hAnsi="Times New Roman" w:cs="Times New Roman"/>
        </w:rPr>
      </w:pPr>
    </w:p>
    <w:p w14:paraId="1F235CF1" w14:textId="77777777" w:rsidR="00A35093" w:rsidRDefault="00A35093" w:rsidP="00A35093">
      <w:pPr>
        <w:jc w:val="both"/>
        <w:rPr>
          <w:rFonts w:ascii="Times New Roman" w:hAnsi="Times New Roman" w:cs="Times New Roman"/>
        </w:rPr>
      </w:pPr>
      <w:r>
        <w:rPr>
          <w:rFonts w:ascii="Times New Roman" w:hAnsi="Times New Roman" w:cs="Times New Roman"/>
          <w:b/>
          <w:bCs/>
        </w:rPr>
        <w:t xml:space="preserve">Figure 6. Regulation of DGC activities in </w:t>
      </w:r>
      <w:r>
        <w:rPr>
          <w:rFonts w:ascii="Times New Roman" w:hAnsi="Times New Roman" w:cs="Times New Roman"/>
          <w:b/>
          <w:bCs/>
          <w:i/>
          <w:iCs/>
        </w:rPr>
        <w:t>Ab</w:t>
      </w:r>
      <w:r>
        <w:rPr>
          <w:rFonts w:ascii="Times New Roman" w:hAnsi="Times New Roman" w:cs="Times New Roman"/>
          <w:b/>
          <w:bCs/>
        </w:rPr>
        <w:t>DPcob. a</w:t>
      </w:r>
      <w:r>
        <w:rPr>
          <w:rFonts w:ascii="Times New Roman" w:hAnsi="Times New Roman" w:cs="Times New Roman"/>
        </w:rPr>
        <w:t xml:space="preserve">, LC-MS chromatograms showing the production of cyclic-di-GMP for the </w:t>
      </w:r>
      <w:r>
        <w:rPr>
          <w:rFonts w:ascii="Times New Roman" w:hAnsi="Times New Roman" w:cs="Times New Roman"/>
          <w:i/>
        </w:rPr>
        <w:t>apo</w:t>
      </w:r>
      <w:r>
        <w:rPr>
          <w:rFonts w:ascii="Times New Roman" w:hAnsi="Times New Roman" w:cs="Times New Roman"/>
        </w:rPr>
        <w:t xml:space="preserve">, dark and light states of the </w:t>
      </w:r>
      <w:r>
        <w:rPr>
          <w:rFonts w:ascii="Times New Roman" w:hAnsi="Times New Roman" w:cs="Times New Roman"/>
          <w:i/>
          <w:iCs/>
        </w:rPr>
        <w:t>Ab</w:t>
      </w:r>
      <w:r>
        <w:rPr>
          <w:rFonts w:ascii="Times New Roman" w:hAnsi="Times New Roman" w:cs="Times New Roman"/>
        </w:rPr>
        <w:t xml:space="preserve">DPcob protein. </w:t>
      </w:r>
      <w:r>
        <w:rPr>
          <w:rFonts w:ascii="Times New Roman" w:hAnsi="Times New Roman" w:cs="Times New Roman"/>
          <w:b/>
          <w:bCs/>
        </w:rPr>
        <w:t>b</w:t>
      </w:r>
      <w:r>
        <w:rPr>
          <w:rFonts w:ascii="Times New Roman" w:hAnsi="Times New Roman" w:cs="Times New Roman"/>
        </w:rPr>
        <w:t xml:space="preserve">, DGC activity of </w:t>
      </w:r>
      <w:r>
        <w:rPr>
          <w:rFonts w:ascii="Times New Roman" w:hAnsi="Times New Roman" w:cs="Times New Roman"/>
          <w:i/>
          <w:iCs/>
        </w:rPr>
        <w:t>Ab</w:t>
      </w:r>
      <w:r>
        <w:rPr>
          <w:rFonts w:ascii="Times New Roman" w:hAnsi="Times New Roman" w:cs="Times New Roman"/>
        </w:rPr>
        <w:t xml:space="preserve">DPcob upon addition of different cobalamin cofactors under dark and light condition. Light induced structural change in </w:t>
      </w:r>
      <w:r>
        <w:rPr>
          <w:rFonts w:ascii="Times New Roman" w:hAnsi="Times New Roman" w:cs="Times New Roman"/>
          <w:i/>
          <w:iCs/>
        </w:rPr>
        <w:t>Ab</w:t>
      </w:r>
      <w:r>
        <w:rPr>
          <w:rFonts w:ascii="Times New Roman" w:hAnsi="Times New Roman" w:cs="Times New Roman"/>
        </w:rPr>
        <w:t>DPcob (</w:t>
      </w:r>
      <w:r>
        <w:rPr>
          <w:rFonts w:ascii="Times New Roman" w:hAnsi="Times New Roman" w:cs="Times New Roman"/>
          <w:b/>
          <w:bCs/>
        </w:rPr>
        <w:t>c-e</w:t>
      </w:r>
      <w:r>
        <w:rPr>
          <w:rFonts w:ascii="Times New Roman" w:hAnsi="Times New Roman" w:cs="Times New Roman"/>
        </w:rPr>
        <w:t xml:space="preserve">). SAXS signals of </w:t>
      </w:r>
      <w:r>
        <w:rPr>
          <w:rFonts w:ascii="Times New Roman" w:hAnsi="Times New Roman" w:cs="Times New Roman"/>
          <w:i/>
          <w:iCs/>
        </w:rPr>
        <w:t>Ab</w:t>
      </w:r>
      <w:r>
        <w:rPr>
          <w:rFonts w:ascii="Times New Roman" w:hAnsi="Times New Roman" w:cs="Times New Roman"/>
        </w:rPr>
        <w:t xml:space="preserve">DPcob in the dark state and after illumination at 530nm for 10 </w:t>
      </w:r>
      <w:r>
        <w:rPr>
          <w:rFonts w:ascii="Times New Roman" w:eastAsia="Times New Roman" w:hAnsi="Times New Roman" w:cs="Times New Roman"/>
          <w:bCs/>
        </w:rPr>
        <w:t>minutes</w:t>
      </w:r>
      <w:r>
        <w:rPr>
          <w:rFonts w:ascii="Times New Roman" w:hAnsi="Times New Roman" w:cs="Times New Roman"/>
        </w:rPr>
        <w:t xml:space="preserve"> (</w:t>
      </w:r>
      <w:r>
        <w:rPr>
          <w:rFonts w:ascii="Times New Roman" w:hAnsi="Times New Roman" w:cs="Times New Roman"/>
          <w:b/>
          <w:bCs/>
        </w:rPr>
        <w:t>c</w:t>
      </w:r>
      <w:r>
        <w:rPr>
          <w:rFonts w:ascii="Times New Roman" w:hAnsi="Times New Roman" w:cs="Times New Roman"/>
        </w:rPr>
        <w:t>). The inset shows the difference between the two signals. The distance distribution p(r) reveals an expansion of the protein upon illumination (</w:t>
      </w:r>
      <w:r>
        <w:rPr>
          <w:rFonts w:ascii="Times New Roman" w:hAnsi="Times New Roman" w:cs="Times New Roman"/>
          <w:b/>
          <w:bCs/>
        </w:rPr>
        <w:t>d</w:t>
      </w:r>
      <w:r>
        <w:rPr>
          <w:rFonts w:ascii="Times New Roman" w:hAnsi="Times New Roman" w:cs="Times New Roman"/>
        </w:rPr>
        <w:t>). Low-resolution ab-initio modelling based on the SAXS data provides the envelope of the protein electron density distribution for both dark and light state (</w:t>
      </w:r>
      <w:r>
        <w:rPr>
          <w:rFonts w:ascii="Times New Roman" w:hAnsi="Times New Roman" w:cs="Times New Roman"/>
          <w:b/>
          <w:bCs/>
        </w:rPr>
        <w:t>e</w:t>
      </w:r>
      <w:r>
        <w:rPr>
          <w:rFonts w:ascii="Times New Roman" w:hAnsi="Times New Roman" w:cs="Times New Roman"/>
        </w:rPr>
        <w:t>). Results in panel e show that the AlphaFold2 prediction (orange structure) is compatible with the dark structure in solution, while the light state is characterised by an extended conformation.</w:t>
      </w:r>
    </w:p>
    <w:p w14:paraId="2AB14738" w14:textId="77777777" w:rsidR="00A35093" w:rsidRDefault="00A35093" w:rsidP="00A35093">
      <w:pPr>
        <w:jc w:val="both"/>
        <w:rPr>
          <w:rFonts w:ascii="Times New Roman" w:hAnsi="Times New Roman" w:cs="Times New Roman"/>
        </w:rPr>
      </w:pPr>
    </w:p>
    <w:p w14:paraId="6E05F5A0" w14:textId="77777777" w:rsidR="00A35093" w:rsidRDefault="00A35093" w:rsidP="00A35093">
      <w:pPr>
        <w:jc w:val="both"/>
        <w:rPr>
          <w:rFonts w:ascii="Times New Roman" w:hAnsi="Times New Roman" w:cs="Times New Roman"/>
        </w:rPr>
      </w:pPr>
      <w:r>
        <w:rPr>
          <w:rFonts w:ascii="Times New Roman" w:hAnsi="Times New Roman" w:cs="Times New Roman"/>
          <w:b/>
          <w:bCs/>
        </w:rPr>
        <w:t xml:space="preserve">Figure 7. Size exclusion chromatography-multi-angle light scattering (SEC-MALS) analysis of </w:t>
      </w:r>
      <w:r>
        <w:rPr>
          <w:rFonts w:ascii="Times New Roman" w:hAnsi="Times New Roman" w:cs="Times New Roman"/>
          <w:b/>
          <w:bCs/>
          <w:i/>
        </w:rPr>
        <w:t>Ab</w:t>
      </w:r>
      <w:r>
        <w:rPr>
          <w:rFonts w:ascii="Times New Roman" w:hAnsi="Times New Roman" w:cs="Times New Roman"/>
          <w:b/>
          <w:bCs/>
        </w:rPr>
        <w:t xml:space="preserve">DGC and </w:t>
      </w:r>
      <w:r>
        <w:rPr>
          <w:rFonts w:ascii="Times New Roman" w:hAnsi="Times New Roman" w:cs="Times New Roman"/>
          <w:b/>
          <w:bCs/>
          <w:i/>
        </w:rPr>
        <w:t>Ab</w:t>
      </w:r>
      <w:r>
        <w:rPr>
          <w:rFonts w:ascii="Times New Roman" w:hAnsi="Times New Roman" w:cs="Times New Roman"/>
          <w:b/>
          <w:bCs/>
        </w:rPr>
        <w:t xml:space="preserve">Pcob proteins. </w:t>
      </w:r>
      <w:r>
        <w:rPr>
          <w:rFonts w:ascii="Times New Roman" w:hAnsi="Times New Roman" w:cs="Times New Roman"/>
        </w:rPr>
        <w:t xml:space="preserve">SEC-MALS chromatograms are shown for the following samples: </w:t>
      </w:r>
      <w:r>
        <w:rPr>
          <w:rFonts w:ascii="Times New Roman" w:hAnsi="Times New Roman" w:cs="Times New Roman"/>
          <w:i/>
        </w:rPr>
        <w:t>Ab</w:t>
      </w:r>
      <w:r>
        <w:rPr>
          <w:rFonts w:ascii="Times New Roman" w:hAnsi="Times New Roman" w:cs="Times New Roman"/>
        </w:rPr>
        <w:t xml:space="preserve">DGC and </w:t>
      </w:r>
      <w:r>
        <w:rPr>
          <w:rFonts w:ascii="Times New Roman" w:hAnsi="Times New Roman" w:cs="Times New Roman"/>
          <w:i/>
        </w:rPr>
        <w:t>Ab</w:t>
      </w:r>
      <w:r>
        <w:rPr>
          <w:rFonts w:ascii="Times New Roman" w:hAnsi="Times New Roman" w:cs="Times New Roman"/>
        </w:rPr>
        <w:t xml:space="preserve">Pcob with different concentration, </w:t>
      </w:r>
      <w:r>
        <w:rPr>
          <w:rFonts w:ascii="Times New Roman" w:hAnsi="Times New Roman" w:cs="Times New Roman"/>
          <w:b/>
          <w:bCs/>
        </w:rPr>
        <w:t>a</w:t>
      </w:r>
      <w:r>
        <w:rPr>
          <w:rFonts w:ascii="Times New Roman" w:hAnsi="Times New Roman" w:cs="Times New Roman"/>
        </w:rPr>
        <w:t xml:space="preserve"> (1 mg/mL), </w:t>
      </w:r>
      <w:r>
        <w:rPr>
          <w:rFonts w:ascii="Times New Roman" w:hAnsi="Times New Roman" w:cs="Times New Roman"/>
          <w:b/>
          <w:bCs/>
        </w:rPr>
        <w:t>b</w:t>
      </w:r>
      <w:r>
        <w:rPr>
          <w:rFonts w:ascii="Times New Roman" w:hAnsi="Times New Roman" w:cs="Times New Roman"/>
        </w:rPr>
        <w:t xml:space="preserve"> (5 mg/mL), </w:t>
      </w:r>
      <w:r>
        <w:rPr>
          <w:rFonts w:ascii="Times New Roman" w:hAnsi="Times New Roman" w:cs="Times New Roman"/>
          <w:b/>
          <w:bCs/>
        </w:rPr>
        <w:t xml:space="preserve">c </w:t>
      </w:r>
      <w:r>
        <w:rPr>
          <w:rFonts w:ascii="Times New Roman" w:hAnsi="Times New Roman" w:cs="Times New Roman"/>
        </w:rPr>
        <w:t>and</w:t>
      </w:r>
      <w:r>
        <w:rPr>
          <w:rFonts w:ascii="Times New Roman" w:hAnsi="Times New Roman" w:cs="Times New Roman"/>
          <w:b/>
          <w:bCs/>
        </w:rPr>
        <w:t xml:space="preserve"> d</w:t>
      </w:r>
      <w:r>
        <w:rPr>
          <w:rFonts w:ascii="Times New Roman" w:hAnsi="Times New Roman" w:cs="Times New Roman"/>
        </w:rPr>
        <w:t xml:space="preserve"> (1 mg/mL). </w:t>
      </w:r>
      <w:r>
        <w:rPr>
          <w:rFonts w:ascii="Times New Roman" w:hAnsi="Times New Roman" w:cs="Times New Roman"/>
          <w:i/>
          <w:iCs/>
        </w:rPr>
        <w:t>Ab</w:t>
      </w:r>
      <w:r>
        <w:rPr>
          <w:rFonts w:ascii="Times New Roman" w:hAnsi="Times New Roman" w:cs="Times New Roman"/>
        </w:rPr>
        <w:t>Pcob protein was run through SEC-MALS under dark (</w:t>
      </w:r>
      <w:r>
        <w:rPr>
          <w:rFonts w:ascii="Times New Roman" w:hAnsi="Times New Roman" w:cs="Times New Roman"/>
          <w:b/>
          <w:bCs/>
        </w:rPr>
        <w:t>c</w:t>
      </w:r>
      <w:r>
        <w:rPr>
          <w:rFonts w:ascii="Times New Roman" w:hAnsi="Times New Roman" w:cs="Times New Roman"/>
        </w:rPr>
        <w:t>) and light (</w:t>
      </w:r>
      <w:r>
        <w:rPr>
          <w:rFonts w:ascii="Times New Roman" w:hAnsi="Times New Roman" w:cs="Times New Roman"/>
          <w:b/>
          <w:bCs/>
        </w:rPr>
        <w:t>d</w:t>
      </w:r>
      <w:r>
        <w:rPr>
          <w:rFonts w:ascii="Times New Roman" w:hAnsi="Times New Roman" w:cs="Times New Roman"/>
        </w:rPr>
        <w:t xml:space="preserve">) condition. </w:t>
      </w:r>
      <w:r>
        <w:rPr>
          <w:rFonts w:ascii="Times New Roman" w:hAnsi="Times New Roman" w:cs="Times New Roman"/>
          <w:b/>
          <w:bCs/>
        </w:rPr>
        <w:t>e-h</w:t>
      </w:r>
      <w:r>
        <w:rPr>
          <w:rFonts w:ascii="Times New Roman" w:hAnsi="Times New Roman" w:cs="Times New Roman"/>
        </w:rPr>
        <w:t xml:space="preserve">, </w:t>
      </w:r>
      <w:r>
        <w:rPr>
          <w:rFonts w:ascii="Times New Roman" w:hAnsi="Times New Roman" w:cs="Times New Roman"/>
          <w:i/>
        </w:rPr>
        <w:t>Ab</w:t>
      </w:r>
      <w:r>
        <w:rPr>
          <w:rFonts w:ascii="Times New Roman" w:hAnsi="Times New Roman" w:cs="Times New Roman"/>
        </w:rPr>
        <w:t xml:space="preserve">DGC protein was mixed with </w:t>
      </w:r>
      <w:r>
        <w:rPr>
          <w:rFonts w:ascii="Times New Roman" w:hAnsi="Times New Roman" w:cs="Times New Roman"/>
          <w:i/>
        </w:rPr>
        <w:t>Ab</w:t>
      </w:r>
      <w:r>
        <w:rPr>
          <w:rFonts w:ascii="Times New Roman" w:hAnsi="Times New Roman" w:cs="Times New Roman"/>
        </w:rPr>
        <w:t>BG at different concentration and run through the SEC-MALS under dark (</w:t>
      </w:r>
      <w:r>
        <w:rPr>
          <w:rFonts w:ascii="Times New Roman" w:hAnsi="Times New Roman" w:cs="Times New Roman"/>
          <w:b/>
          <w:bCs/>
        </w:rPr>
        <w:t>e, g</w:t>
      </w:r>
      <w:r>
        <w:rPr>
          <w:rFonts w:ascii="Times New Roman" w:hAnsi="Times New Roman" w:cs="Times New Roman"/>
        </w:rPr>
        <w:t>) and light (</w:t>
      </w:r>
      <w:r>
        <w:rPr>
          <w:rFonts w:ascii="Times New Roman" w:hAnsi="Times New Roman" w:cs="Times New Roman"/>
          <w:b/>
          <w:bCs/>
        </w:rPr>
        <w:t>f, h</w:t>
      </w:r>
      <w:r>
        <w:rPr>
          <w:rFonts w:ascii="Times New Roman" w:hAnsi="Times New Roman" w:cs="Times New Roman"/>
        </w:rPr>
        <w:t xml:space="preserve">) condition. </w:t>
      </w:r>
      <w:r>
        <w:rPr>
          <w:rFonts w:ascii="Times New Roman" w:hAnsi="Times New Roman" w:cs="Times New Roman"/>
          <w:b/>
          <w:bCs/>
        </w:rPr>
        <w:t>e</w:t>
      </w:r>
      <w:r>
        <w:rPr>
          <w:rFonts w:ascii="Times New Roman" w:hAnsi="Times New Roman" w:cs="Times New Roman"/>
        </w:rPr>
        <w:t xml:space="preserve"> and </w:t>
      </w:r>
      <w:r>
        <w:rPr>
          <w:rFonts w:ascii="Times New Roman" w:hAnsi="Times New Roman" w:cs="Times New Roman"/>
          <w:b/>
          <w:bCs/>
        </w:rPr>
        <w:t>f</w:t>
      </w:r>
      <w:r>
        <w:rPr>
          <w:rFonts w:ascii="Times New Roman" w:hAnsi="Times New Roman" w:cs="Times New Roman"/>
        </w:rPr>
        <w:t xml:space="preserve">, </w:t>
      </w:r>
      <w:r>
        <w:rPr>
          <w:rFonts w:ascii="Times New Roman" w:hAnsi="Times New Roman" w:cs="Times New Roman"/>
          <w:i/>
        </w:rPr>
        <w:t>Ab</w:t>
      </w:r>
      <w:r>
        <w:rPr>
          <w:rFonts w:ascii="Times New Roman" w:hAnsi="Times New Roman" w:cs="Times New Roman"/>
        </w:rPr>
        <w:t xml:space="preserve">DGC mixed with </w:t>
      </w:r>
      <w:r>
        <w:rPr>
          <w:rFonts w:ascii="Times New Roman" w:hAnsi="Times New Roman" w:cs="Times New Roman"/>
          <w:i/>
        </w:rPr>
        <w:t>Ab</w:t>
      </w:r>
      <w:r>
        <w:rPr>
          <w:rFonts w:ascii="Times New Roman" w:hAnsi="Times New Roman" w:cs="Times New Roman"/>
        </w:rPr>
        <w:t xml:space="preserve">Pcob at equal molar ratio. </w:t>
      </w:r>
      <w:r>
        <w:rPr>
          <w:rFonts w:ascii="Times New Roman" w:hAnsi="Times New Roman" w:cs="Times New Roman"/>
          <w:b/>
          <w:bCs/>
        </w:rPr>
        <w:t>g</w:t>
      </w:r>
      <w:r>
        <w:rPr>
          <w:rFonts w:ascii="Times New Roman" w:hAnsi="Times New Roman" w:cs="Times New Roman"/>
        </w:rPr>
        <w:t xml:space="preserve"> and </w:t>
      </w:r>
      <w:r>
        <w:rPr>
          <w:rFonts w:ascii="Times New Roman" w:hAnsi="Times New Roman" w:cs="Times New Roman"/>
          <w:b/>
          <w:bCs/>
        </w:rPr>
        <w:t>h</w:t>
      </w:r>
      <w:r>
        <w:rPr>
          <w:rFonts w:ascii="Times New Roman" w:hAnsi="Times New Roman" w:cs="Times New Roman"/>
        </w:rPr>
        <w:t xml:space="preserve">, </w:t>
      </w:r>
      <w:r>
        <w:rPr>
          <w:rFonts w:ascii="Times New Roman" w:hAnsi="Times New Roman" w:cs="Times New Roman"/>
          <w:i/>
        </w:rPr>
        <w:t>Ab</w:t>
      </w:r>
      <w:r>
        <w:rPr>
          <w:rFonts w:ascii="Times New Roman" w:hAnsi="Times New Roman" w:cs="Times New Roman"/>
        </w:rPr>
        <w:t xml:space="preserve">DGC mixed with 5 times of </w:t>
      </w:r>
      <w:r>
        <w:rPr>
          <w:rFonts w:ascii="Times New Roman" w:hAnsi="Times New Roman" w:cs="Times New Roman"/>
          <w:i/>
        </w:rPr>
        <w:t>Ab</w:t>
      </w:r>
      <w:r>
        <w:rPr>
          <w:rFonts w:ascii="Times New Roman" w:hAnsi="Times New Roman" w:cs="Times New Roman"/>
        </w:rPr>
        <w:t>Pcob.</w:t>
      </w:r>
    </w:p>
    <w:p w14:paraId="75ACE37F" w14:textId="77777777" w:rsidR="00A35093" w:rsidRDefault="00A35093" w:rsidP="00A35093">
      <w:pPr>
        <w:jc w:val="both"/>
        <w:rPr>
          <w:rFonts w:ascii="Times New Roman" w:hAnsi="Times New Roman" w:cs="Times New Roman"/>
        </w:rPr>
      </w:pPr>
    </w:p>
    <w:p w14:paraId="04A08064" w14:textId="77777777" w:rsidR="00A35093" w:rsidRDefault="00A35093" w:rsidP="00A35093">
      <w:pPr>
        <w:jc w:val="both"/>
        <w:rPr>
          <w:rFonts w:ascii="Times New Roman" w:hAnsi="Times New Roman" w:cs="Times New Roman"/>
          <w:sz w:val="21"/>
          <w:szCs w:val="20"/>
        </w:rPr>
      </w:pPr>
      <w:r>
        <w:rPr>
          <w:rFonts w:ascii="Times New Roman" w:hAnsi="Times New Roman" w:cs="Times New Roman"/>
          <w:b/>
          <w:bCs/>
        </w:rPr>
        <w:t>Figure 8. The protein-protein interaction network analysis showing the functions of potential partner proteins for standalone photocobilins. a</w:t>
      </w:r>
      <w:r>
        <w:rPr>
          <w:rFonts w:ascii="Times New Roman" w:hAnsi="Times New Roman" w:cs="Times New Roman"/>
        </w:rPr>
        <w:t xml:space="preserve">, The potential protein-protein interaction network of proteins for four species. Each node represents a protein with mapped proteins of 506 sequences in a certain species coloured in a darker colour, while predicted interacting proteins are coloured in a light colour. The edges between nodes represent the confidence score that integrates the protein-protein interaction information, containing text-mining, co-expression, gene neighbourhood, gene fusion, co-occurrence, etc. The intensity of the colour represents a more confident interaction between two proteins. </w:t>
      </w:r>
      <w:r>
        <w:rPr>
          <w:rFonts w:ascii="Times New Roman" w:hAnsi="Times New Roman" w:cs="Times New Roman"/>
          <w:b/>
          <w:bCs/>
        </w:rPr>
        <w:t>b</w:t>
      </w:r>
      <w:r>
        <w:rPr>
          <w:rFonts w:ascii="Times New Roman" w:hAnsi="Times New Roman" w:cs="Times New Roman"/>
        </w:rPr>
        <w:t xml:space="preserve">, TEnrichment analysis based on gene list from protein-protein interaction network in different species. Terms with detailed descriptions are annotated in the figure. </w:t>
      </w:r>
    </w:p>
    <w:p w14:paraId="1C6A3C8B" w14:textId="77777777" w:rsidR="00A35093" w:rsidRDefault="00A35093" w:rsidP="00A35093">
      <w:pPr>
        <w:jc w:val="both"/>
        <w:rPr>
          <w:rFonts w:ascii="Times New Roman" w:hAnsi="Times New Roman" w:cs="Times New Roman"/>
        </w:rPr>
      </w:pPr>
    </w:p>
    <w:p w14:paraId="32A16D86" w14:textId="77777777" w:rsidR="00A35093" w:rsidRDefault="00A35093" w:rsidP="00A35093">
      <w:pPr>
        <w:jc w:val="both"/>
        <w:rPr>
          <w:rFonts w:ascii="Times New Roman" w:hAnsi="Times New Roman" w:cs="Times New Roman"/>
        </w:rPr>
      </w:pPr>
      <w:r>
        <w:rPr>
          <w:rFonts w:ascii="Times New Roman" w:hAnsi="Times New Roman" w:cs="Times New Roman"/>
          <w:b/>
          <w:bCs/>
        </w:rPr>
        <w:t xml:space="preserve">Figure 9. Bioinformatic and structural analysis of photocobilin-containing proteins. a, </w:t>
      </w:r>
      <w:r>
        <w:rPr>
          <w:rFonts w:ascii="Times New Roman" w:hAnsi="Times New Roman" w:cs="Times New Roman"/>
        </w:rPr>
        <w:t>PPI network analysis of Pcob proteins. The functional enrichment analysis of potential protein-protein interaction network predicted by the STRING database</w:t>
      </w:r>
      <w:r>
        <w:rPr>
          <w:rFonts w:ascii="Times New Roman" w:hAnsi="Times New Roman" w:cs="Times New Roman"/>
          <w:vertAlign w:val="superscript"/>
        </w:rPr>
        <w:t>40</w:t>
      </w:r>
      <w:r>
        <w:rPr>
          <w:rFonts w:ascii="Times New Roman" w:hAnsi="Times New Roman" w:cs="Times New Roman"/>
        </w:rPr>
        <w:t xml:space="preserve"> in four species. Enriched terms (p-value &lt; 0.05) that occurs in at least two species are shown. </w:t>
      </w:r>
      <w:r>
        <w:rPr>
          <w:rFonts w:ascii="Times New Roman" w:hAnsi="Times New Roman" w:cs="Times New Roman"/>
          <w:b/>
          <w:bCs/>
        </w:rPr>
        <w:t>b-d</w:t>
      </w:r>
      <w:r>
        <w:rPr>
          <w:rFonts w:ascii="Times New Roman" w:hAnsi="Times New Roman" w:cs="Times New Roman"/>
        </w:rPr>
        <w:t xml:space="preserve">, Structural alignment of predicted AlphaFold2 structures with </w:t>
      </w:r>
      <w:r>
        <w:rPr>
          <w:rFonts w:ascii="Times New Roman" w:hAnsi="Times New Roman" w:cs="Times New Roman"/>
          <w:i/>
          <w:iCs/>
        </w:rPr>
        <w:t>Sas</w:t>
      </w:r>
      <w:r>
        <w:rPr>
          <w:rFonts w:ascii="Times New Roman" w:hAnsi="Times New Roman" w:cs="Times New Roman"/>
        </w:rPr>
        <w:t>Pcob. Protein structures are shown as cartoons. B</w:t>
      </w:r>
      <w:r>
        <w:rPr>
          <w:rFonts w:ascii="Times New Roman" w:hAnsi="Times New Roman" w:cs="Times New Roman"/>
          <w:vertAlign w:val="subscript"/>
        </w:rPr>
        <w:t>12</w:t>
      </w:r>
      <w:r>
        <w:rPr>
          <w:rFonts w:ascii="Times New Roman" w:hAnsi="Times New Roman" w:cs="Times New Roman"/>
        </w:rPr>
        <w:t xml:space="preserve"> and BV domain of </w:t>
      </w:r>
      <w:r>
        <w:rPr>
          <w:rFonts w:ascii="Times New Roman" w:hAnsi="Times New Roman" w:cs="Times New Roman"/>
          <w:i/>
          <w:iCs/>
        </w:rPr>
        <w:t>Sas</w:t>
      </w:r>
      <w:r>
        <w:rPr>
          <w:rFonts w:ascii="Times New Roman" w:hAnsi="Times New Roman" w:cs="Times New Roman"/>
        </w:rPr>
        <w:t>Pcob are coloured as blue and orange respectively. Predicted structures and extra functional domains are shown as green and magenta cartoons.</w:t>
      </w:r>
    </w:p>
    <w:p w14:paraId="75F37D07" w14:textId="77777777" w:rsidR="00A35093" w:rsidRDefault="00A35093" w:rsidP="00A35093">
      <w:pPr>
        <w:jc w:val="both"/>
        <w:rPr>
          <w:rFonts w:ascii="Times New Roman" w:hAnsi="Times New Roman" w:cs="Times New Roman"/>
          <w:sz w:val="21"/>
          <w:szCs w:val="20"/>
        </w:rPr>
      </w:pPr>
      <w:r>
        <w:rPr>
          <w:rFonts w:ascii="Times New Roman" w:hAnsi="Times New Roman" w:cs="Times New Roman"/>
          <w:sz w:val="21"/>
          <w:szCs w:val="20"/>
        </w:rPr>
        <w:fldChar w:fldCharType="begin"/>
      </w:r>
      <w:r>
        <w:rPr>
          <w:rFonts w:ascii="Times New Roman" w:hAnsi="Times New Roman" w:cs="Times New Roman"/>
          <w:sz w:val="21"/>
          <w:szCs w:val="20"/>
        </w:rPr>
        <w:instrText xml:space="preserve"> ADDIN EN.REFLIST </w:instrText>
      </w:r>
      <w:r>
        <w:rPr>
          <w:rFonts w:ascii="Times New Roman" w:hAnsi="Times New Roman" w:cs="Times New Roman"/>
          <w:sz w:val="21"/>
          <w:szCs w:val="20"/>
        </w:rPr>
        <w:fldChar w:fldCharType="end"/>
      </w:r>
    </w:p>
    <w:p w14:paraId="5AC74123" w14:textId="77777777" w:rsidR="002F0F5E" w:rsidRDefault="00A35093"/>
    <w:sectPr w:rsidR="002F0F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093"/>
    <w:rsid w:val="0021090F"/>
    <w:rsid w:val="003A76DF"/>
    <w:rsid w:val="00A35093"/>
    <w:rsid w:val="00C52827"/>
    <w:rsid w:val="00DB1091"/>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673AB"/>
  <w15:chartTrackingRefBased/>
  <w15:docId w15:val="{C6DFB59B-3FFA-46EE-ACF1-D28B3439F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093"/>
    <w:pPr>
      <w:spacing w:after="0" w:line="240" w:lineRule="auto"/>
    </w:pPr>
    <w:rPr>
      <w:rFonts w:ascii="Calibri" w:eastAsia="SimSun" w:hAnsi="Calibri" w:cs="Calibri"/>
      <w:sz w:val="24"/>
      <w:szCs w:val="24"/>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1251</Words>
  <Characters>7133</Characters>
  <Application>Microsoft Office Word</Application>
  <DocSecurity>0</DocSecurity>
  <Lines>59</Lines>
  <Paragraphs>16</Paragraphs>
  <ScaleCrop>false</ScaleCrop>
  <Company>Springer Nature</Company>
  <LinksUpToDate>false</LinksUpToDate>
  <CharactersWithSpaces>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2023-05-29T08:56:00Z</dcterms:created>
  <dcterms:modified xsi:type="dcterms:W3CDTF">2023-05-29T08:56:00Z</dcterms:modified>
</cp:coreProperties>
</file>