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9F48F" w14:textId="77777777" w:rsidR="001C71AF" w:rsidRDefault="001C71AF" w:rsidP="00B01225">
      <w:pPr>
        <w:pStyle w:val="Heading1"/>
        <w:tabs>
          <w:tab w:val="left" w:pos="541"/>
          <w:tab w:val="left" w:pos="542"/>
        </w:tabs>
        <w:ind w:left="0" w:firstLine="0"/>
        <w:rPr>
          <w:w w:val="110"/>
          <w:sz w:val="24"/>
          <w:szCs w:val="24"/>
        </w:rPr>
      </w:pPr>
      <w:r w:rsidRPr="00B81072">
        <w:rPr>
          <w:w w:val="110"/>
          <w:sz w:val="24"/>
          <w:szCs w:val="24"/>
        </w:rPr>
        <w:t>Appendix</w:t>
      </w:r>
      <w:r>
        <w:rPr>
          <w:w w:val="110"/>
          <w:sz w:val="24"/>
          <w:szCs w:val="24"/>
        </w:rPr>
        <w:t xml:space="preserve"> A</w:t>
      </w:r>
      <w:r w:rsidRPr="00B81072">
        <w:rPr>
          <w:w w:val="110"/>
          <w:sz w:val="24"/>
          <w:szCs w:val="24"/>
        </w:rPr>
        <w:t xml:space="preserve">: </w:t>
      </w:r>
      <w:r>
        <w:rPr>
          <w:w w:val="110"/>
          <w:sz w:val="24"/>
          <w:szCs w:val="24"/>
        </w:rPr>
        <w:t>A brief comparison between</w:t>
      </w:r>
      <w:r w:rsidRPr="00B81072">
        <w:rPr>
          <w:w w:val="110"/>
          <w:sz w:val="24"/>
          <w:szCs w:val="24"/>
        </w:rPr>
        <w:t xml:space="preserve"> </w:t>
      </w:r>
      <w:r>
        <w:rPr>
          <w:w w:val="110"/>
          <w:sz w:val="24"/>
          <w:szCs w:val="24"/>
        </w:rPr>
        <w:t>Φ-angle and</w:t>
      </w:r>
      <w:r w:rsidRPr="00B81072">
        <w:rPr>
          <w:w w:val="110"/>
          <w:sz w:val="24"/>
          <w:szCs w:val="24"/>
        </w:rPr>
        <w:t xml:space="preserve"> alpha-delta ratio</w:t>
      </w:r>
    </w:p>
    <w:p w14:paraId="1DF7F18F" w14:textId="77777777" w:rsidR="001C71AF" w:rsidRPr="00B81072" w:rsidRDefault="001C71AF" w:rsidP="00B01225">
      <w:pPr>
        <w:pStyle w:val="Heading1"/>
        <w:tabs>
          <w:tab w:val="left" w:pos="541"/>
          <w:tab w:val="left" w:pos="542"/>
        </w:tabs>
        <w:ind w:left="0" w:firstLine="0"/>
        <w:rPr>
          <w:w w:val="110"/>
          <w:sz w:val="24"/>
          <w:szCs w:val="24"/>
        </w:rPr>
      </w:pPr>
    </w:p>
    <w:p w14:paraId="4BFACC19" w14:textId="77777777" w:rsidR="001C71AF" w:rsidRPr="00B81072" w:rsidRDefault="001C71AF" w:rsidP="00B01225">
      <w:pPr>
        <w:pStyle w:val="BodyText"/>
        <w:spacing w:line="391" w:lineRule="auto"/>
        <w:rPr>
          <w:sz w:val="24"/>
          <w:szCs w:val="24"/>
        </w:rPr>
      </w:pPr>
      <w:r w:rsidRPr="00B81072">
        <w:rPr>
          <w:sz w:val="24"/>
          <w:szCs w:val="24"/>
        </w:rPr>
        <w:t xml:space="preserve">The alpha/delta ratio is one of the main features used in the detection of ischemia in </w:t>
      </w:r>
      <w:r>
        <w:rPr>
          <w:sz w:val="24"/>
          <w:szCs w:val="24"/>
        </w:rPr>
        <w:t>sub</w:t>
      </w:r>
      <w:r w:rsidRPr="00B81072">
        <w:rPr>
          <w:sz w:val="24"/>
          <w:szCs w:val="24"/>
        </w:rPr>
        <w:t xml:space="preserve">rachnoid hemorrhage </w:t>
      </w:r>
      <w:sdt>
        <w:sdtPr>
          <w:rPr>
            <w:sz w:val="24"/>
            <w:szCs w:val="24"/>
          </w:rPr>
          <w:id w:val="-1762902165"/>
          <w:lock w:val="contentLocked"/>
          <w:placeholder>
            <w:docPart w:val="CEDD3B7C75544DEB8539DC778BD784BA"/>
          </w:placeholder>
          <w:citation/>
        </w:sdtPr>
        <w:sdtContent>
          <w:r w:rsidRPr="00B81072">
            <w:rPr>
              <w:sz w:val="24"/>
              <w:szCs w:val="24"/>
            </w:rPr>
            <w:fldChar w:fldCharType="begin"/>
          </w:r>
          <w:r w:rsidRPr="00B81072">
            <w:rPr>
              <w:sz w:val="24"/>
              <w:szCs w:val="24"/>
            </w:rPr>
            <w:instrText xml:space="preserve"> CITATION yu2019predictive \l 2057 </w:instrText>
          </w:r>
          <w:r w:rsidRPr="00B81072">
            <w:rPr>
              <w:sz w:val="24"/>
              <w:szCs w:val="24"/>
            </w:rPr>
            <w:fldChar w:fldCharType="separate"/>
          </w:r>
          <w:r w:rsidRPr="0063746E">
            <w:rPr>
              <w:noProof/>
              <w:sz w:val="24"/>
              <w:szCs w:val="24"/>
            </w:rPr>
            <w:t>(2)</w:t>
          </w:r>
          <w:r w:rsidRPr="00B81072">
            <w:rPr>
              <w:sz w:val="24"/>
              <w:szCs w:val="24"/>
            </w:rPr>
            <w:fldChar w:fldCharType="end"/>
          </w:r>
        </w:sdtContent>
      </w:sdt>
      <w:r w:rsidRPr="00B81072">
        <w:rPr>
          <w:sz w:val="24"/>
          <w:szCs w:val="24"/>
        </w:rPr>
        <w:t xml:space="preserve">, showing promising results in prospective and retrospective studies. It is defined as </w:t>
      </w:r>
    </w:p>
    <w:p w14:paraId="6F74AA0E" w14:textId="77777777" w:rsidR="001C71AF" w:rsidRDefault="001C71AF" w:rsidP="00B01225">
      <w:pPr>
        <w:pStyle w:val="BodyText"/>
        <w:rPr>
          <w:sz w:val="24"/>
          <w:szCs w:val="24"/>
        </w:rPr>
      </w:pPr>
      <w:r w:rsidRPr="00B81072">
        <w:rPr>
          <w:sz w:val="24"/>
          <w:szCs w:val="24"/>
        </w:rPr>
        <w:t xml:space="preserve">                              </w:t>
      </w:r>
      <w:r>
        <w:rPr>
          <w:sz w:val="24"/>
          <w:szCs w:val="24"/>
        </w:rPr>
        <w:tab/>
      </w:r>
      <w:r>
        <w:rPr>
          <w:sz w:val="24"/>
          <w:szCs w:val="24"/>
        </w:rPr>
        <w:tab/>
      </w:r>
      <w:r>
        <w:rPr>
          <w:sz w:val="24"/>
          <w:szCs w:val="24"/>
        </w:rPr>
        <w:tab/>
      </w:r>
      <w:r w:rsidRPr="00B81072">
        <w:rPr>
          <w:sz w:val="24"/>
          <w:szCs w:val="24"/>
        </w:rPr>
        <w:t xml:space="preserve"> </w:t>
      </w:r>
      <m:oMath>
        <m:r>
          <m:rPr>
            <m:sty m:val="p"/>
          </m:rPr>
          <w:rPr>
            <w:rFonts w:ascii="Cambria Math" w:hAnsi="Cambria Math"/>
            <w:sz w:val="24"/>
            <w:szCs w:val="24"/>
          </w:rPr>
          <m:t>ADR≡</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α</m:t>
                </m:r>
              </m:sub>
            </m:sSub>
          </m:num>
          <m:den>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δ</m:t>
                </m:r>
              </m:sub>
            </m:sSub>
          </m:den>
        </m:f>
      </m:oMath>
      <w:r w:rsidRPr="00B81072">
        <w:rPr>
          <w:sz w:val="24"/>
          <w:szCs w:val="24"/>
        </w:rPr>
        <w:t xml:space="preserve">        </w:t>
      </w:r>
      <w:r>
        <w:rPr>
          <w:sz w:val="24"/>
          <w:szCs w:val="24"/>
        </w:rPr>
        <w:tab/>
      </w:r>
      <w:r>
        <w:rPr>
          <w:sz w:val="24"/>
          <w:szCs w:val="24"/>
        </w:rPr>
        <w:tab/>
      </w:r>
      <w:r>
        <w:rPr>
          <w:sz w:val="24"/>
          <w:szCs w:val="24"/>
        </w:rPr>
        <w:tab/>
        <w:t xml:space="preserve">               </w:t>
      </w:r>
      <w:r w:rsidRPr="00B81072">
        <w:rPr>
          <w:sz w:val="24"/>
          <w:szCs w:val="24"/>
        </w:rPr>
        <w:t xml:space="preserve">     (</w:t>
      </w:r>
      <w:r>
        <w:rPr>
          <w:sz w:val="24"/>
          <w:szCs w:val="24"/>
        </w:rPr>
        <w:t>A.1</w:t>
      </w:r>
      <w:r w:rsidRPr="00B81072">
        <w:rPr>
          <w:sz w:val="24"/>
          <w:szCs w:val="24"/>
        </w:rPr>
        <w:t>)</w:t>
      </w:r>
    </w:p>
    <w:p w14:paraId="69ACC628" w14:textId="77777777" w:rsidR="001C71AF" w:rsidRPr="00B81072" w:rsidRDefault="001C71AF" w:rsidP="00B01225">
      <w:pPr>
        <w:pStyle w:val="BodyText"/>
        <w:rPr>
          <w:sz w:val="24"/>
          <w:szCs w:val="24"/>
        </w:rPr>
      </w:pPr>
    </w:p>
    <w:p w14:paraId="243ADC1A" w14:textId="77777777" w:rsidR="001C71AF" w:rsidRDefault="001C71AF" w:rsidP="00B01225">
      <w:pPr>
        <w:pStyle w:val="BodyText"/>
        <w:rPr>
          <w:sz w:val="24"/>
          <w:szCs w:val="24"/>
        </w:rPr>
      </w:pPr>
      <w:r w:rsidRPr="00B81072">
        <w:rPr>
          <w:sz w:val="24"/>
          <w:szCs w:val="24"/>
        </w:rPr>
        <w:t xml:space="preserve">where </w:t>
      </w:r>
      <m:oMath>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α</m:t>
            </m:r>
          </m:sub>
        </m:sSub>
      </m:oMath>
      <w:r w:rsidRPr="00B81072">
        <w:rPr>
          <w:sz w:val="24"/>
          <w:szCs w:val="24"/>
        </w:rPr>
        <w:t xml:space="preserve"> and </w:t>
      </w:r>
      <m:oMath>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δ</m:t>
            </m:r>
          </m:sub>
        </m:sSub>
      </m:oMath>
      <w:r w:rsidRPr="00B81072">
        <w:rPr>
          <w:sz w:val="24"/>
          <w:szCs w:val="24"/>
        </w:rPr>
        <w:t xml:space="preserve"> are the energy of alpha and delta bands </w:t>
      </w:r>
      <w:r>
        <w:rPr>
          <w:sz w:val="24"/>
          <w:szCs w:val="24"/>
        </w:rPr>
        <w:t>respectively defined as</w:t>
      </w:r>
    </w:p>
    <w:p w14:paraId="011A96AF" w14:textId="77777777" w:rsidR="001C71AF" w:rsidRDefault="001C71AF" w:rsidP="00B01225">
      <w:pPr>
        <w:pStyle w:val="BodyText"/>
        <w:rPr>
          <w:sz w:val="24"/>
          <w:szCs w:val="24"/>
        </w:rPr>
      </w:pPr>
    </w:p>
    <w:p w14:paraId="741364C1" w14:textId="77777777" w:rsidR="001C71AF" w:rsidRDefault="001C71AF" w:rsidP="00B01225">
      <w:pPr>
        <w:pStyle w:val="BodyText"/>
        <w:rPr>
          <w:sz w:val="24"/>
          <w:szCs w:val="24"/>
        </w:rPr>
      </w:pPr>
      <w:r w:rsidRPr="00B81072">
        <w:rPr>
          <w:sz w:val="24"/>
          <w:szCs w:val="24"/>
        </w:rPr>
        <w:t xml:space="preserve"> </w:t>
      </w:r>
    </w:p>
    <w:tbl>
      <w:tblPr>
        <w:tblW w:w="7859" w:type="dxa"/>
        <w:jc w:val="center"/>
        <w:tblCellMar>
          <w:left w:w="0" w:type="dxa"/>
          <w:right w:w="0" w:type="dxa"/>
        </w:tblCellMar>
        <w:tblLook w:val="04A0" w:firstRow="1" w:lastRow="0" w:firstColumn="1" w:lastColumn="0" w:noHBand="0" w:noVBand="1"/>
      </w:tblPr>
      <w:tblGrid>
        <w:gridCol w:w="7345"/>
        <w:gridCol w:w="514"/>
      </w:tblGrid>
      <w:tr w:rsidR="001C71AF" w:rsidRPr="00B81072" w14:paraId="0A97D5E9" w14:textId="77777777" w:rsidTr="00B01225">
        <w:trPr>
          <w:jc w:val="center"/>
        </w:trPr>
        <w:tc>
          <w:tcPr>
            <w:tcW w:w="7428" w:type="dxa"/>
            <w:hideMark/>
          </w:tcPr>
          <w:p w14:paraId="270D2E43" w14:textId="77777777" w:rsidR="001C71AF" w:rsidRPr="00B81072" w:rsidRDefault="001C71AF" w:rsidP="00B01225">
            <w:pPr>
              <w:pStyle w:val="BodyText"/>
              <w:rPr>
                <w:sz w:val="24"/>
                <w:szCs w:val="24"/>
              </w:rPr>
            </w:pPr>
            <m:oMathPara>
              <m:oMath>
                <m:r>
                  <m:rPr>
                    <m:sty m:val="p"/>
                  </m:rPr>
                  <w:rPr>
                    <w:rFonts w:ascii="Cambria Math" w:hAnsi="Cambria Math"/>
                    <w:sz w:val="24"/>
                    <w:szCs w:val="24"/>
                  </w:rPr>
                  <m:t>EE</m:t>
                </m:r>
                <m:sSub>
                  <m:sSubPr>
                    <m:ctrlPr>
                      <w:rPr>
                        <w:rFonts w:ascii="Cambria Math" w:hAnsi="Cambria Math"/>
                        <w:sz w:val="24"/>
                        <w:szCs w:val="24"/>
                      </w:rPr>
                    </m:ctrlPr>
                  </m:sSubPr>
                  <m:e>
                    <m:r>
                      <m:rPr>
                        <m:sty m:val="p"/>
                      </m:rPr>
                      <w:rPr>
                        <w:rFonts w:ascii="Cambria Math" w:hAnsi="Cambria Math"/>
                        <w:sz w:val="24"/>
                        <w:szCs w:val="24"/>
                      </w:rPr>
                      <m:t>G</m:t>
                    </m:r>
                  </m:e>
                  <m:sub>
                    <m:r>
                      <m:rPr>
                        <m:sty m:val="p"/>
                      </m:rPr>
                      <w:rPr>
                        <w:rFonts w:ascii="Cambria Math" w:hAnsi="Cambria Math"/>
                        <w:sz w:val="24"/>
                        <w:szCs w:val="24"/>
                      </w:rPr>
                      <m:t>r</m:t>
                    </m:r>
                  </m:sub>
                </m:sSub>
                <m:r>
                  <m:rPr>
                    <m:sty m:val="p"/>
                  </m:rPr>
                  <w:rPr>
                    <w:rFonts w:ascii="Cambria Math" w:hAnsi="Cambria Math"/>
                    <w:sz w:val="24"/>
                    <w:szCs w:val="24"/>
                  </w:rPr>
                  <m:t>=</m:t>
                </m:r>
                <m:nary>
                  <m:naryPr>
                    <m:chr m:val="∑"/>
                    <m:limLoc m:val="undOvr"/>
                    <m:ctrlPr>
                      <w:rPr>
                        <w:rFonts w:ascii="Cambria Math" w:hAnsi="Cambria Math"/>
                        <w:sz w:val="24"/>
                        <w:szCs w:val="24"/>
                      </w:rPr>
                    </m:ctrlPr>
                  </m:naryPr>
                  <m:sub>
                    <m:r>
                      <m:rPr>
                        <m:sty m:val="p"/>
                      </m:rPr>
                      <w:rPr>
                        <w:rFonts w:ascii="Cambria Math" w:hAnsi="Cambria Math"/>
                        <w:sz w:val="24"/>
                        <w:szCs w:val="24"/>
                      </w:rPr>
                      <m:t>n=1</m:t>
                    </m:r>
                  </m:sub>
                  <m:sup>
                    <m:r>
                      <m:rPr>
                        <m:sty m:val="p"/>
                      </m:rPr>
                      <w:rPr>
                        <w:rFonts w:ascii="Cambria Math" w:hAnsi="Cambria Math"/>
                        <w:sz w:val="24"/>
                        <w:szCs w:val="24"/>
                      </w:rPr>
                      <m:t>N</m:t>
                    </m:r>
                  </m:sup>
                  <m:e>
                    <m:sSup>
                      <m:sSupPr>
                        <m:ctrlPr>
                          <w:rPr>
                            <w:rFonts w:ascii="Cambria Math" w:hAnsi="Cambria Math"/>
                            <w:sz w:val="24"/>
                            <w:szCs w:val="24"/>
                          </w:rPr>
                        </m:ctrlPr>
                      </m:sSupPr>
                      <m:e>
                        <m:d>
                          <m:dPr>
                            <m:begChr m:val="|"/>
                            <m:endChr m:val="|"/>
                            <m:ctrlPr>
                              <w:rPr>
                                <w:rFonts w:ascii="Cambria Math" w:hAnsi="Cambria Math"/>
                                <w:sz w:val="24"/>
                                <w:szCs w:val="24"/>
                              </w:rPr>
                            </m:ctrlPr>
                          </m:dPr>
                          <m:e>
                            <m:r>
                              <m:rPr>
                                <m:sty m:val="p"/>
                              </m:rPr>
                              <w:rPr>
                                <w:rFonts w:ascii="Cambria Math" w:hAnsi="Cambria Math"/>
                                <w:sz w:val="24"/>
                                <w:szCs w:val="24"/>
                              </w:rPr>
                              <m:t>EE</m:t>
                            </m:r>
                            <m:sSub>
                              <m:sSubPr>
                                <m:ctrlPr>
                                  <w:rPr>
                                    <w:rFonts w:ascii="Cambria Math" w:hAnsi="Cambria Math"/>
                                    <w:sz w:val="24"/>
                                    <w:szCs w:val="24"/>
                                  </w:rPr>
                                </m:ctrlPr>
                              </m:sSubPr>
                              <m:e>
                                <m:r>
                                  <m:rPr>
                                    <m:sty m:val="p"/>
                                  </m:rPr>
                                  <w:rPr>
                                    <w:rFonts w:ascii="Cambria Math" w:hAnsi="Cambria Math"/>
                                    <w:sz w:val="24"/>
                                    <w:szCs w:val="24"/>
                                  </w:rPr>
                                  <m:t>G</m:t>
                                </m:r>
                              </m:e>
                              <m:sub>
                                <m:r>
                                  <m:rPr>
                                    <m:sty m:val="p"/>
                                  </m:rPr>
                                  <w:rPr>
                                    <w:rFonts w:ascii="Cambria Math" w:hAnsi="Cambria Math"/>
                                    <w:sz w:val="24"/>
                                    <w:szCs w:val="24"/>
                                  </w:rPr>
                                  <m:t>(w,r)</m:t>
                                </m:r>
                              </m:sub>
                            </m:sSub>
                            <m:r>
                              <m:rPr>
                                <m:sty m:val="p"/>
                              </m:rPr>
                              <w:rPr>
                                <w:rFonts w:ascii="Cambria Math" w:hAnsi="Cambria Math"/>
                                <w:sz w:val="24"/>
                                <w:szCs w:val="24"/>
                              </w:rPr>
                              <m:t>(n)</m:t>
                            </m:r>
                          </m:e>
                        </m:d>
                      </m:e>
                      <m:sup>
                        <m:r>
                          <m:rPr>
                            <m:sty m:val="p"/>
                          </m:rPr>
                          <w:rPr>
                            <w:rFonts w:ascii="Cambria Math" w:hAnsi="Cambria Math"/>
                            <w:sz w:val="24"/>
                            <w:szCs w:val="24"/>
                          </w:rPr>
                          <m:t>2</m:t>
                        </m:r>
                      </m:sup>
                    </m:sSup>
                  </m:e>
                </m:nary>
              </m:oMath>
            </m:oMathPara>
          </w:p>
        </w:tc>
        <w:tc>
          <w:tcPr>
            <w:tcW w:w="431" w:type="dxa"/>
            <w:vAlign w:val="center"/>
            <w:hideMark/>
          </w:tcPr>
          <w:p w14:paraId="3FB47FCE" w14:textId="77777777" w:rsidR="001C71AF" w:rsidRPr="00B81072" w:rsidRDefault="001C71AF" w:rsidP="00B01225">
            <w:pPr>
              <w:pStyle w:val="BodyText"/>
              <w:rPr>
                <w:sz w:val="24"/>
                <w:szCs w:val="24"/>
              </w:rPr>
            </w:pPr>
            <w:r w:rsidRPr="00B81072">
              <w:rPr>
                <w:sz w:val="24"/>
                <w:szCs w:val="24"/>
              </w:rPr>
              <w:t>(A.2)</w:t>
            </w:r>
          </w:p>
        </w:tc>
      </w:tr>
    </w:tbl>
    <w:p w14:paraId="7DF5F779" w14:textId="77777777" w:rsidR="001C71AF" w:rsidRPr="00B81072" w:rsidRDefault="001C71AF" w:rsidP="001C71AF">
      <w:pPr>
        <w:pStyle w:val="BodyText"/>
        <w:rPr>
          <w:sz w:val="24"/>
          <w:szCs w:val="24"/>
        </w:rPr>
      </w:pPr>
    </w:p>
    <w:p w14:paraId="6023E720" w14:textId="77777777" w:rsidR="001C71AF" w:rsidRPr="000E30A0" w:rsidRDefault="001C71AF" w:rsidP="001C71AF">
      <w:pPr>
        <w:pStyle w:val="BodyText"/>
        <w:spacing w:before="8" w:line="391" w:lineRule="auto"/>
        <w:ind w:left="120" w:right="117"/>
        <w:jc w:val="both"/>
        <w:rPr>
          <w:spacing w:val="1"/>
          <w:w w:val="110"/>
          <w:sz w:val="24"/>
          <w:szCs w:val="24"/>
        </w:rPr>
      </w:pPr>
      <w:r w:rsidRPr="000E30A0">
        <w:rPr>
          <w:spacing w:val="1"/>
          <w:w w:val="110"/>
          <w:sz w:val="24"/>
          <w:szCs w:val="24"/>
        </w:rPr>
        <w:t>where r stands as one of the sub-bands and n refers to the n-th point of the w</w:t>
      </w:r>
      <w:r>
        <w:rPr>
          <w:spacing w:val="1"/>
          <w:w w:val="110"/>
          <w:sz w:val="24"/>
          <w:szCs w:val="24"/>
        </w:rPr>
        <w:t>-th window</w:t>
      </w:r>
      <w:r w:rsidRPr="000E30A0">
        <w:rPr>
          <w:spacing w:val="1"/>
          <w:w w:val="110"/>
          <w:sz w:val="24"/>
          <w:szCs w:val="24"/>
        </w:rPr>
        <w:t xml:space="preserve"> where N is the windows length. A comparison with Φ-angle is presented in the following.</w:t>
      </w:r>
    </w:p>
    <w:p w14:paraId="5C668E5D" w14:textId="77777777" w:rsidR="001C71AF" w:rsidRPr="000E30A0" w:rsidRDefault="001C71AF" w:rsidP="001C71AF">
      <w:pPr>
        <w:pStyle w:val="BodyText"/>
        <w:spacing w:before="8" w:line="391" w:lineRule="auto"/>
        <w:ind w:left="120" w:right="117"/>
        <w:jc w:val="both"/>
        <w:rPr>
          <w:spacing w:val="1"/>
          <w:w w:val="110"/>
          <w:sz w:val="24"/>
          <w:szCs w:val="24"/>
        </w:rPr>
      </w:pPr>
    </w:p>
    <w:p w14:paraId="65707A85" w14:textId="77777777" w:rsidR="001C71AF" w:rsidRPr="000E30A0" w:rsidRDefault="001C71AF" w:rsidP="001C71AF">
      <w:pPr>
        <w:pStyle w:val="BodyText"/>
        <w:spacing w:before="8" w:line="391" w:lineRule="auto"/>
        <w:ind w:left="120" w:right="117"/>
        <w:jc w:val="both"/>
        <w:rPr>
          <w:spacing w:val="1"/>
          <w:w w:val="110"/>
        </w:rPr>
      </w:pPr>
      <w:r w:rsidRPr="000E30A0">
        <w:rPr>
          <w:spacing w:val="1"/>
          <w:w w:val="110"/>
          <w:sz w:val="24"/>
          <w:szCs w:val="24"/>
        </w:rPr>
        <w:t>The temporal evolution of ADR in this experiment in relation to ICP and CPP was previously presented in another manuscript. There</w:t>
      </w:r>
      <w:r>
        <w:rPr>
          <w:spacing w:val="1"/>
          <w:w w:val="110"/>
          <w:sz w:val="24"/>
          <w:szCs w:val="24"/>
        </w:rPr>
        <w:t>,</w:t>
      </w:r>
      <w:r w:rsidRPr="000E30A0">
        <w:rPr>
          <w:spacing w:val="1"/>
          <w:w w:val="110"/>
          <w:sz w:val="24"/>
          <w:szCs w:val="24"/>
        </w:rPr>
        <w:t xml:space="preserve"> it is shown that total power appeared to be better for both ICP and C</w:t>
      </w:r>
      <w:r>
        <w:rPr>
          <w:spacing w:val="1"/>
          <w:w w:val="110"/>
          <w:sz w:val="24"/>
          <w:szCs w:val="24"/>
        </w:rPr>
        <w:t>P</w:t>
      </w:r>
      <w:r w:rsidRPr="000E30A0">
        <w:rPr>
          <w:spacing w:val="1"/>
          <w:w w:val="110"/>
          <w:sz w:val="24"/>
          <w:szCs w:val="24"/>
        </w:rPr>
        <w:t>P tracking than ADR. However, the power and size characteristics of the test do not allow a reliable conclusion.  In Table A.1 we reproduce the values of ICP and CPP correlation with slope together with the values of ADR correlation with the same signals. In Figure A.2 we can observe the superiority of the correlation when slope is taken into account instead of ADR for tracking the two signals.</w:t>
      </w:r>
      <w:r>
        <w:rPr>
          <w:spacing w:val="1"/>
          <w:w w:val="110"/>
          <w:sz w:val="24"/>
          <w:szCs w:val="24"/>
        </w:rPr>
        <w:t xml:space="preserve"> G</w:t>
      </w:r>
      <w:r w:rsidRPr="00293D71">
        <w:rPr>
          <w:spacing w:val="1"/>
          <w:w w:val="110"/>
          <w:sz w:val="24"/>
          <w:szCs w:val="24"/>
        </w:rPr>
        <w:t>iven the difference between the me</w:t>
      </w:r>
      <w:r>
        <w:rPr>
          <w:spacing w:val="1"/>
          <w:w w:val="110"/>
          <w:sz w:val="24"/>
          <w:szCs w:val="24"/>
        </w:rPr>
        <w:t>di</w:t>
      </w:r>
      <w:r w:rsidRPr="00293D71">
        <w:rPr>
          <w:spacing w:val="1"/>
          <w:w w:val="110"/>
          <w:sz w:val="24"/>
          <w:szCs w:val="24"/>
        </w:rPr>
        <w:t>ans of the two groups, the power of the Wilcoxon test for the difference between groups is 0.73 and 0.99, with a type I error of 0.05, for ICP and CPP respectively, so we could conclude that to follow the two signals the slope is more accurate than the ADR.</w:t>
      </w:r>
      <w:r w:rsidRPr="000E30A0">
        <w:rPr>
          <w:spacing w:val="1"/>
          <w:w w:val="110"/>
        </w:rPr>
        <w:t xml:space="preserve"> </w:t>
      </w:r>
    </w:p>
    <w:p w14:paraId="2719405F" w14:textId="77777777" w:rsidR="001C71AF" w:rsidRDefault="001C71AF" w:rsidP="001C71AF"/>
    <w:p w14:paraId="0EC74040" w14:textId="77777777" w:rsidR="001C71AF" w:rsidRDefault="001C71AF" w:rsidP="001C71AF">
      <w:pPr>
        <w:pStyle w:val="Heading1"/>
        <w:tabs>
          <w:tab w:val="left" w:pos="541"/>
          <w:tab w:val="left" w:pos="542"/>
        </w:tabs>
        <w:ind w:left="0" w:firstLine="0"/>
        <w:rPr>
          <w:w w:val="110"/>
          <w:sz w:val="24"/>
          <w:szCs w:val="24"/>
        </w:rPr>
      </w:pPr>
      <w:r w:rsidRPr="00B81072">
        <w:rPr>
          <w:w w:val="110"/>
          <w:sz w:val="24"/>
          <w:szCs w:val="24"/>
        </w:rPr>
        <w:t>Appendix</w:t>
      </w:r>
      <w:r>
        <w:rPr>
          <w:w w:val="110"/>
          <w:sz w:val="24"/>
          <w:szCs w:val="24"/>
        </w:rPr>
        <w:t xml:space="preserve"> B</w:t>
      </w:r>
      <w:r w:rsidRPr="00B81072">
        <w:rPr>
          <w:w w:val="110"/>
          <w:sz w:val="24"/>
          <w:szCs w:val="24"/>
        </w:rPr>
        <w:t xml:space="preserve">: </w:t>
      </w:r>
      <w:r>
        <w:rPr>
          <w:w w:val="110"/>
          <w:sz w:val="24"/>
          <w:szCs w:val="24"/>
        </w:rPr>
        <w:t xml:space="preserve">A brief explanation about </w:t>
      </w:r>
      <w:r w:rsidRPr="00FF7164">
        <w:t>power spectral density</w:t>
      </w:r>
      <w:r>
        <w:t xml:space="preserve"> calculation</w:t>
      </w:r>
    </w:p>
    <w:p w14:paraId="0CF89286" w14:textId="77777777" w:rsidR="001C71AF" w:rsidRDefault="001C71AF" w:rsidP="001C71AF">
      <w:pPr>
        <w:pStyle w:val="Heading1"/>
        <w:tabs>
          <w:tab w:val="left" w:pos="541"/>
          <w:tab w:val="left" w:pos="542"/>
        </w:tabs>
        <w:ind w:left="0" w:firstLine="0"/>
        <w:rPr>
          <w:w w:val="110"/>
          <w:sz w:val="24"/>
          <w:szCs w:val="24"/>
        </w:rPr>
      </w:pPr>
    </w:p>
    <w:p w14:paraId="3719C5CB" w14:textId="77777777" w:rsidR="001C71AF" w:rsidRPr="00FF7164" w:rsidRDefault="001C71AF" w:rsidP="001C71AF">
      <w:pPr>
        <w:spacing w:line="391" w:lineRule="auto"/>
        <w:jc w:val="both"/>
      </w:pPr>
      <w:r w:rsidRPr="00FF7164">
        <w:t xml:space="preserve">Welch method, based on the Fourier Transform, was applied to estimate the power spectral density (PSD) from the EEG signal. To calculate the PSD, the EEG was divided into L segments of M </w:t>
      </w:r>
      <w:r w:rsidRPr="00FF7164">
        <w:lastRenderedPageBreak/>
        <w:t xml:space="preserve">samples overlapping by D samples. The periodogram from each windowed segment </w:t>
      </w:r>
      <m:oMath>
        <m:r>
          <m:rPr>
            <m:sty m:val="p"/>
          </m:rPr>
          <w:rPr>
            <w:rFonts w:ascii="Cambria Math" w:hAnsi="Cambria Math"/>
          </w:rPr>
          <m:t>EE</m:t>
        </m:r>
        <m:sSub>
          <m:sSubPr>
            <m:ctrlPr>
              <w:rPr>
                <w:rFonts w:ascii="Cambria Math" w:hAnsi="Cambria Math"/>
              </w:rPr>
            </m:ctrlPr>
          </m:sSubPr>
          <m:e>
            <m:r>
              <m:rPr>
                <m:sty m:val="p"/>
              </m:rPr>
              <w:rPr>
                <w:rFonts w:ascii="Cambria Math" w:hAnsi="Cambria Math"/>
              </w:rPr>
              <m:t>G</m:t>
            </m:r>
          </m:e>
          <m:sub>
            <m:r>
              <m:rPr>
                <m:sty m:val="p"/>
              </m:rPr>
              <w:rPr>
                <w:rFonts w:ascii="Cambria Math" w:hAnsi="Cambria Math"/>
              </w:rPr>
              <m:t>i</m:t>
            </m:r>
          </m:sub>
        </m:sSub>
      </m:oMath>
      <w:r w:rsidRPr="19CEB6F8">
        <w:rPr>
          <w:rFonts w:eastAsiaTheme="minorEastAsia"/>
        </w:rPr>
        <w:t xml:space="preserve"> was calculated by</w:t>
      </w:r>
    </w:p>
    <w:p w14:paraId="72C5CF8A" w14:textId="77777777" w:rsidR="001C71AF" w:rsidRPr="00FF7164" w:rsidRDefault="001C71AF" w:rsidP="001C71AF"/>
    <w:p w14:paraId="29B7D653" w14:textId="77777777" w:rsidR="001C71AF" w:rsidRPr="00FF7164" w:rsidRDefault="001C71AF" w:rsidP="001C71AF">
      <w:pPr>
        <w:jc w:val="center"/>
        <w:rPr>
          <w:rFonts w:eastAsiaTheme="minorEastAsia"/>
        </w:rPr>
      </w:pP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i</m:t>
            </m:r>
          </m:sub>
        </m:sSub>
        <m:d>
          <m:dPr>
            <m:ctrlPr>
              <w:rPr>
                <w:rFonts w:ascii="Cambria Math" w:hAnsi="Cambria Math"/>
              </w:rPr>
            </m:ctrlPr>
          </m:dPr>
          <m:e>
            <m:r>
              <m:rPr>
                <m:sty m:val="p"/>
              </m:rPr>
              <w:rPr>
                <w:rFonts w:ascii="Cambria Math" w:hAnsi="Cambria Math"/>
              </w:rPr>
              <m:t>f</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ME</m:t>
            </m:r>
          </m:den>
        </m:f>
        <m:sSup>
          <m:sSupPr>
            <m:ctrlPr>
              <w:rPr>
                <w:rFonts w:ascii="Cambria Math" w:hAnsi="Cambria Math"/>
              </w:rPr>
            </m:ctrlPr>
          </m:sSupPr>
          <m:e>
            <m:d>
              <m:dPr>
                <m:begChr m:val="|"/>
                <m:endChr m:val="|"/>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n=0</m:t>
                    </m:r>
                  </m:sub>
                  <m:sup>
                    <m:r>
                      <m:rPr>
                        <m:sty m:val="p"/>
                      </m:rPr>
                      <w:rPr>
                        <w:rFonts w:ascii="Cambria Math" w:hAnsi="Cambria Math"/>
                      </w:rPr>
                      <m:t>M-1</m:t>
                    </m:r>
                  </m:sup>
                  <m:e>
                    <m:sSub>
                      <m:sSubPr>
                        <m:ctrlPr>
                          <w:rPr>
                            <w:rFonts w:ascii="Cambria Math" w:hAnsi="Cambria Math"/>
                          </w:rPr>
                        </m:ctrlPr>
                      </m:sSubPr>
                      <m:e>
                        <m:r>
                          <m:rPr>
                            <m:sty m:val="p"/>
                          </m:rPr>
                          <w:rPr>
                            <w:rFonts w:ascii="Cambria Math" w:hAnsi="Cambria Math"/>
                          </w:rPr>
                          <m:t>EEG</m:t>
                        </m:r>
                      </m:e>
                      <m:sub>
                        <m:r>
                          <m:rPr>
                            <m:sty m:val="p"/>
                          </m:rPr>
                          <w:rPr>
                            <w:rFonts w:ascii="Cambria Math" w:hAnsi="Cambria Math"/>
                          </w:rPr>
                          <m:t>i</m:t>
                        </m:r>
                      </m:sub>
                    </m:sSub>
                    <m:r>
                      <m:rPr>
                        <m:sty m:val="p"/>
                      </m:rPr>
                      <w:rPr>
                        <w:rFonts w:ascii="Cambria Math" w:hAnsi="Cambria Math"/>
                      </w:rPr>
                      <m:t>[n]w[n]</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-2jπf</m:t>
                        </m:r>
                      </m:sup>
                    </m:sSup>
                  </m:e>
                </m:nary>
              </m:e>
            </m:d>
          </m:e>
          <m:sup>
            <m:r>
              <m:rPr>
                <m:sty m:val="p"/>
              </m:rPr>
              <w:rPr>
                <w:rFonts w:ascii="Cambria Math" w:hAnsi="Cambria Math"/>
              </w:rPr>
              <m:t>2</m:t>
            </m:r>
          </m:sup>
        </m:sSup>
      </m:oMath>
      <w:r w:rsidRPr="00FF7164">
        <w:rPr>
          <w:rFonts w:eastAsiaTheme="minorEastAsia"/>
        </w:rPr>
        <w:t xml:space="preserve">  </w:t>
      </w:r>
    </w:p>
    <w:p w14:paraId="0CA5E4EE" w14:textId="77777777" w:rsidR="001C71AF" w:rsidRPr="00FF7164" w:rsidRDefault="001C71AF" w:rsidP="001C71AF">
      <w:pPr>
        <w:jc w:val="center"/>
        <w:rPr>
          <w:rFonts w:eastAsiaTheme="minorEastAsia"/>
        </w:rPr>
      </w:pPr>
    </w:p>
    <w:p w14:paraId="534C2978" w14:textId="77777777" w:rsidR="001C71AF" w:rsidRPr="00FF7164" w:rsidRDefault="001C71AF" w:rsidP="001C71AF"/>
    <w:p w14:paraId="2BDFC47A" w14:textId="77777777" w:rsidR="001C71AF" w:rsidRPr="00FF7164" w:rsidRDefault="001C71AF" w:rsidP="001C71AF">
      <w:pPr>
        <w:spacing w:line="391" w:lineRule="auto"/>
        <w:rPr>
          <w:rFonts w:eastAsiaTheme="minorEastAsia"/>
        </w:rPr>
      </w:pPr>
      <w:r w:rsidRPr="00FF7164">
        <w:t xml:space="preserve">Where </w:t>
      </w:r>
      <m:oMath>
        <m:r>
          <m:rPr>
            <m:sty m:val="p"/>
          </m:rPr>
          <w:rPr>
            <w:rFonts w:ascii="Cambria Math" w:hAnsi="Cambria Math"/>
          </w:rPr>
          <m:t>EE</m:t>
        </m:r>
        <m:sSub>
          <m:sSubPr>
            <m:ctrlPr>
              <w:rPr>
                <w:rFonts w:ascii="Cambria Math" w:hAnsi="Cambria Math"/>
              </w:rPr>
            </m:ctrlPr>
          </m:sSubPr>
          <m:e>
            <m:r>
              <m:rPr>
                <m:sty m:val="p"/>
              </m:rPr>
              <w:rPr>
                <w:rFonts w:ascii="Cambria Math" w:hAnsi="Cambria Math"/>
              </w:rPr>
              <m:t>G</m:t>
            </m:r>
          </m:e>
          <m:sub>
            <m:r>
              <m:rPr>
                <m:sty m:val="p"/>
              </m:rPr>
              <w:rPr>
                <w:rFonts w:ascii="Cambria Math" w:hAnsi="Cambria Math"/>
              </w:rPr>
              <m:t>i</m:t>
            </m:r>
          </m:sub>
        </m:sSub>
        <m:d>
          <m:dPr>
            <m:begChr m:val="["/>
            <m:endChr m:val="]"/>
            <m:ctrlPr>
              <w:rPr>
                <w:rFonts w:ascii="Cambria Math" w:hAnsi="Cambria Math"/>
              </w:rPr>
            </m:ctrlPr>
          </m:dPr>
          <m:e>
            <m:r>
              <m:rPr>
                <m:sty m:val="p"/>
              </m:rPr>
              <w:rPr>
                <w:rFonts w:ascii="Cambria Math" w:hAnsi="Cambria Math"/>
              </w:rPr>
              <m:t>n</m:t>
            </m:r>
          </m:e>
        </m:d>
      </m:oMath>
      <w:r w:rsidRPr="19CEB6F8">
        <w:rPr>
          <w:rFonts w:eastAsiaTheme="minorEastAsia"/>
        </w:rPr>
        <w:t xml:space="preserve"> with </w:t>
      </w:r>
      <m:oMath>
        <m:r>
          <m:rPr>
            <m:sty m:val="p"/>
          </m:rPr>
          <w:rPr>
            <w:rFonts w:ascii="Cambria Math" w:eastAsiaTheme="minorEastAsia" w:hAnsi="Cambria Math"/>
          </w:rPr>
          <m:t>n=0,1,…,M-1</m:t>
        </m:r>
      </m:oMath>
      <w:r w:rsidRPr="19CEB6F8">
        <w:rPr>
          <w:rFonts w:eastAsiaTheme="minorEastAsia"/>
        </w:rPr>
        <w:t xml:space="preserve">, </w:t>
      </w:r>
      <m:oMath>
        <m:r>
          <m:rPr>
            <m:sty m:val="p"/>
          </m:rPr>
          <w:rPr>
            <w:rFonts w:ascii="Cambria Math" w:eastAsiaTheme="minorEastAsia" w:hAnsi="Cambria Math"/>
          </w:rPr>
          <m:t>i=0,1,…,L-1</m:t>
        </m:r>
      </m:oMath>
      <w:r w:rsidRPr="19CEB6F8">
        <w:rPr>
          <w:rFonts w:eastAsiaTheme="minorEastAsia"/>
        </w:rPr>
        <w:t xml:space="preserve"> and </w:t>
      </w:r>
      <w:r w:rsidRPr="00FF7164">
        <w:t xml:space="preserve">E is a normalization factor for the power or the window function used defined as, </w:t>
      </w:r>
    </w:p>
    <w:p w14:paraId="428134AB" w14:textId="77777777" w:rsidR="001C71AF" w:rsidRPr="00FF7164" w:rsidRDefault="001C71AF" w:rsidP="001C71AF"/>
    <w:p w14:paraId="71CE4E5F" w14:textId="77777777" w:rsidR="001C71AF" w:rsidRPr="00FF7164" w:rsidRDefault="001C71AF" w:rsidP="001C71AF">
      <m:oMathPara>
        <m:oMath>
          <m:r>
            <m:rPr>
              <m:sty m:val="p"/>
            </m:rPr>
            <w:rPr>
              <w:rFonts w:ascii="Cambria Math" w:hAnsi="Cambria Math"/>
            </w:rPr>
            <m:t>E=</m:t>
          </m:r>
          <m:f>
            <m:fPr>
              <m:ctrlPr>
                <w:rPr>
                  <w:rFonts w:ascii="Cambria Math" w:hAnsi="Cambria Math"/>
                </w:rPr>
              </m:ctrlPr>
            </m:fPr>
            <m:num>
              <m:r>
                <m:rPr>
                  <m:sty m:val="p"/>
                </m:rPr>
                <w:rPr>
                  <w:rFonts w:ascii="Cambria Math" w:hAnsi="Cambria Math"/>
                </w:rPr>
                <m:t>1</m:t>
              </m:r>
            </m:num>
            <m:den>
              <m:r>
                <m:rPr>
                  <m:sty m:val="p"/>
                </m:rPr>
                <w:rPr>
                  <w:rFonts w:ascii="Cambria Math" w:hAnsi="Cambria Math"/>
                </w:rPr>
                <m:t>M</m:t>
              </m:r>
            </m:den>
          </m:f>
          <m:nary>
            <m:naryPr>
              <m:chr m:val="∑"/>
              <m:limLoc m:val="undOvr"/>
              <m:ctrlPr>
                <w:rPr>
                  <w:rFonts w:ascii="Cambria Math" w:hAnsi="Cambria Math"/>
                </w:rPr>
              </m:ctrlPr>
            </m:naryPr>
            <m:sub>
              <m:r>
                <m:rPr>
                  <m:sty m:val="p"/>
                </m:rPr>
                <w:rPr>
                  <w:rFonts w:ascii="Cambria Math" w:hAnsi="Cambria Math"/>
                </w:rPr>
                <m:t>n=0</m:t>
              </m:r>
            </m:sub>
            <m:sup>
              <m:r>
                <m:rPr>
                  <m:sty m:val="p"/>
                </m:rPr>
                <w:rPr>
                  <w:rFonts w:ascii="Cambria Math" w:hAnsi="Cambria Math"/>
                </w:rPr>
                <m:t>M-1</m:t>
              </m:r>
            </m:sup>
            <m:e>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w[n]</m:t>
                      </m:r>
                    </m:e>
                  </m:d>
                </m:e>
                <m:sup>
                  <m:r>
                    <m:rPr>
                      <m:sty m:val="p"/>
                    </m:rPr>
                    <w:rPr>
                      <w:rFonts w:ascii="Cambria Math" w:hAnsi="Cambria Math"/>
                    </w:rPr>
                    <m:t>2</m:t>
                  </m:r>
                </m:sup>
              </m:sSup>
            </m:e>
          </m:nary>
        </m:oMath>
      </m:oMathPara>
    </w:p>
    <w:p w14:paraId="12A192F1" w14:textId="77777777" w:rsidR="001C71AF" w:rsidRPr="00FF7164" w:rsidRDefault="001C71AF" w:rsidP="001C71AF"/>
    <w:p w14:paraId="5B8EE7EA" w14:textId="77777777" w:rsidR="001C71AF" w:rsidRPr="00FF7164" w:rsidRDefault="001C71AF" w:rsidP="001C71AF">
      <w:pPr>
        <w:jc w:val="both"/>
      </w:pPr>
      <w:r w:rsidRPr="00FF7164">
        <w:t xml:space="preserve">Then, the power spectrum density is estimated from the average of K periodograms </w:t>
      </w:r>
    </w:p>
    <w:p w14:paraId="1463D6F9" w14:textId="77777777" w:rsidR="001C71AF" w:rsidRPr="00FF7164" w:rsidRDefault="001C71AF" w:rsidP="001C71AF"/>
    <w:p w14:paraId="553AD590" w14:textId="77777777" w:rsidR="001C71AF" w:rsidRPr="00FF7164" w:rsidRDefault="001C71AF" w:rsidP="001C71AF">
      <w:pPr>
        <w:rPr>
          <w:rFonts w:eastAsiaTheme="minorEastAsia"/>
        </w:rPr>
      </w:pPr>
      <m:oMathPara>
        <m:oMath>
          <m:r>
            <m:rPr>
              <m:sty m:val="p"/>
            </m:rPr>
            <w:rPr>
              <w:rFonts w:ascii="Cambria Math" w:hAnsi="Cambria Math"/>
            </w:rPr>
            <m:t>S</m:t>
          </m:r>
          <m:d>
            <m:dPr>
              <m:ctrlPr>
                <w:rPr>
                  <w:rFonts w:ascii="Cambria Math" w:hAnsi="Cambria Math"/>
                </w:rPr>
              </m:ctrlPr>
            </m:dPr>
            <m:e>
              <m:r>
                <m:rPr>
                  <m:sty m:val="p"/>
                </m:rPr>
                <w:rPr>
                  <w:rFonts w:ascii="Cambria Math" w:hAnsi="Cambria Math"/>
                </w:rPr>
                <m:t>f</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L</m:t>
              </m:r>
            </m:den>
          </m:f>
          <m:nary>
            <m:naryPr>
              <m:chr m:val="∑"/>
              <m:limLoc m:val="undOvr"/>
              <m:ctrlPr>
                <w:rPr>
                  <w:rFonts w:ascii="Cambria Math" w:hAnsi="Cambria Math"/>
                </w:rPr>
              </m:ctrlPr>
            </m:naryPr>
            <m:sub>
              <m:r>
                <m:rPr>
                  <m:sty m:val="p"/>
                </m:rPr>
                <w:rPr>
                  <w:rFonts w:ascii="Cambria Math" w:hAnsi="Cambria Math"/>
                </w:rPr>
                <m:t>i=0</m:t>
              </m:r>
            </m:sub>
            <m:sup>
              <m:r>
                <m:rPr>
                  <m:sty m:val="p"/>
                </m:rPr>
                <w:rPr>
                  <w:rFonts w:ascii="Cambria Math" w:hAnsi="Cambria Math"/>
                </w:rPr>
                <m:t>L-1</m:t>
              </m:r>
            </m:sup>
            <m:e>
              <m:sSub>
                <m:sSubPr>
                  <m:ctrlPr>
                    <w:rPr>
                      <w:rFonts w:ascii="Cambria Math" w:hAnsi="Cambria Math"/>
                    </w:rPr>
                  </m:ctrlPr>
                </m:sSubPr>
                <m:e>
                  <m:r>
                    <m:rPr>
                      <m:sty m:val="p"/>
                    </m:rPr>
                    <w:rPr>
                      <w:rFonts w:ascii="Cambria Math" w:hAnsi="Cambria Math"/>
                    </w:rPr>
                    <m:t>S</m:t>
                  </m:r>
                </m:e>
                <m:sub>
                  <m:r>
                    <m:rPr>
                      <m:sty m:val="p"/>
                    </m:rPr>
                    <w:rPr>
                      <w:rFonts w:ascii="Cambria Math" w:hAnsi="Cambria Math"/>
                    </w:rPr>
                    <m:t>i</m:t>
                  </m:r>
                </m:sub>
              </m:sSub>
              <m:d>
                <m:dPr>
                  <m:ctrlPr>
                    <w:rPr>
                      <w:rFonts w:ascii="Cambria Math" w:hAnsi="Cambria Math"/>
                    </w:rPr>
                  </m:ctrlPr>
                </m:dPr>
                <m:e>
                  <m:r>
                    <m:rPr>
                      <m:sty m:val="p"/>
                    </m:rPr>
                    <w:rPr>
                      <w:rFonts w:ascii="Cambria Math" w:hAnsi="Cambria Math"/>
                    </w:rPr>
                    <m:t>f</m:t>
                  </m:r>
                </m:e>
              </m:d>
            </m:e>
          </m:nary>
        </m:oMath>
      </m:oMathPara>
    </w:p>
    <w:p w14:paraId="4D1FDD9D" w14:textId="77777777" w:rsidR="001C71AF" w:rsidRDefault="001C71AF" w:rsidP="001C71AF">
      <w:pPr>
        <w:rPr>
          <w:rFonts w:eastAsiaTheme="minorEastAsia"/>
        </w:rPr>
      </w:pPr>
    </w:p>
    <w:p w14:paraId="5A85A3E1" w14:textId="77777777" w:rsidR="001C71AF" w:rsidRDefault="001C71AF" w:rsidP="001C71AF">
      <w:pPr>
        <w:rPr>
          <w:rFonts w:eastAsiaTheme="minorEastAsia"/>
        </w:rPr>
      </w:pPr>
    </w:p>
    <w:p w14:paraId="53ECD264" w14:textId="77777777" w:rsidR="001C71AF" w:rsidRPr="00FF7164" w:rsidRDefault="001C71AF" w:rsidP="001C71AF">
      <w:pPr>
        <w:rPr>
          <w:rFonts w:eastAsiaTheme="minorEastAsia"/>
        </w:rPr>
      </w:pPr>
    </w:p>
    <w:p w14:paraId="3F50367F" w14:textId="77777777" w:rsidR="001C71AF" w:rsidRPr="00E041CF" w:rsidRDefault="001C71AF" w:rsidP="001C71AF">
      <w:pPr>
        <w:jc w:val="both"/>
        <w:rPr>
          <w:b/>
          <w:bCs/>
        </w:rPr>
      </w:pPr>
      <w:r w:rsidRPr="00E041CF">
        <w:rPr>
          <w:rFonts w:eastAsiaTheme="minorEastAsia"/>
          <w:b/>
          <w:bCs/>
        </w:rPr>
        <w:t>Choice of data windows</w:t>
      </w:r>
    </w:p>
    <w:p w14:paraId="03477CC2" w14:textId="77777777" w:rsidR="001C71AF" w:rsidRPr="00FF7164" w:rsidRDefault="001C71AF" w:rsidP="001C71AF">
      <w:pPr>
        <w:jc w:val="both"/>
      </w:pPr>
    </w:p>
    <w:p w14:paraId="6889D10D" w14:textId="77777777" w:rsidR="001C71AF" w:rsidRPr="00FF7164" w:rsidRDefault="001C71AF" w:rsidP="001C71AF">
      <w:pPr>
        <w:spacing w:line="391" w:lineRule="auto"/>
        <w:jc w:val="both"/>
        <w:rPr>
          <w:rFonts w:eastAsiaTheme="minorEastAsia"/>
        </w:rPr>
      </w:pPr>
      <w:r w:rsidRPr="00FF7164">
        <w:t xml:space="preserve">Welch method allows to reduce the variance in the estimation of the power spectrum density with respect to the periodogram technique. If we average over L segments, we obtain a reduction of the variance of approximately </w:t>
      </w:r>
      <m:oMath>
        <m:r>
          <m:rPr>
            <m:sty m:val="p"/>
          </m:rPr>
          <w:rPr>
            <w:rFonts w:ascii="Cambria Math" w:hAnsi="Cambria Math"/>
          </w:rPr>
          <m:t>1/L</m:t>
        </m:r>
      </m:oMath>
      <w:r w:rsidRPr="19CEB6F8">
        <w:rPr>
          <w:rFonts w:eastAsiaTheme="minorEastAsia"/>
        </w:rPr>
        <w:t xml:space="preserve"> if it does not have overlapping segments. </w:t>
      </w:r>
      <w:r>
        <w:t>Therefore</w:t>
      </w:r>
      <w:r w:rsidRPr="19CEB6F8">
        <w:rPr>
          <w:rFonts w:eastAsiaTheme="minorEastAsia"/>
        </w:rPr>
        <w:t xml:space="preserve">, if the length of the series N is sufficiently large, we can select </w:t>
      </w:r>
      <m:oMath>
        <m:r>
          <m:rPr>
            <m:sty m:val="p"/>
          </m:rPr>
          <w:rPr>
            <w:rFonts w:ascii="Cambria Math" w:eastAsiaTheme="minorEastAsia" w:hAnsi="Cambria Math"/>
          </w:rPr>
          <m:t>D=0</m:t>
        </m:r>
      </m:oMath>
      <w:r w:rsidRPr="19CEB6F8">
        <w:rPr>
          <w:rFonts w:eastAsiaTheme="minorEastAsia"/>
        </w:rPr>
        <w:t>, i.e., there is no overlap between successive data segments.</w:t>
      </w:r>
    </w:p>
    <w:p w14:paraId="0A25D0DF" w14:textId="77777777" w:rsidR="001C71AF" w:rsidRPr="00FF7164" w:rsidRDefault="001C71AF" w:rsidP="001C71AF">
      <w:pPr>
        <w:spacing w:line="391" w:lineRule="auto"/>
        <w:jc w:val="both"/>
        <w:rPr>
          <w:rFonts w:eastAsiaTheme="minorEastAsia"/>
        </w:rPr>
      </w:pPr>
    </w:p>
    <w:p w14:paraId="67CAA9C4" w14:textId="77777777" w:rsidR="001C71AF" w:rsidRPr="00FF7164" w:rsidRDefault="001C71AF" w:rsidP="001C71AF">
      <w:pPr>
        <w:spacing w:line="391" w:lineRule="auto"/>
        <w:jc w:val="both"/>
        <w:rPr>
          <w:rFonts w:eastAsiaTheme="minorEastAsia"/>
        </w:rPr>
      </w:pPr>
      <w:r w:rsidRPr="19CEB6F8">
        <w:rPr>
          <w:rFonts w:eastAsiaTheme="minorEastAsia"/>
        </w:rPr>
        <w:t xml:space="preserve">If N is not sufficiently large, in order to obtain a minimum variance, overlapping segments can be taken. Normally, they overlap by one half their length, i.e., </w:t>
      </w:r>
      <m:oMath>
        <m:r>
          <m:rPr>
            <m:sty m:val="p"/>
          </m:rPr>
          <w:rPr>
            <w:rFonts w:ascii="Cambria Math" w:eastAsiaTheme="minorEastAsia" w:hAnsi="Cambria Math"/>
          </w:rPr>
          <m:t>D=M/2</m:t>
        </m:r>
      </m:oMath>
      <w:r w:rsidRPr="19CEB6F8">
        <w:rPr>
          <w:rFonts w:eastAsiaTheme="minorEastAsia"/>
        </w:rPr>
        <w:t xml:space="preserve"> which is 50% overlap between successive data segments. </w:t>
      </w:r>
    </w:p>
    <w:p w14:paraId="64DFAB3A" w14:textId="77777777" w:rsidR="001C71AF" w:rsidRPr="00FF7164" w:rsidRDefault="001C71AF" w:rsidP="001C71AF">
      <w:pPr>
        <w:spacing w:line="391" w:lineRule="auto"/>
        <w:jc w:val="both"/>
      </w:pPr>
    </w:p>
    <w:p w14:paraId="73B8C6E7" w14:textId="77777777" w:rsidR="001C71AF" w:rsidRPr="00FF7164" w:rsidRDefault="001C71AF" w:rsidP="001C71AF">
      <w:pPr>
        <w:spacing w:line="391" w:lineRule="auto"/>
        <w:jc w:val="both"/>
      </w:pPr>
      <w:r w:rsidRPr="00FF7164">
        <w:t xml:space="preserve">Given a compromise relationship between the computational cost and the reduction of the variance using this method, in the present work </w:t>
      </w:r>
      <m:oMath>
        <m:r>
          <m:rPr>
            <m:sty m:val="p"/>
          </m:rPr>
          <w:rPr>
            <w:rFonts w:ascii="Cambria Math" w:hAnsi="Cambria Math"/>
          </w:rPr>
          <m:t>L=8</m:t>
        </m:r>
      </m:oMath>
      <w:r w:rsidRPr="19CEB6F8">
        <w:rPr>
          <w:rFonts w:eastAsiaTheme="minorEastAsia"/>
        </w:rPr>
        <w:t xml:space="preserve"> and </w:t>
      </w:r>
      <m:oMath>
        <m:r>
          <m:rPr>
            <m:sty m:val="p"/>
          </m:rPr>
          <w:rPr>
            <w:rFonts w:ascii="Cambria Math" w:eastAsiaTheme="minorEastAsia" w:hAnsi="Cambria Math"/>
          </w:rPr>
          <m:t>D=M/2</m:t>
        </m:r>
      </m:oMath>
      <w:r w:rsidRPr="19CEB6F8">
        <w:rPr>
          <w:rFonts w:eastAsiaTheme="minorEastAsia"/>
        </w:rPr>
        <w:t xml:space="preserve"> which represented a 50% of overlap. M was established by L and D.</w:t>
      </w:r>
    </w:p>
    <w:p w14:paraId="5BEBFD6A" w14:textId="77777777" w:rsidR="008C55D4" w:rsidRDefault="008C55D4" w:rsidP="008C55D4">
      <w:pPr>
        <w:rPr>
          <w:b/>
          <w:bCs/>
        </w:rPr>
      </w:pPr>
    </w:p>
    <w:p w14:paraId="0765B34A" w14:textId="77777777" w:rsidR="008C55D4" w:rsidRDefault="008C55D4" w:rsidP="008C55D4">
      <w:r>
        <w:t xml:space="preserve">Figure A.1 Boxplot comparison for the SCC </w:t>
      </w:r>
    </w:p>
    <w:p w14:paraId="4BF2F56C" w14:textId="77777777" w:rsidR="001C71AF" w:rsidRDefault="001C71AF" w:rsidP="001C71AF"/>
    <w:p w14:paraId="42BDFBEA" w14:textId="77777777" w:rsidR="001C71AF" w:rsidRDefault="001C71AF" w:rsidP="001C71AF"/>
    <w:p w14:paraId="0D761C06" w14:textId="77777777" w:rsidR="001C71AF" w:rsidRDefault="001C71AF" w:rsidP="001C71AF"/>
    <w:p w14:paraId="071DC7C2" w14:textId="77777777" w:rsidR="001C71AF" w:rsidRDefault="001C71AF" w:rsidP="001C71AF">
      <w:r w:rsidRPr="00937BB5">
        <w:rPr>
          <w:noProof/>
          <w:lang w:val="es-ES" w:eastAsia="es-ES"/>
        </w:rPr>
        <w:drawing>
          <wp:inline distT="0" distB="0" distL="0" distR="0" wp14:anchorId="372D5AB8" wp14:editId="61FE1D8F">
            <wp:extent cx="5731510" cy="2623820"/>
            <wp:effectExtent l="0" t="0" r="254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5731510" cy="2623820"/>
                    </a:xfrm>
                    <a:prstGeom prst="rect">
                      <a:avLst/>
                    </a:prstGeom>
                  </pic:spPr>
                </pic:pic>
              </a:graphicData>
            </a:graphic>
          </wp:inline>
        </w:drawing>
      </w:r>
    </w:p>
    <w:p w14:paraId="1C850C16" w14:textId="77777777" w:rsidR="001C71AF" w:rsidRDefault="001C71AF" w:rsidP="001C71AF"/>
    <w:p w14:paraId="72AE8D62" w14:textId="77777777" w:rsidR="008C55D4" w:rsidRDefault="008C55D4" w:rsidP="008C55D4">
      <w:r>
        <w:t>Table A.1: Comparison of the correlation between (</w:t>
      </w:r>
      <w:r w:rsidRPr="00EB56B3">
        <w:rPr>
          <w:spacing w:val="11"/>
          <w:w w:val="110"/>
        </w:rPr>
        <w:t>Φ-angle</w:t>
      </w:r>
      <w:r>
        <w:rPr>
          <w:spacing w:val="11"/>
          <w:w w:val="110"/>
        </w:rPr>
        <w:t xml:space="preserve">,ICP) column 2, </w:t>
      </w:r>
      <w:r>
        <w:t>(</w:t>
      </w:r>
      <w:r>
        <w:rPr>
          <w:spacing w:val="11"/>
          <w:w w:val="110"/>
        </w:rPr>
        <w:t xml:space="preserve">ADR,ICP) column 3, </w:t>
      </w:r>
      <w:r>
        <w:t>(</w:t>
      </w:r>
      <w:r w:rsidRPr="00EB56B3">
        <w:rPr>
          <w:spacing w:val="11"/>
          <w:w w:val="110"/>
        </w:rPr>
        <w:t>Φ-angle</w:t>
      </w:r>
      <w:r>
        <w:rPr>
          <w:spacing w:val="11"/>
          <w:w w:val="110"/>
        </w:rPr>
        <w:t xml:space="preserve">,CPP) column 4 and </w:t>
      </w:r>
      <w:r>
        <w:t>(</w:t>
      </w:r>
      <w:r>
        <w:rPr>
          <w:spacing w:val="11"/>
          <w:w w:val="110"/>
        </w:rPr>
        <w:t>ADR,CPP) column 5.</w:t>
      </w:r>
    </w:p>
    <w:p w14:paraId="6F41C7CB" w14:textId="77777777" w:rsidR="001C71AF" w:rsidRDefault="001C71AF" w:rsidP="001C71AF"/>
    <w:p w14:paraId="499AA650" w14:textId="77777777" w:rsidR="001C71AF" w:rsidRDefault="001C71AF" w:rsidP="001C71AF"/>
    <w:tbl>
      <w:tblPr>
        <w:tblW w:w="4729" w:type="dxa"/>
        <w:tblCellMar>
          <w:left w:w="0" w:type="dxa"/>
          <w:right w:w="0" w:type="dxa"/>
        </w:tblCellMar>
        <w:tblLook w:val="04A0" w:firstRow="1" w:lastRow="0" w:firstColumn="1" w:lastColumn="0" w:noHBand="0" w:noVBand="1"/>
      </w:tblPr>
      <w:tblGrid>
        <w:gridCol w:w="938"/>
        <w:gridCol w:w="1168"/>
        <w:gridCol w:w="751"/>
        <w:gridCol w:w="1120"/>
        <w:gridCol w:w="752"/>
      </w:tblGrid>
      <w:tr w:rsidR="001C71AF" w:rsidRPr="003F7A48" w14:paraId="5AF0FC72" w14:textId="77777777" w:rsidTr="00B01225">
        <w:trPr>
          <w:trHeight w:val="315"/>
        </w:trPr>
        <w:tc>
          <w:tcPr>
            <w:tcW w:w="938"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hideMark/>
          </w:tcPr>
          <w:p w14:paraId="4CEB36BC" w14:textId="77777777" w:rsidR="001C71AF" w:rsidRPr="0007785D" w:rsidRDefault="001C71AF" w:rsidP="00B01225">
            <w:pPr>
              <w:jc w:val="center"/>
              <w:rPr>
                <w:lang w:val="es-ES" w:eastAsia="es-ES"/>
              </w:rPr>
            </w:pPr>
            <w:r w:rsidRPr="0007785D">
              <w:rPr>
                <w:lang w:val="es-ES" w:eastAsia="es-ES"/>
              </w:rPr>
              <w:t>Episode</w:t>
            </w:r>
          </w:p>
        </w:tc>
        <w:tc>
          <w:tcPr>
            <w:tcW w:w="1919" w:type="dxa"/>
            <w:gridSpan w:val="2"/>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769FA4CF" w14:textId="77777777" w:rsidR="001C71AF" w:rsidRPr="0007785D" w:rsidRDefault="001C71AF" w:rsidP="00B01225">
            <w:pPr>
              <w:jc w:val="center"/>
              <w:rPr>
                <w:lang w:val="es-ES" w:eastAsia="es-ES"/>
              </w:rPr>
            </w:pPr>
            <w:r w:rsidRPr="0007785D">
              <w:rPr>
                <w:lang w:val="es-ES" w:eastAsia="es-ES"/>
              </w:rPr>
              <w:t>Correlation with ICP</w:t>
            </w:r>
          </w:p>
        </w:tc>
        <w:tc>
          <w:tcPr>
            <w:tcW w:w="1872" w:type="dxa"/>
            <w:gridSpan w:val="2"/>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65828339" w14:textId="77777777" w:rsidR="001C71AF" w:rsidRPr="0007785D" w:rsidRDefault="001C71AF" w:rsidP="00B01225">
            <w:pPr>
              <w:jc w:val="center"/>
              <w:rPr>
                <w:lang w:val="es-ES" w:eastAsia="es-ES"/>
              </w:rPr>
            </w:pPr>
            <w:r w:rsidRPr="0007785D">
              <w:rPr>
                <w:lang w:val="es-ES" w:eastAsia="es-ES"/>
              </w:rPr>
              <w:t>Correlation with CPP</w:t>
            </w:r>
          </w:p>
        </w:tc>
      </w:tr>
      <w:tr w:rsidR="001C71AF" w:rsidRPr="003F7A48" w14:paraId="5E753AB7" w14:textId="77777777" w:rsidTr="00B01225">
        <w:trPr>
          <w:trHeight w:val="315"/>
        </w:trPr>
        <w:tc>
          <w:tcPr>
            <w:tcW w:w="938" w:type="dxa"/>
            <w:vMerge/>
            <w:vAlign w:val="center"/>
            <w:hideMark/>
          </w:tcPr>
          <w:p w14:paraId="6A1179FA" w14:textId="77777777" w:rsidR="001C71AF" w:rsidRPr="003F7A48" w:rsidRDefault="001C71AF" w:rsidP="00B01225">
            <w:pPr>
              <w:rPr>
                <w:rFonts w:ascii="Arial" w:hAnsi="Arial" w:cs="Arial"/>
                <w:sz w:val="20"/>
                <w:szCs w:val="20"/>
                <w:lang w:val="es-ES" w:eastAsia="es-ES"/>
              </w:rPr>
            </w:pPr>
          </w:p>
        </w:tc>
        <w:tc>
          <w:tcPr>
            <w:tcW w:w="1168"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3B81607C" w14:textId="77777777" w:rsidR="001C71AF" w:rsidRPr="003F7A48" w:rsidRDefault="001C71AF" w:rsidP="00B01225">
            <w:pPr>
              <w:jc w:val="center"/>
              <w:rPr>
                <w:lang w:val="es-ES" w:eastAsia="es-ES"/>
              </w:rPr>
            </w:pPr>
            <w:r w:rsidRPr="0007785D">
              <w:rPr>
                <w:spacing w:val="11"/>
                <w:w w:val="110"/>
              </w:rPr>
              <w:t>Φ-angle</w:t>
            </w:r>
          </w:p>
        </w:tc>
        <w:tc>
          <w:tcPr>
            <w:tcW w:w="751"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6D5F47C4" w14:textId="77777777" w:rsidR="001C71AF" w:rsidRPr="0007785D" w:rsidRDefault="001C71AF" w:rsidP="00B01225">
            <w:pPr>
              <w:jc w:val="center"/>
              <w:rPr>
                <w:lang w:val="es-ES" w:eastAsia="es-ES"/>
              </w:rPr>
            </w:pPr>
            <w:r w:rsidRPr="0007785D">
              <w:rPr>
                <w:lang w:val="es-ES" w:eastAsia="es-ES"/>
              </w:rPr>
              <w:t>ADR</w:t>
            </w:r>
          </w:p>
        </w:tc>
        <w:tc>
          <w:tcPr>
            <w:tcW w:w="11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7B51186B" w14:textId="77777777" w:rsidR="001C71AF" w:rsidRPr="0007785D" w:rsidRDefault="001C71AF" w:rsidP="00B01225">
            <w:pPr>
              <w:jc w:val="center"/>
              <w:rPr>
                <w:lang w:val="es-ES" w:eastAsia="es-ES"/>
              </w:rPr>
            </w:pPr>
            <w:r w:rsidRPr="0007785D">
              <w:rPr>
                <w:spacing w:val="11"/>
                <w:w w:val="110"/>
              </w:rPr>
              <w:t>Φ-angle</w:t>
            </w:r>
          </w:p>
        </w:tc>
        <w:tc>
          <w:tcPr>
            <w:tcW w:w="75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7122C890" w14:textId="77777777" w:rsidR="001C71AF" w:rsidRPr="0007785D" w:rsidRDefault="001C71AF" w:rsidP="00B01225">
            <w:pPr>
              <w:jc w:val="center"/>
              <w:rPr>
                <w:lang w:val="es-ES" w:eastAsia="es-ES"/>
              </w:rPr>
            </w:pPr>
            <w:r w:rsidRPr="0007785D">
              <w:rPr>
                <w:lang w:val="es-ES" w:eastAsia="es-ES"/>
              </w:rPr>
              <w:t>ADR</w:t>
            </w:r>
          </w:p>
        </w:tc>
      </w:tr>
      <w:tr w:rsidR="001C71AF" w:rsidRPr="003F7A48" w14:paraId="73C2BA18" w14:textId="77777777" w:rsidTr="00B01225">
        <w:trPr>
          <w:trHeight w:val="315"/>
        </w:trPr>
        <w:tc>
          <w:tcPr>
            <w:tcW w:w="938"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hideMark/>
          </w:tcPr>
          <w:p w14:paraId="525A68CE" w14:textId="77777777" w:rsidR="001C71AF" w:rsidRPr="003F7A48" w:rsidRDefault="001C71AF" w:rsidP="00B01225">
            <w:pPr>
              <w:jc w:val="center"/>
              <w:rPr>
                <w:lang w:val="es-ES" w:eastAsia="es-ES"/>
              </w:rPr>
            </w:pPr>
            <w:r w:rsidRPr="19CEB6F8">
              <w:rPr>
                <w:lang w:val="es-ES" w:eastAsia="es-ES"/>
              </w:rPr>
              <w:t>i</w:t>
            </w:r>
          </w:p>
        </w:tc>
        <w:tc>
          <w:tcPr>
            <w:tcW w:w="1168"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71737702" w14:textId="77777777" w:rsidR="001C71AF" w:rsidRPr="003F7A48" w:rsidRDefault="001C71AF" w:rsidP="00B01225">
            <w:pPr>
              <w:jc w:val="center"/>
              <w:rPr>
                <w:lang w:val="es-ES" w:eastAsia="es-ES"/>
              </w:rPr>
            </w:pPr>
            <w:r w:rsidRPr="19CEB6F8">
              <w:rPr>
                <w:lang w:val="es-ES" w:eastAsia="es-ES"/>
              </w:rPr>
              <w:t>-0.96</w:t>
            </w:r>
          </w:p>
        </w:tc>
        <w:tc>
          <w:tcPr>
            <w:tcW w:w="751"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75A96F33" w14:textId="77777777" w:rsidR="001C71AF" w:rsidRPr="0007785D" w:rsidRDefault="001C71AF" w:rsidP="00B01225">
            <w:pPr>
              <w:jc w:val="center"/>
              <w:rPr>
                <w:lang w:val="es-ES" w:eastAsia="es-ES"/>
              </w:rPr>
            </w:pPr>
            <w:r w:rsidRPr="0007785D">
              <w:rPr>
                <w:lang w:val="es-ES" w:eastAsia="es-ES"/>
              </w:rPr>
              <w:t>-0.46</w:t>
            </w:r>
          </w:p>
        </w:tc>
        <w:tc>
          <w:tcPr>
            <w:tcW w:w="11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001BF1E4" w14:textId="77777777" w:rsidR="001C71AF" w:rsidRPr="003F7A48" w:rsidRDefault="001C71AF" w:rsidP="00B01225">
            <w:pPr>
              <w:jc w:val="center"/>
              <w:rPr>
                <w:lang w:val="es-ES" w:eastAsia="es-ES"/>
              </w:rPr>
            </w:pPr>
            <w:r w:rsidRPr="19CEB6F8">
              <w:rPr>
                <w:lang w:val="es-ES" w:eastAsia="es-ES"/>
              </w:rPr>
              <w:t>0.95</w:t>
            </w:r>
          </w:p>
        </w:tc>
        <w:tc>
          <w:tcPr>
            <w:tcW w:w="75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4B1B5CC4" w14:textId="77777777" w:rsidR="001C71AF" w:rsidRPr="0007785D" w:rsidRDefault="001C71AF" w:rsidP="00B01225">
            <w:pPr>
              <w:jc w:val="center"/>
              <w:rPr>
                <w:lang w:val="es-ES" w:eastAsia="es-ES"/>
              </w:rPr>
            </w:pPr>
            <w:r w:rsidRPr="0007785D">
              <w:rPr>
                <w:lang w:val="es-ES" w:eastAsia="es-ES"/>
              </w:rPr>
              <w:t>0.49</w:t>
            </w:r>
          </w:p>
        </w:tc>
      </w:tr>
      <w:tr w:rsidR="001C71AF" w:rsidRPr="003F7A48" w14:paraId="0FBF0722" w14:textId="77777777" w:rsidTr="00B01225">
        <w:trPr>
          <w:trHeight w:val="315"/>
        </w:trPr>
        <w:tc>
          <w:tcPr>
            <w:tcW w:w="938"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30" w:type="dxa"/>
              <w:left w:w="45" w:type="dxa"/>
              <w:bottom w:w="30" w:type="dxa"/>
              <w:right w:w="45" w:type="dxa"/>
            </w:tcMar>
            <w:vAlign w:val="center"/>
            <w:hideMark/>
          </w:tcPr>
          <w:p w14:paraId="106A32B8" w14:textId="77777777" w:rsidR="001C71AF" w:rsidRPr="003F7A48" w:rsidRDefault="001C71AF" w:rsidP="00B01225">
            <w:pPr>
              <w:jc w:val="center"/>
              <w:rPr>
                <w:lang w:val="es-ES" w:eastAsia="es-ES"/>
              </w:rPr>
            </w:pPr>
            <w:r w:rsidRPr="19CEB6F8">
              <w:rPr>
                <w:lang w:val="es-ES" w:eastAsia="es-ES"/>
              </w:rPr>
              <w:t>ii</w:t>
            </w:r>
          </w:p>
        </w:tc>
        <w:tc>
          <w:tcPr>
            <w:tcW w:w="1168" w:type="dxa"/>
            <w:tcBorders>
              <w:top w:val="single" w:sz="6" w:space="0" w:color="CCCCCC"/>
              <w:left w:val="single" w:sz="6" w:space="0" w:color="CCCCCC"/>
              <w:bottom w:val="single" w:sz="6" w:space="0" w:color="000000" w:themeColor="text1"/>
              <w:right w:val="single" w:sz="6" w:space="0" w:color="000000" w:themeColor="text1"/>
            </w:tcBorders>
            <w:shd w:val="clear" w:color="auto" w:fill="F2F2F2" w:themeFill="background1" w:themeFillShade="F2"/>
            <w:tcMar>
              <w:top w:w="30" w:type="dxa"/>
              <w:left w:w="45" w:type="dxa"/>
              <w:bottom w:w="30" w:type="dxa"/>
              <w:right w:w="45" w:type="dxa"/>
            </w:tcMar>
            <w:vAlign w:val="center"/>
            <w:hideMark/>
          </w:tcPr>
          <w:p w14:paraId="55286408" w14:textId="77777777" w:rsidR="001C71AF" w:rsidRPr="003F7A48" w:rsidRDefault="001C71AF" w:rsidP="00B01225">
            <w:pPr>
              <w:jc w:val="center"/>
              <w:rPr>
                <w:lang w:val="es-ES" w:eastAsia="es-ES"/>
              </w:rPr>
            </w:pPr>
            <w:r w:rsidRPr="19CEB6F8">
              <w:rPr>
                <w:lang w:val="es-ES" w:eastAsia="es-ES"/>
              </w:rPr>
              <w:t>-0.74</w:t>
            </w:r>
          </w:p>
        </w:tc>
        <w:tc>
          <w:tcPr>
            <w:tcW w:w="751"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099260AD" w14:textId="77777777" w:rsidR="001C71AF" w:rsidRPr="003C55FE" w:rsidRDefault="001C71AF" w:rsidP="00B01225">
            <w:pPr>
              <w:jc w:val="center"/>
              <w:rPr>
                <w:lang w:val="es-ES" w:eastAsia="es-ES"/>
              </w:rPr>
            </w:pPr>
            <w:r w:rsidRPr="003C55FE">
              <w:rPr>
                <w:lang w:val="es-ES" w:eastAsia="es-ES"/>
              </w:rPr>
              <w:t>-0.95</w:t>
            </w:r>
          </w:p>
        </w:tc>
        <w:tc>
          <w:tcPr>
            <w:tcW w:w="1120" w:type="dxa"/>
            <w:tcBorders>
              <w:top w:val="single" w:sz="6" w:space="0" w:color="CCCCCC"/>
              <w:left w:val="single" w:sz="6" w:space="0" w:color="CCCCCC"/>
              <w:bottom w:val="single" w:sz="6" w:space="0" w:color="000000" w:themeColor="text1"/>
              <w:right w:val="single" w:sz="6" w:space="0" w:color="000000" w:themeColor="text1"/>
            </w:tcBorders>
            <w:shd w:val="clear" w:color="auto" w:fill="F2F2F2" w:themeFill="background1" w:themeFillShade="F2"/>
            <w:tcMar>
              <w:top w:w="30" w:type="dxa"/>
              <w:left w:w="45" w:type="dxa"/>
              <w:bottom w:w="30" w:type="dxa"/>
              <w:right w:w="45" w:type="dxa"/>
            </w:tcMar>
            <w:vAlign w:val="center"/>
            <w:hideMark/>
          </w:tcPr>
          <w:p w14:paraId="4F937130" w14:textId="77777777" w:rsidR="001C71AF" w:rsidRPr="003F7A48" w:rsidRDefault="001C71AF" w:rsidP="00B01225">
            <w:pPr>
              <w:jc w:val="center"/>
              <w:rPr>
                <w:lang w:val="es-ES" w:eastAsia="es-ES"/>
              </w:rPr>
            </w:pPr>
            <w:r w:rsidRPr="19CEB6F8">
              <w:rPr>
                <w:lang w:val="es-ES" w:eastAsia="es-ES"/>
              </w:rPr>
              <w:t>0.78</w:t>
            </w:r>
          </w:p>
        </w:tc>
        <w:tc>
          <w:tcPr>
            <w:tcW w:w="75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666A1BF2" w14:textId="77777777" w:rsidR="001C71AF" w:rsidRPr="003C55FE" w:rsidRDefault="001C71AF" w:rsidP="00B01225">
            <w:pPr>
              <w:jc w:val="center"/>
              <w:rPr>
                <w:lang w:val="es-ES" w:eastAsia="es-ES"/>
              </w:rPr>
            </w:pPr>
            <w:r w:rsidRPr="003C55FE">
              <w:rPr>
                <w:lang w:val="es-ES" w:eastAsia="es-ES"/>
              </w:rPr>
              <w:t>0.94</w:t>
            </w:r>
          </w:p>
        </w:tc>
      </w:tr>
      <w:tr w:rsidR="001C71AF" w:rsidRPr="003F7A48" w14:paraId="5EA22D9C" w14:textId="77777777" w:rsidTr="00B01225">
        <w:trPr>
          <w:trHeight w:val="315"/>
        </w:trPr>
        <w:tc>
          <w:tcPr>
            <w:tcW w:w="938"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hideMark/>
          </w:tcPr>
          <w:p w14:paraId="2E814C44" w14:textId="77777777" w:rsidR="001C71AF" w:rsidRPr="003F7A48" w:rsidRDefault="001C71AF" w:rsidP="00B01225">
            <w:pPr>
              <w:jc w:val="center"/>
              <w:rPr>
                <w:lang w:val="es-ES" w:eastAsia="es-ES"/>
              </w:rPr>
            </w:pPr>
            <w:r w:rsidRPr="19CEB6F8">
              <w:rPr>
                <w:lang w:val="es-ES" w:eastAsia="es-ES"/>
              </w:rPr>
              <w:t>iii</w:t>
            </w:r>
          </w:p>
        </w:tc>
        <w:tc>
          <w:tcPr>
            <w:tcW w:w="1168"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315786EC" w14:textId="77777777" w:rsidR="001C71AF" w:rsidRPr="003F7A48" w:rsidRDefault="001C71AF" w:rsidP="00B01225">
            <w:pPr>
              <w:jc w:val="center"/>
              <w:rPr>
                <w:lang w:val="es-ES" w:eastAsia="es-ES"/>
              </w:rPr>
            </w:pPr>
            <w:r w:rsidRPr="19CEB6F8">
              <w:rPr>
                <w:lang w:val="es-ES" w:eastAsia="es-ES"/>
              </w:rPr>
              <w:t>-0.85</w:t>
            </w:r>
          </w:p>
        </w:tc>
        <w:tc>
          <w:tcPr>
            <w:tcW w:w="751"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05DFEABF" w14:textId="77777777" w:rsidR="001C71AF" w:rsidRPr="003C55FE" w:rsidRDefault="001C71AF" w:rsidP="00B01225">
            <w:pPr>
              <w:jc w:val="center"/>
              <w:rPr>
                <w:lang w:val="es-ES" w:eastAsia="es-ES"/>
              </w:rPr>
            </w:pPr>
            <w:r w:rsidRPr="003C55FE">
              <w:rPr>
                <w:lang w:val="es-ES" w:eastAsia="es-ES"/>
              </w:rPr>
              <w:t>-0.58</w:t>
            </w:r>
          </w:p>
        </w:tc>
        <w:tc>
          <w:tcPr>
            <w:tcW w:w="11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7A3D6126" w14:textId="77777777" w:rsidR="001C71AF" w:rsidRPr="003F7A48" w:rsidRDefault="001C71AF" w:rsidP="00B01225">
            <w:pPr>
              <w:jc w:val="center"/>
              <w:rPr>
                <w:lang w:val="es-ES" w:eastAsia="es-ES"/>
              </w:rPr>
            </w:pPr>
            <w:r w:rsidRPr="19CEB6F8">
              <w:rPr>
                <w:lang w:val="es-ES" w:eastAsia="es-ES"/>
              </w:rPr>
              <w:t>0.8</w:t>
            </w:r>
          </w:p>
        </w:tc>
        <w:tc>
          <w:tcPr>
            <w:tcW w:w="75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1FC4DEC0" w14:textId="77777777" w:rsidR="001C71AF" w:rsidRPr="003C55FE" w:rsidRDefault="001C71AF" w:rsidP="00B01225">
            <w:pPr>
              <w:jc w:val="center"/>
              <w:rPr>
                <w:lang w:val="es-ES" w:eastAsia="es-ES"/>
              </w:rPr>
            </w:pPr>
            <w:r w:rsidRPr="003C55FE">
              <w:rPr>
                <w:lang w:val="es-ES" w:eastAsia="es-ES"/>
              </w:rPr>
              <w:t>0.54</w:t>
            </w:r>
          </w:p>
        </w:tc>
      </w:tr>
      <w:tr w:rsidR="001C71AF" w:rsidRPr="003F7A48" w14:paraId="63B95290" w14:textId="77777777" w:rsidTr="00B01225">
        <w:trPr>
          <w:trHeight w:val="315"/>
        </w:trPr>
        <w:tc>
          <w:tcPr>
            <w:tcW w:w="938"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30" w:type="dxa"/>
              <w:left w:w="45" w:type="dxa"/>
              <w:bottom w:w="30" w:type="dxa"/>
              <w:right w:w="45" w:type="dxa"/>
            </w:tcMar>
            <w:vAlign w:val="center"/>
            <w:hideMark/>
          </w:tcPr>
          <w:p w14:paraId="0EBCACEA" w14:textId="77777777" w:rsidR="001C71AF" w:rsidRPr="003F7A48" w:rsidRDefault="001C71AF" w:rsidP="00B01225">
            <w:pPr>
              <w:jc w:val="center"/>
              <w:rPr>
                <w:lang w:val="es-ES" w:eastAsia="es-ES"/>
              </w:rPr>
            </w:pPr>
            <w:r w:rsidRPr="19CEB6F8">
              <w:rPr>
                <w:lang w:val="es-ES" w:eastAsia="es-ES"/>
              </w:rPr>
              <w:t>iv</w:t>
            </w:r>
          </w:p>
        </w:tc>
        <w:tc>
          <w:tcPr>
            <w:tcW w:w="1168" w:type="dxa"/>
            <w:tcBorders>
              <w:top w:val="single" w:sz="6" w:space="0" w:color="CCCCCC"/>
              <w:left w:val="single" w:sz="6" w:space="0" w:color="CCCCCC"/>
              <w:bottom w:val="single" w:sz="6" w:space="0" w:color="000000" w:themeColor="text1"/>
              <w:right w:val="single" w:sz="6" w:space="0" w:color="000000" w:themeColor="text1"/>
            </w:tcBorders>
            <w:shd w:val="clear" w:color="auto" w:fill="F2F2F2" w:themeFill="background1" w:themeFillShade="F2"/>
            <w:tcMar>
              <w:top w:w="30" w:type="dxa"/>
              <w:left w:w="45" w:type="dxa"/>
              <w:bottom w:w="30" w:type="dxa"/>
              <w:right w:w="45" w:type="dxa"/>
            </w:tcMar>
            <w:vAlign w:val="center"/>
            <w:hideMark/>
          </w:tcPr>
          <w:p w14:paraId="77424E6B" w14:textId="77777777" w:rsidR="001C71AF" w:rsidRPr="003F7A48" w:rsidRDefault="001C71AF" w:rsidP="00B01225">
            <w:pPr>
              <w:jc w:val="center"/>
              <w:rPr>
                <w:lang w:val="es-ES" w:eastAsia="es-ES"/>
              </w:rPr>
            </w:pPr>
            <w:r w:rsidRPr="19CEB6F8">
              <w:rPr>
                <w:lang w:val="es-ES" w:eastAsia="es-ES"/>
              </w:rPr>
              <w:t>-0.63</w:t>
            </w:r>
          </w:p>
        </w:tc>
        <w:tc>
          <w:tcPr>
            <w:tcW w:w="751"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45C74EAA" w14:textId="77777777" w:rsidR="001C71AF" w:rsidRPr="003C55FE" w:rsidRDefault="001C71AF" w:rsidP="00B01225">
            <w:pPr>
              <w:jc w:val="center"/>
              <w:rPr>
                <w:lang w:val="es-ES" w:eastAsia="es-ES"/>
              </w:rPr>
            </w:pPr>
            <w:r w:rsidRPr="003C55FE">
              <w:rPr>
                <w:lang w:val="es-ES" w:eastAsia="es-ES"/>
              </w:rPr>
              <w:t>-0.45</w:t>
            </w:r>
          </w:p>
        </w:tc>
        <w:tc>
          <w:tcPr>
            <w:tcW w:w="1120" w:type="dxa"/>
            <w:tcBorders>
              <w:top w:val="single" w:sz="6" w:space="0" w:color="CCCCCC"/>
              <w:left w:val="single" w:sz="6" w:space="0" w:color="CCCCCC"/>
              <w:bottom w:val="single" w:sz="6" w:space="0" w:color="000000" w:themeColor="text1"/>
              <w:right w:val="single" w:sz="6" w:space="0" w:color="000000" w:themeColor="text1"/>
            </w:tcBorders>
            <w:shd w:val="clear" w:color="auto" w:fill="F2F2F2" w:themeFill="background1" w:themeFillShade="F2"/>
            <w:tcMar>
              <w:top w:w="30" w:type="dxa"/>
              <w:left w:w="45" w:type="dxa"/>
              <w:bottom w:w="30" w:type="dxa"/>
              <w:right w:w="45" w:type="dxa"/>
            </w:tcMar>
            <w:vAlign w:val="center"/>
            <w:hideMark/>
          </w:tcPr>
          <w:p w14:paraId="0A21A9E6" w14:textId="77777777" w:rsidR="001C71AF" w:rsidRPr="003F7A48" w:rsidRDefault="001C71AF" w:rsidP="00B01225">
            <w:pPr>
              <w:jc w:val="center"/>
              <w:rPr>
                <w:lang w:val="es-ES" w:eastAsia="es-ES"/>
              </w:rPr>
            </w:pPr>
            <w:r w:rsidRPr="19CEB6F8">
              <w:rPr>
                <w:lang w:val="es-ES" w:eastAsia="es-ES"/>
              </w:rPr>
              <w:t>0.77</w:t>
            </w:r>
          </w:p>
        </w:tc>
        <w:tc>
          <w:tcPr>
            <w:tcW w:w="75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487FA3BD" w14:textId="77777777" w:rsidR="001C71AF" w:rsidRPr="003C55FE" w:rsidRDefault="001C71AF" w:rsidP="00B01225">
            <w:pPr>
              <w:jc w:val="center"/>
              <w:rPr>
                <w:lang w:val="es-ES" w:eastAsia="es-ES"/>
              </w:rPr>
            </w:pPr>
            <w:r w:rsidRPr="003C55FE">
              <w:rPr>
                <w:lang w:val="es-ES" w:eastAsia="es-ES"/>
              </w:rPr>
              <w:t>0.45</w:t>
            </w:r>
          </w:p>
        </w:tc>
      </w:tr>
      <w:tr w:rsidR="001C71AF" w:rsidRPr="003F7A48" w14:paraId="12F41CD7" w14:textId="77777777" w:rsidTr="00B01225">
        <w:trPr>
          <w:trHeight w:val="315"/>
        </w:trPr>
        <w:tc>
          <w:tcPr>
            <w:tcW w:w="938"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hideMark/>
          </w:tcPr>
          <w:p w14:paraId="57A15466" w14:textId="77777777" w:rsidR="001C71AF" w:rsidRPr="003F7A48" w:rsidRDefault="001C71AF" w:rsidP="00B01225">
            <w:pPr>
              <w:jc w:val="center"/>
              <w:rPr>
                <w:lang w:val="es-ES" w:eastAsia="es-ES"/>
              </w:rPr>
            </w:pPr>
            <w:r w:rsidRPr="19CEB6F8">
              <w:rPr>
                <w:lang w:val="es-ES" w:eastAsia="es-ES"/>
              </w:rPr>
              <w:t>v</w:t>
            </w:r>
          </w:p>
        </w:tc>
        <w:tc>
          <w:tcPr>
            <w:tcW w:w="1168"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632FB115" w14:textId="77777777" w:rsidR="001C71AF" w:rsidRPr="003F7A48" w:rsidRDefault="001C71AF" w:rsidP="00B01225">
            <w:pPr>
              <w:jc w:val="center"/>
              <w:rPr>
                <w:lang w:val="es-ES" w:eastAsia="es-ES"/>
              </w:rPr>
            </w:pPr>
            <w:r w:rsidRPr="19CEB6F8">
              <w:rPr>
                <w:lang w:val="es-ES" w:eastAsia="es-ES"/>
              </w:rPr>
              <w:t>-0.87</w:t>
            </w:r>
          </w:p>
        </w:tc>
        <w:tc>
          <w:tcPr>
            <w:tcW w:w="751"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37A95F47" w14:textId="77777777" w:rsidR="001C71AF" w:rsidRPr="003C55FE" w:rsidRDefault="001C71AF" w:rsidP="00B01225">
            <w:pPr>
              <w:jc w:val="center"/>
              <w:rPr>
                <w:lang w:val="es-ES" w:eastAsia="es-ES"/>
              </w:rPr>
            </w:pPr>
            <w:r w:rsidRPr="003C55FE">
              <w:rPr>
                <w:lang w:val="es-ES" w:eastAsia="es-ES"/>
              </w:rPr>
              <w:t>-0.87</w:t>
            </w:r>
          </w:p>
        </w:tc>
        <w:tc>
          <w:tcPr>
            <w:tcW w:w="11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77B8E8CD" w14:textId="77777777" w:rsidR="001C71AF" w:rsidRPr="003F7A48" w:rsidRDefault="001C71AF" w:rsidP="00B01225">
            <w:pPr>
              <w:jc w:val="center"/>
              <w:rPr>
                <w:lang w:val="es-ES" w:eastAsia="es-ES"/>
              </w:rPr>
            </w:pPr>
            <w:r w:rsidRPr="19CEB6F8">
              <w:rPr>
                <w:lang w:val="es-ES" w:eastAsia="es-ES"/>
              </w:rPr>
              <w:t>0.89</w:t>
            </w:r>
          </w:p>
        </w:tc>
        <w:tc>
          <w:tcPr>
            <w:tcW w:w="75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0BC801A7" w14:textId="77777777" w:rsidR="001C71AF" w:rsidRPr="003C55FE" w:rsidRDefault="001C71AF" w:rsidP="00B01225">
            <w:pPr>
              <w:jc w:val="center"/>
              <w:rPr>
                <w:lang w:val="es-ES" w:eastAsia="es-ES"/>
              </w:rPr>
            </w:pPr>
            <w:r w:rsidRPr="003C55FE">
              <w:rPr>
                <w:lang w:val="es-ES" w:eastAsia="es-ES"/>
              </w:rPr>
              <w:t>0.86</w:t>
            </w:r>
          </w:p>
        </w:tc>
      </w:tr>
      <w:tr w:rsidR="001C71AF" w:rsidRPr="003F7A48" w14:paraId="64D96698" w14:textId="77777777" w:rsidTr="00B01225">
        <w:trPr>
          <w:trHeight w:val="315"/>
        </w:trPr>
        <w:tc>
          <w:tcPr>
            <w:tcW w:w="938"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30" w:type="dxa"/>
              <w:left w:w="45" w:type="dxa"/>
              <w:bottom w:w="30" w:type="dxa"/>
              <w:right w:w="45" w:type="dxa"/>
            </w:tcMar>
            <w:vAlign w:val="center"/>
            <w:hideMark/>
          </w:tcPr>
          <w:p w14:paraId="3A032E49" w14:textId="77777777" w:rsidR="001C71AF" w:rsidRPr="003F7A48" w:rsidRDefault="001C71AF" w:rsidP="00B01225">
            <w:pPr>
              <w:jc w:val="center"/>
              <w:rPr>
                <w:lang w:val="es-ES" w:eastAsia="es-ES"/>
              </w:rPr>
            </w:pPr>
            <w:r w:rsidRPr="19CEB6F8">
              <w:rPr>
                <w:lang w:val="es-ES" w:eastAsia="es-ES"/>
              </w:rPr>
              <w:t>vi</w:t>
            </w:r>
          </w:p>
        </w:tc>
        <w:tc>
          <w:tcPr>
            <w:tcW w:w="1168" w:type="dxa"/>
            <w:tcBorders>
              <w:top w:val="single" w:sz="6" w:space="0" w:color="CCCCCC"/>
              <w:left w:val="single" w:sz="6" w:space="0" w:color="CCCCCC"/>
              <w:bottom w:val="single" w:sz="6" w:space="0" w:color="000000" w:themeColor="text1"/>
              <w:right w:val="single" w:sz="6" w:space="0" w:color="000000" w:themeColor="text1"/>
            </w:tcBorders>
            <w:shd w:val="clear" w:color="auto" w:fill="F2F2F2" w:themeFill="background1" w:themeFillShade="F2"/>
            <w:tcMar>
              <w:top w:w="30" w:type="dxa"/>
              <w:left w:w="45" w:type="dxa"/>
              <w:bottom w:w="30" w:type="dxa"/>
              <w:right w:w="45" w:type="dxa"/>
            </w:tcMar>
            <w:vAlign w:val="center"/>
            <w:hideMark/>
          </w:tcPr>
          <w:p w14:paraId="2713799E" w14:textId="77777777" w:rsidR="001C71AF" w:rsidRPr="003F7A48" w:rsidRDefault="001C71AF" w:rsidP="00B01225">
            <w:pPr>
              <w:jc w:val="center"/>
              <w:rPr>
                <w:lang w:val="es-ES" w:eastAsia="es-ES"/>
              </w:rPr>
            </w:pPr>
            <w:r w:rsidRPr="19CEB6F8">
              <w:rPr>
                <w:lang w:val="es-ES" w:eastAsia="es-ES"/>
              </w:rPr>
              <w:t>-0.89</w:t>
            </w:r>
          </w:p>
        </w:tc>
        <w:tc>
          <w:tcPr>
            <w:tcW w:w="751"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312D66BC" w14:textId="77777777" w:rsidR="001C71AF" w:rsidRPr="003C55FE" w:rsidRDefault="001C71AF" w:rsidP="00B01225">
            <w:pPr>
              <w:jc w:val="center"/>
              <w:rPr>
                <w:lang w:val="es-ES" w:eastAsia="es-ES"/>
              </w:rPr>
            </w:pPr>
            <w:r w:rsidRPr="003C55FE">
              <w:rPr>
                <w:lang w:val="es-ES" w:eastAsia="es-ES"/>
              </w:rPr>
              <w:t>-0.65</w:t>
            </w:r>
          </w:p>
        </w:tc>
        <w:tc>
          <w:tcPr>
            <w:tcW w:w="1120" w:type="dxa"/>
            <w:tcBorders>
              <w:top w:val="single" w:sz="6" w:space="0" w:color="CCCCCC"/>
              <w:left w:val="single" w:sz="6" w:space="0" w:color="CCCCCC"/>
              <w:bottom w:val="single" w:sz="6" w:space="0" w:color="000000" w:themeColor="text1"/>
              <w:right w:val="single" w:sz="6" w:space="0" w:color="000000" w:themeColor="text1"/>
            </w:tcBorders>
            <w:shd w:val="clear" w:color="auto" w:fill="F2F2F2" w:themeFill="background1" w:themeFillShade="F2"/>
            <w:tcMar>
              <w:top w:w="30" w:type="dxa"/>
              <w:left w:w="45" w:type="dxa"/>
              <w:bottom w:w="30" w:type="dxa"/>
              <w:right w:w="45" w:type="dxa"/>
            </w:tcMar>
            <w:vAlign w:val="center"/>
            <w:hideMark/>
          </w:tcPr>
          <w:p w14:paraId="35CB06F3" w14:textId="77777777" w:rsidR="001C71AF" w:rsidRPr="003F7A48" w:rsidRDefault="001C71AF" w:rsidP="00B01225">
            <w:pPr>
              <w:jc w:val="center"/>
              <w:rPr>
                <w:lang w:val="es-ES" w:eastAsia="es-ES"/>
              </w:rPr>
            </w:pPr>
            <w:r w:rsidRPr="19CEB6F8">
              <w:rPr>
                <w:lang w:val="es-ES" w:eastAsia="es-ES"/>
              </w:rPr>
              <w:t>0.73</w:t>
            </w:r>
          </w:p>
        </w:tc>
        <w:tc>
          <w:tcPr>
            <w:tcW w:w="75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48D66B26" w14:textId="77777777" w:rsidR="001C71AF" w:rsidRPr="003C55FE" w:rsidRDefault="001C71AF" w:rsidP="00B01225">
            <w:pPr>
              <w:jc w:val="center"/>
              <w:rPr>
                <w:lang w:val="es-ES" w:eastAsia="es-ES"/>
              </w:rPr>
            </w:pPr>
            <w:r w:rsidRPr="003C55FE">
              <w:rPr>
                <w:lang w:val="es-ES" w:eastAsia="es-ES"/>
              </w:rPr>
              <w:t>0.64</w:t>
            </w:r>
          </w:p>
        </w:tc>
      </w:tr>
      <w:tr w:rsidR="001C71AF" w:rsidRPr="003F7A48" w14:paraId="577DF673" w14:textId="77777777" w:rsidTr="00B01225">
        <w:trPr>
          <w:trHeight w:val="315"/>
        </w:trPr>
        <w:tc>
          <w:tcPr>
            <w:tcW w:w="938"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hideMark/>
          </w:tcPr>
          <w:p w14:paraId="0341D49A" w14:textId="77777777" w:rsidR="001C71AF" w:rsidRPr="003F7A48" w:rsidRDefault="001C71AF" w:rsidP="00B01225">
            <w:pPr>
              <w:jc w:val="center"/>
              <w:rPr>
                <w:lang w:val="es-ES" w:eastAsia="es-ES"/>
              </w:rPr>
            </w:pPr>
            <w:r w:rsidRPr="19CEB6F8">
              <w:rPr>
                <w:lang w:val="es-ES" w:eastAsia="es-ES"/>
              </w:rPr>
              <w:t>vii</w:t>
            </w:r>
          </w:p>
        </w:tc>
        <w:tc>
          <w:tcPr>
            <w:tcW w:w="1168"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0F85C355" w14:textId="77777777" w:rsidR="001C71AF" w:rsidRPr="003F7A48" w:rsidRDefault="001C71AF" w:rsidP="00B01225">
            <w:pPr>
              <w:jc w:val="center"/>
              <w:rPr>
                <w:lang w:val="es-ES" w:eastAsia="es-ES"/>
              </w:rPr>
            </w:pPr>
            <w:r w:rsidRPr="19CEB6F8">
              <w:rPr>
                <w:lang w:val="es-ES" w:eastAsia="es-ES"/>
              </w:rPr>
              <w:t>-0.59</w:t>
            </w:r>
          </w:p>
        </w:tc>
        <w:tc>
          <w:tcPr>
            <w:tcW w:w="751"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19A34DE1" w14:textId="77777777" w:rsidR="001C71AF" w:rsidRPr="003C55FE" w:rsidRDefault="001C71AF" w:rsidP="00B01225">
            <w:pPr>
              <w:jc w:val="center"/>
              <w:rPr>
                <w:lang w:val="es-ES" w:eastAsia="es-ES"/>
              </w:rPr>
            </w:pPr>
            <w:r w:rsidRPr="003C55FE">
              <w:rPr>
                <w:lang w:val="es-ES" w:eastAsia="es-ES"/>
              </w:rPr>
              <w:t>-0.49</w:t>
            </w:r>
          </w:p>
        </w:tc>
        <w:tc>
          <w:tcPr>
            <w:tcW w:w="11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28EF6B7C" w14:textId="77777777" w:rsidR="001C71AF" w:rsidRPr="003F7A48" w:rsidRDefault="001C71AF" w:rsidP="00B01225">
            <w:pPr>
              <w:jc w:val="center"/>
              <w:rPr>
                <w:lang w:val="es-ES" w:eastAsia="es-ES"/>
              </w:rPr>
            </w:pPr>
            <w:r w:rsidRPr="19CEB6F8">
              <w:rPr>
                <w:lang w:val="es-ES" w:eastAsia="es-ES"/>
              </w:rPr>
              <w:t>0.92</w:t>
            </w:r>
          </w:p>
        </w:tc>
        <w:tc>
          <w:tcPr>
            <w:tcW w:w="75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03FB371D" w14:textId="77777777" w:rsidR="001C71AF" w:rsidRPr="003C55FE" w:rsidRDefault="001C71AF" w:rsidP="00B01225">
            <w:pPr>
              <w:jc w:val="center"/>
              <w:rPr>
                <w:lang w:val="es-ES" w:eastAsia="es-ES"/>
              </w:rPr>
            </w:pPr>
            <w:r w:rsidRPr="003C55FE">
              <w:rPr>
                <w:lang w:val="es-ES" w:eastAsia="es-ES"/>
              </w:rPr>
              <w:t>0.59</w:t>
            </w:r>
          </w:p>
        </w:tc>
      </w:tr>
      <w:tr w:rsidR="001C71AF" w:rsidRPr="003F7A48" w14:paraId="64794567" w14:textId="77777777" w:rsidTr="00B01225">
        <w:trPr>
          <w:trHeight w:val="315"/>
        </w:trPr>
        <w:tc>
          <w:tcPr>
            <w:tcW w:w="938"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30" w:type="dxa"/>
              <w:left w:w="45" w:type="dxa"/>
              <w:bottom w:w="30" w:type="dxa"/>
              <w:right w:w="45" w:type="dxa"/>
            </w:tcMar>
            <w:vAlign w:val="center"/>
            <w:hideMark/>
          </w:tcPr>
          <w:p w14:paraId="16648C58" w14:textId="77777777" w:rsidR="001C71AF" w:rsidRPr="003F7A48" w:rsidRDefault="001C71AF" w:rsidP="00B01225">
            <w:pPr>
              <w:jc w:val="center"/>
              <w:rPr>
                <w:lang w:val="es-ES" w:eastAsia="es-ES"/>
              </w:rPr>
            </w:pPr>
            <w:r w:rsidRPr="19CEB6F8">
              <w:rPr>
                <w:lang w:val="es-ES" w:eastAsia="es-ES"/>
              </w:rPr>
              <w:t>viii</w:t>
            </w:r>
          </w:p>
        </w:tc>
        <w:tc>
          <w:tcPr>
            <w:tcW w:w="1168" w:type="dxa"/>
            <w:tcBorders>
              <w:top w:val="single" w:sz="6" w:space="0" w:color="CCCCCC"/>
              <w:left w:val="single" w:sz="6" w:space="0" w:color="CCCCCC"/>
              <w:bottom w:val="single" w:sz="6" w:space="0" w:color="000000" w:themeColor="text1"/>
              <w:right w:val="single" w:sz="6" w:space="0" w:color="000000" w:themeColor="text1"/>
            </w:tcBorders>
            <w:shd w:val="clear" w:color="auto" w:fill="F2F2F2" w:themeFill="background1" w:themeFillShade="F2"/>
            <w:tcMar>
              <w:top w:w="30" w:type="dxa"/>
              <w:left w:w="45" w:type="dxa"/>
              <w:bottom w:w="30" w:type="dxa"/>
              <w:right w:w="45" w:type="dxa"/>
            </w:tcMar>
            <w:vAlign w:val="center"/>
            <w:hideMark/>
          </w:tcPr>
          <w:p w14:paraId="2A68DB65" w14:textId="77777777" w:rsidR="001C71AF" w:rsidRPr="003F7A48" w:rsidRDefault="001C71AF" w:rsidP="00B01225">
            <w:pPr>
              <w:jc w:val="center"/>
              <w:rPr>
                <w:lang w:val="es-ES" w:eastAsia="es-ES"/>
              </w:rPr>
            </w:pPr>
            <w:r w:rsidRPr="19CEB6F8">
              <w:rPr>
                <w:lang w:val="es-ES" w:eastAsia="es-ES"/>
              </w:rPr>
              <w:t>-0.9</w:t>
            </w:r>
          </w:p>
        </w:tc>
        <w:tc>
          <w:tcPr>
            <w:tcW w:w="751"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13B579DA" w14:textId="77777777" w:rsidR="001C71AF" w:rsidRPr="003C55FE" w:rsidRDefault="001C71AF" w:rsidP="00B01225">
            <w:pPr>
              <w:jc w:val="center"/>
              <w:rPr>
                <w:lang w:val="es-ES" w:eastAsia="es-ES"/>
              </w:rPr>
            </w:pPr>
            <w:r w:rsidRPr="003C55FE">
              <w:rPr>
                <w:lang w:val="es-ES" w:eastAsia="es-ES"/>
              </w:rPr>
              <w:t>-0.34</w:t>
            </w:r>
          </w:p>
        </w:tc>
        <w:tc>
          <w:tcPr>
            <w:tcW w:w="1120" w:type="dxa"/>
            <w:tcBorders>
              <w:top w:val="single" w:sz="6" w:space="0" w:color="CCCCCC"/>
              <w:left w:val="single" w:sz="6" w:space="0" w:color="CCCCCC"/>
              <w:bottom w:val="single" w:sz="6" w:space="0" w:color="000000" w:themeColor="text1"/>
              <w:right w:val="single" w:sz="6" w:space="0" w:color="000000" w:themeColor="text1"/>
            </w:tcBorders>
            <w:shd w:val="clear" w:color="auto" w:fill="F2F2F2" w:themeFill="background1" w:themeFillShade="F2"/>
            <w:tcMar>
              <w:top w:w="30" w:type="dxa"/>
              <w:left w:w="45" w:type="dxa"/>
              <w:bottom w:w="30" w:type="dxa"/>
              <w:right w:w="45" w:type="dxa"/>
            </w:tcMar>
            <w:vAlign w:val="center"/>
            <w:hideMark/>
          </w:tcPr>
          <w:p w14:paraId="3410509A" w14:textId="77777777" w:rsidR="001C71AF" w:rsidRPr="003F7A48" w:rsidRDefault="001C71AF" w:rsidP="00B01225">
            <w:pPr>
              <w:jc w:val="center"/>
              <w:rPr>
                <w:lang w:val="es-ES" w:eastAsia="es-ES"/>
              </w:rPr>
            </w:pPr>
            <w:r w:rsidRPr="19CEB6F8">
              <w:rPr>
                <w:lang w:val="es-ES" w:eastAsia="es-ES"/>
              </w:rPr>
              <w:t>0.88</w:t>
            </w:r>
          </w:p>
        </w:tc>
        <w:tc>
          <w:tcPr>
            <w:tcW w:w="75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70F0E475" w14:textId="77777777" w:rsidR="001C71AF" w:rsidRPr="003C55FE" w:rsidRDefault="001C71AF" w:rsidP="00B01225">
            <w:pPr>
              <w:jc w:val="center"/>
              <w:rPr>
                <w:lang w:val="es-ES" w:eastAsia="es-ES"/>
              </w:rPr>
            </w:pPr>
            <w:r w:rsidRPr="003C55FE">
              <w:rPr>
                <w:lang w:val="es-ES" w:eastAsia="es-ES"/>
              </w:rPr>
              <w:t>0.27</w:t>
            </w:r>
          </w:p>
        </w:tc>
      </w:tr>
      <w:tr w:rsidR="001C71AF" w:rsidRPr="003F7A48" w14:paraId="76D3C159" w14:textId="77777777" w:rsidTr="00B01225">
        <w:trPr>
          <w:trHeight w:val="315"/>
        </w:trPr>
        <w:tc>
          <w:tcPr>
            <w:tcW w:w="938"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hideMark/>
          </w:tcPr>
          <w:p w14:paraId="1B6865A6" w14:textId="77777777" w:rsidR="001C71AF" w:rsidRPr="003F7A48" w:rsidRDefault="001C71AF" w:rsidP="00B01225">
            <w:pPr>
              <w:jc w:val="center"/>
              <w:rPr>
                <w:lang w:val="es-ES" w:eastAsia="es-ES"/>
              </w:rPr>
            </w:pPr>
            <w:r w:rsidRPr="19CEB6F8">
              <w:rPr>
                <w:lang w:val="es-ES" w:eastAsia="es-ES"/>
              </w:rPr>
              <w:t>ix</w:t>
            </w:r>
          </w:p>
        </w:tc>
        <w:tc>
          <w:tcPr>
            <w:tcW w:w="1168"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0F1053FF" w14:textId="77777777" w:rsidR="001C71AF" w:rsidRPr="003F7A48" w:rsidRDefault="001C71AF" w:rsidP="00B01225">
            <w:pPr>
              <w:jc w:val="center"/>
              <w:rPr>
                <w:lang w:val="es-ES" w:eastAsia="es-ES"/>
              </w:rPr>
            </w:pPr>
            <w:r w:rsidRPr="19CEB6F8">
              <w:rPr>
                <w:lang w:val="es-ES" w:eastAsia="es-ES"/>
              </w:rPr>
              <w:t>-0.85</w:t>
            </w:r>
          </w:p>
        </w:tc>
        <w:tc>
          <w:tcPr>
            <w:tcW w:w="751"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00730414" w14:textId="77777777" w:rsidR="001C71AF" w:rsidRPr="003C55FE" w:rsidRDefault="001C71AF" w:rsidP="00B01225">
            <w:pPr>
              <w:jc w:val="center"/>
              <w:rPr>
                <w:lang w:val="es-ES" w:eastAsia="es-ES"/>
              </w:rPr>
            </w:pPr>
            <w:r w:rsidRPr="003C55FE">
              <w:rPr>
                <w:lang w:val="es-ES" w:eastAsia="es-ES"/>
              </w:rPr>
              <w:t>-0.83</w:t>
            </w:r>
          </w:p>
        </w:tc>
        <w:tc>
          <w:tcPr>
            <w:tcW w:w="11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57702DB5" w14:textId="77777777" w:rsidR="001C71AF" w:rsidRPr="003F7A48" w:rsidRDefault="001C71AF" w:rsidP="00B01225">
            <w:pPr>
              <w:jc w:val="center"/>
              <w:rPr>
                <w:lang w:val="es-ES" w:eastAsia="es-ES"/>
              </w:rPr>
            </w:pPr>
            <w:r w:rsidRPr="19CEB6F8">
              <w:rPr>
                <w:lang w:val="es-ES" w:eastAsia="es-ES"/>
              </w:rPr>
              <w:t>0.85</w:t>
            </w:r>
          </w:p>
        </w:tc>
        <w:tc>
          <w:tcPr>
            <w:tcW w:w="75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05966CAC" w14:textId="77777777" w:rsidR="001C71AF" w:rsidRPr="003C55FE" w:rsidRDefault="001C71AF" w:rsidP="00B01225">
            <w:pPr>
              <w:jc w:val="center"/>
              <w:rPr>
                <w:lang w:val="es-ES" w:eastAsia="es-ES"/>
              </w:rPr>
            </w:pPr>
            <w:r w:rsidRPr="003C55FE">
              <w:rPr>
                <w:lang w:val="es-ES" w:eastAsia="es-ES"/>
              </w:rPr>
              <w:t>0.84</w:t>
            </w:r>
          </w:p>
        </w:tc>
      </w:tr>
      <w:tr w:rsidR="001C71AF" w:rsidRPr="003F7A48" w14:paraId="59464744" w14:textId="77777777" w:rsidTr="00B01225">
        <w:trPr>
          <w:trHeight w:val="315"/>
        </w:trPr>
        <w:tc>
          <w:tcPr>
            <w:tcW w:w="938"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30" w:type="dxa"/>
              <w:left w:w="45" w:type="dxa"/>
              <w:bottom w:w="30" w:type="dxa"/>
              <w:right w:w="45" w:type="dxa"/>
            </w:tcMar>
            <w:vAlign w:val="center"/>
            <w:hideMark/>
          </w:tcPr>
          <w:p w14:paraId="34AD5C62" w14:textId="77777777" w:rsidR="001C71AF" w:rsidRPr="003F7A48" w:rsidRDefault="001C71AF" w:rsidP="00B01225">
            <w:pPr>
              <w:jc w:val="center"/>
              <w:rPr>
                <w:lang w:val="es-ES" w:eastAsia="es-ES"/>
              </w:rPr>
            </w:pPr>
            <w:r w:rsidRPr="19CEB6F8">
              <w:rPr>
                <w:lang w:val="es-ES" w:eastAsia="es-ES"/>
              </w:rPr>
              <w:t>x</w:t>
            </w:r>
          </w:p>
        </w:tc>
        <w:tc>
          <w:tcPr>
            <w:tcW w:w="1168" w:type="dxa"/>
            <w:tcBorders>
              <w:top w:val="single" w:sz="6" w:space="0" w:color="CCCCCC"/>
              <w:left w:val="single" w:sz="6" w:space="0" w:color="CCCCCC"/>
              <w:bottom w:val="single" w:sz="6" w:space="0" w:color="000000" w:themeColor="text1"/>
              <w:right w:val="single" w:sz="6" w:space="0" w:color="000000" w:themeColor="text1"/>
            </w:tcBorders>
            <w:shd w:val="clear" w:color="auto" w:fill="F2F2F2" w:themeFill="background1" w:themeFillShade="F2"/>
            <w:tcMar>
              <w:top w:w="30" w:type="dxa"/>
              <w:left w:w="45" w:type="dxa"/>
              <w:bottom w:w="30" w:type="dxa"/>
              <w:right w:w="45" w:type="dxa"/>
            </w:tcMar>
            <w:vAlign w:val="center"/>
            <w:hideMark/>
          </w:tcPr>
          <w:p w14:paraId="79BDE88D" w14:textId="77777777" w:rsidR="001C71AF" w:rsidRPr="003F7A48" w:rsidRDefault="001C71AF" w:rsidP="00B01225">
            <w:pPr>
              <w:jc w:val="center"/>
              <w:rPr>
                <w:lang w:val="es-ES" w:eastAsia="es-ES"/>
              </w:rPr>
            </w:pPr>
            <w:r w:rsidRPr="19CEB6F8">
              <w:rPr>
                <w:lang w:val="es-ES" w:eastAsia="es-ES"/>
              </w:rPr>
              <w:t>-0.72</w:t>
            </w:r>
          </w:p>
        </w:tc>
        <w:tc>
          <w:tcPr>
            <w:tcW w:w="751"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058F57F8" w14:textId="77777777" w:rsidR="001C71AF" w:rsidRPr="003C55FE" w:rsidRDefault="001C71AF" w:rsidP="00B01225">
            <w:pPr>
              <w:jc w:val="center"/>
              <w:rPr>
                <w:lang w:val="es-ES" w:eastAsia="es-ES"/>
              </w:rPr>
            </w:pPr>
            <w:r w:rsidRPr="003C55FE">
              <w:rPr>
                <w:lang w:val="es-ES" w:eastAsia="es-ES"/>
              </w:rPr>
              <w:t>-0.63</w:t>
            </w:r>
          </w:p>
        </w:tc>
        <w:tc>
          <w:tcPr>
            <w:tcW w:w="1120" w:type="dxa"/>
            <w:tcBorders>
              <w:top w:val="single" w:sz="6" w:space="0" w:color="CCCCCC"/>
              <w:left w:val="single" w:sz="6" w:space="0" w:color="CCCCCC"/>
              <w:bottom w:val="single" w:sz="6" w:space="0" w:color="000000" w:themeColor="text1"/>
              <w:right w:val="single" w:sz="6" w:space="0" w:color="000000" w:themeColor="text1"/>
            </w:tcBorders>
            <w:shd w:val="clear" w:color="auto" w:fill="F2F2F2" w:themeFill="background1" w:themeFillShade="F2"/>
            <w:tcMar>
              <w:top w:w="30" w:type="dxa"/>
              <w:left w:w="45" w:type="dxa"/>
              <w:bottom w:w="30" w:type="dxa"/>
              <w:right w:w="45" w:type="dxa"/>
            </w:tcMar>
            <w:vAlign w:val="center"/>
            <w:hideMark/>
          </w:tcPr>
          <w:p w14:paraId="672E8A8D" w14:textId="77777777" w:rsidR="001C71AF" w:rsidRPr="003F7A48" w:rsidRDefault="001C71AF" w:rsidP="00B01225">
            <w:pPr>
              <w:jc w:val="center"/>
              <w:rPr>
                <w:lang w:val="es-ES" w:eastAsia="es-ES"/>
              </w:rPr>
            </w:pPr>
            <w:r w:rsidRPr="19CEB6F8">
              <w:rPr>
                <w:lang w:val="es-ES" w:eastAsia="es-ES"/>
              </w:rPr>
              <w:t>0.69</w:t>
            </w:r>
          </w:p>
        </w:tc>
        <w:tc>
          <w:tcPr>
            <w:tcW w:w="75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hideMark/>
          </w:tcPr>
          <w:p w14:paraId="7F862BAB" w14:textId="77777777" w:rsidR="001C71AF" w:rsidRPr="003C55FE" w:rsidRDefault="001C71AF" w:rsidP="00B01225">
            <w:pPr>
              <w:jc w:val="center"/>
              <w:rPr>
                <w:lang w:val="es-ES" w:eastAsia="es-ES"/>
              </w:rPr>
            </w:pPr>
            <w:r w:rsidRPr="003C55FE">
              <w:rPr>
                <w:lang w:val="es-ES" w:eastAsia="es-ES"/>
              </w:rPr>
              <w:t>0.62</w:t>
            </w:r>
          </w:p>
        </w:tc>
      </w:tr>
      <w:tr w:rsidR="001C71AF" w:rsidRPr="003F7A48" w14:paraId="403F7AA1" w14:textId="77777777" w:rsidTr="00B01225">
        <w:trPr>
          <w:trHeight w:val="315"/>
        </w:trPr>
        <w:tc>
          <w:tcPr>
            <w:tcW w:w="938"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center"/>
            <w:hideMark/>
          </w:tcPr>
          <w:p w14:paraId="7828D730" w14:textId="77777777" w:rsidR="001C71AF" w:rsidRPr="003F7A48" w:rsidRDefault="001C71AF" w:rsidP="00B01225">
            <w:pPr>
              <w:jc w:val="center"/>
              <w:rPr>
                <w:lang w:val="es-ES" w:eastAsia="es-ES"/>
              </w:rPr>
            </w:pPr>
            <w:r w:rsidRPr="19CEB6F8">
              <w:rPr>
                <w:lang w:val="es-ES" w:eastAsia="es-ES"/>
              </w:rPr>
              <w:t>xi</w:t>
            </w:r>
          </w:p>
        </w:tc>
        <w:tc>
          <w:tcPr>
            <w:tcW w:w="1168" w:type="dxa"/>
            <w:tcBorders>
              <w:top w:val="single" w:sz="6" w:space="0" w:color="CCCCCC"/>
              <w:left w:val="single" w:sz="6" w:space="0" w:color="CCCCCC"/>
              <w:bottom w:val="single" w:sz="6" w:space="0" w:color="CCCCCC"/>
              <w:right w:val="single" w:sz="6" w:space="0" w:color="000000" w:themeColor="text1"/>
            </w:tcBorders>
            <w:tcMar>
              <w:top w:w="30" w:type="dxa"/>
              <w:left w:w="45" w:type="dxa"/>
              <w:bottom w:w="30" w:type="dxa"/>
              <w:right w:w="45" w:type="dxa"/>
            </w:tcMar>
            <w:vAlign w:val="center"/>
            <w:hideMark/>
          </w:tcPr>
          <w:p w14:paraId="51D44452" w14:textId="77777777" w:rsidR="001C71AF" w:rsidRPr="003F7A48" w:rsidRDefault="001C71AF" w:rsidP="00B01225">
            <w:pPr>
              <w:jc w:val="center"/>
              <w:rPr>
                <w:lang w:val="es-ES" w:eastAsia="es-ES"/>
              </w:rPr>
            </w:pPr>
            <w:r w:rsidRPr="19CEB6F8">
              <w:rPr>
                <w:lang w:val="es-ES" w:eastAsia="es-ES"/>
              </w:rPr>
              <w:t>-0.96</w:t>
            </w:r>
          </w:p>
        </w:tc>
        <w:tc>
          <w:tcPr>
            <w:tcW w:w="751" w:type="dxa"/>
            <w:tcBorders>
              <w:top w:val="single" w:sz="6" w:space="0" w:color="CCCCCC"/>
              <w:left w:val="single" w:sz="6" w:space="0" w:color="CCCCCC"/>
              <w:bottom w:val="single" w:sz="6" w:space="0" w:color="CCCCCC"/>
              <w:right w:val="single" w:sz="6" w:space="0" w:color="000000" w:themeColor="text1"/>
            </w:tcBorders>
            <w:tcMar>
              <w:top w:w="30" w:type="dxa"/>
              <w:left w:w="45" w:type="dxa"/>
              <w:bottom w:w="30" w:type="dxa"/>
              <w:right w:w="45" w:type="dxa"/>
            </w:tcMar>
            <w:vAlign w:val="center"/>
            <w:hideMark/>
          </w:tcPr>
          <w:p w14:paraId="574DEF9B" w14:textId="77777777" w:rsidR="001C71AF" w:rsidRPr="003C55FE" w:rsidRDefault="001C71AF" w:rsidP="00B01225">
            <w:pPr>
              <w:jc w:val="center"/>
              <w:rPr>
                <w:lang w:val="es-ES" w:eastAsia="es-ES"/>
              </w:rPr>
            </w:pPr>
            <w:r w:rsidRPr="003C55FE">
              <w:rPr>
                <w:lang w:val="es-ES" w:eastAsia="es-ES"/>
              </w:rPr>
              <w:t>-0.41</w:t>
            </w:r>
          </w:p>
        </w:tc>
        <w:tc>
          <w:tcPr>
            <w:tcW w:w="1120" w:type="dxa"/>
            <w:tcBorders>
              <w:top w:val="single" w:sz="6" w:space="0" w:color="CCCCCC"/>
              <w:left w:val="single" w:sz="6" w:space="0" w:color="CCCCCC"/>
              <w:bottom w:val="single" w:sz="6" w:space="0" w:color="CCCCCC"/>
              <w:right w:val="single" w:sz="6" w:space="0" w:color="000000" w:themeColor="text1"/>
            </w:tcBorders>
            <w:tcMar>
              <w:top w:w="30" w:type="dxa"/>
              <w:left w:w="45" w:type="dxa"/>
              <w:bottom w:w="30" w:type="dxa"/>
              <w:right w:w="45" w:type="dxa"/>
            </w:tcMar>
            <w:vAlign w:val="center"/>
            <w:hideMark/>
          </w:tcPr>
          <w:p w14:paraId="63EDE3C6" w14:textId="77777777" w:rsidR="001C71AF" w:rsidRPr="003F7A48" w:rsidRDefault="001C71AF" w:rsidP="00B01225">
            <w:pPr>
              <w:jc w:val="center"/>
              <w:rPr>
                <w:lang w:val="es-ES" w:eastAsia="es-ES"/>
              </w:rPr>
            </w:pPr>
            <w:r w:rsidRPr="19CEB6F8">
              <w:rPr>
                <w:lang w:val="es-ES" w:eastAsia="es-ES"/>
              </w:rPr>
              <w:t>0.95</w:t>
            </w:r>
          </w:p>
        </w:tc>
        <w:tc>
          <w:tcPr>
            <w:tcW w:w="752" w:type="dxa"/>
            <w:tcBorders>
              <w:top w:val="single" w:sz="6" w:space="0" w:color="CCCCCC"/>
              <w:left w:val="single" w:sz="6" w:space="0" w:color="CCCCCC"/>
              <w:bottom w:val="single" w:sz="6" w:space="0" w:color="CCCCCC"/>
              <w:right w:val="single" w:sz="6" w:space="0" w:color="000000" w:themeColor="text1"/>
            </w:tcBorders>
            <w:tcMar>
              <w:top w:w="30" w:type="dxa"/>
              <w:left w:w="45" w:type="dxa"/>
              <w:bottom w:w="30" w:type="dxa"/>
              <w:right w:w="45" w:type="dxa"/>
            </w:tcMar>
            <w:vAlign w:val="center"/>
            <w:hideMark/>
          </w:tcPr>
          <w:p w14:paraId="3848144C" w14:textId="77777777" w:rsidR="001C71AF" w:rsidRPr="003C55FE" w:rsidRDefault="001C71AF" w:rsidP="00B01225">
            <w:pPr>
              <w:jc w:val="center"/>
              <w:rPr>
                <w:lang w:val="es-ES" w:eastAsia="es-ES"/>
              </w:rPr>
            </w:pPr>
            <w:r w:rsidRPr="003C55FE">
              <w:rPr>
                <w:lang w:val="es-ES" w:eastAsia="es-ES"/>
              </w:rPr>
              <w:t>0.51</w:t>
            </w:r>
          </w:p>
        </w:tc>
      </w:tr>
      <w:tr w:rsidR="001C71AF" w:rsidRPr="003F7A48" w14:paraId="2F92CE7F" w14:textId="77777777" w:rsidTr="00B01225">
        <w:trPr>
          <w:trHeight w:val="315"/>
        </w:trPr>
        <w:tc>
          <w:tcPr>
            <w:tcW w:w="938"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tcPr>
          <w:p w14:paraId="5E505637" w14:textId="77777777" w:rsidR="001C71AF" w:rsidRPr="003F7A48" w:rsidRDefault="001C71AF" w:rsidP="00B01225">
            <w:pPr>
              <w:jc w:val="center"/>
              <w:rPr>
                <w:lang w:val="es-ES" w:eastAsia="es-ES"/>
              </w:rPr>
            </w:pPr>
            <w:r w:rsidRPr="19CEB6F8">
              <w:rPr>
                <w:lang w:val="es-ES" w:eastAsia="es-ES"/>
              </w:rPr>
              <w:t>xii</w:t>
            </w:r>
          </w:p>
        </w:tc>
        <w:tc>
          <w:tcPr>
            <w:tcW w:w="1168"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B08731E" w14:textId="77777777" w:rsidR="001C71AF" w:rsidRPr="003F7A48" w:rsidRDefault="001C71AF" w:rsidP="00B01225">
            <w:pPr>
              <w:jc w:val="center"/>
              <w:rPr>
                <w:lang w:val="es-ES" w:eastAsia="es-ES"/>
              </w:rPr>
            </w:pPr>
            <w:r w:rsidRPr="19CEB6F8">
              <w:rPr>
                <w:lang w:val="es-ES" w:eastAsia="es-ES"/>
              </w:rPr>
              <w:t>-0.98</w:t>
            </w:r>
          </w:p>
        </w:tc>
        <w:tc>
          <w:tcPr>
            <w:tcW w:w="751"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E351866" w14:textId="77777777" w:rsidR="001C71AF" w:rsidRPr="003C55FE" w:rsidRDefault="001C71AF" w:rsidP="00B01225">
            <w:pPr>
              <w:jc w:val="center"/>
              <w:rPr>
                <w:lang w:val="es-ES" w:eastAsia="es-ES"/>
              </w:rPr>
            </w:pPr>
            <w:r w:rsidRPr="003C55FE">
              <w:rPr>
                <w:lang w:val="es-ES" w:eastAsia="es-ES"/>
              </w:rPr>
              <w:t>-0.67</w:t>
            </w:r>
          </w:p>
        </w:tc>
        <w:tc>
          <w:tcPr>
            <w:tcW w:w="11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5F5B401" w14:textId="77777777" w:rsidR="001C71AF" w:rsidRPr="003F7A48" w:rsidRDefault="001C71AF" w:rsidP="00B01225">
            <w:pPr>
              <w:jc w:val="center"/>
              <w:rPr>
                <w:lang w:val="es-ES" w:eastAsia="es-ES"/>
              </w:rPr>
            </w:pPr>
            <w:r w:rsidRPr="19CEB6F8">
              <w:rPr>
                <w:lang w:val="es-ES" w:eastAsia="es-ES"/>
              </w:rPr>
              <w:t>0.96</w:t>
            </w:r>
          </w:p>
        </w:tc>
        <w:tc>
          <w:tcPr>
            <w:tcW w:w="75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E0777FB" w14:textId="77777777" w:rsidR="001C71AF" w:rsidRPr="003C55FE" w:rsidRDefault="001C71AF" w:rsidP="00B01225">
            <w:pPr>
              <w:jc w:val="center"/>
              <w:rPr>
                <w:lang w:val="es-ES" w:eastAsia="es-ES"/>
              </w:rPr>
            </w:pPr>
            <w:r w:rsidRPr="003C55FE">
              <w:rPr>
                <w:lang w:val="es-ES" w:eastAsia="es-ES"/>
              </w:rPr>
              <w:t>0.66</w:t>
            </w:r>
          </w:p>
        </w:tc>
      </w:tr>
    </w:tbl>
    <w:p w14:paraId="2E08B0C9" w14:textId="77777777" w:rsidR="001C71AF" w:rsidRDefault="001C71AF" w:rsidP="001C71AF"/>
    <w:p w14:paraId="1E72CFE9" w14:textId="77777777" w:rsidR="001C71AF" w:rsidRDefault="001C71AF" w:rsidP="001C71AF"/>
    <w:p w14:paraId="359EDCA9" w14:textId="77777777" w:rsidR="001C71AF" w:rsidRDefault="001C71AF" w:rsidP="001C71AF"/>
    <w:p w14:paraId="239EC77F"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1AF"/>
    <w:rsid w:val="000D4074"/>
    <w:rsid w:val="001C71AF"/>
    <w:rsid w:val="001E4B73"/>
    <w:rsid w:val="005314AC"/>
    <w:rsid w:val="008C55D4"/>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0BA8D"/>
  <w15:chartTrackingRefBased/>
  <w15:docId w15:val="{69DE3B04-9479-4109-9C90-839D54B10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C71AF"/>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1C71AF"/>
    <w:pPr>
      <w:ind w:left="541" w:hanging="422"/>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71AF"/>
    <w:rPr>
      <w:rFonts w:ascii="Times New Roman" w:eastAsia="Times New Roman" w:hAnsi="Times New Roman" w:cs="Times New Roman"/>
      <w:sz w:val="28"/>
      <w:szCs w:val="28"/>
    </w:rPr>
  </w:style>
  <w:style w:type="paragraph" w:styleId="BodyText">
    <w:name w:val="Body Text"/>
    <w:basedOn w:val="Normal"/>
    <w:link w:val="BodyTextChar"/>
    <w:uiPriority w:val="1"/>
    <w:qFormat/>
    <w:rsid w:val="001C71AF"/>
    <w:rPr>
      <w:sz w:val="20"/>
      <w:szCs w:val="20"/>
    </w:rPr>
  </w:style>
  <w:style w:type="character" w:customStyle="1" w:styleId="BodyTextChar">
    <w:name w:val="Body Text Char"/>
    <w:basedOn w:val="DefaultParagraphFont"/>
    <w:link w:val="BodyText"/>
    <w:uiPriority w:val="1"/>
    <w:rsid w:val="001C71A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DD3B7C75544DEB8539DC778BD784BA"/>
        <w:category>
          <w:name w:val="General"/>
          <w:gallery w:val="placeholder"/>
        </w:category>
        <w:types>
          <w:type w:val="bbPlcHdr"/>
        </w:types>
        <w:behaviors>
          <w:behavior w:val="content"/>
        </w:behaviors>
        <w:guid w:val="{BCC92A27-3A8E-489C-A903-078B1EF3E35E}"/>
      </w:docPartPr>
      <w:docPartBody>
        <w:p w:rsidR="00000000" w:rsidRDefault="002310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053"/>
    <w:rsid w:val="00231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562</Words>
  <Characters>3208</Characters>
  <Application>Microsoft Office Word</Application>
  <DocSecurity>0</DocSecurity>
  <Lines>26</Lines>
  <Paragraphs>7</Paragraphs>
  <ScaleCrop>false</ScaleCrop>
  <Company>Springer Nature</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2</cp:revision>
  <dcterms:created xsi:type="dcterms:W3CDTF">2023-05-09T10:52:00Z</dcterms:created>
  <dcterms:modified xsi:type="dcterms:W3CDTF">2023-05-09T10:58:00Z</dcterms:modified>
</cp:coreProperties>
</file>