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24503" w14:textId="72D3768B" w:rsidR="00E03196" w:rsidRPr="00A5644E" w:rsidRDefault="007C7737" w:rsidP="00E03196">
      <w:pPr>
        <w:rPr>
          <w:rFonts w:ascii="Times New Roman" w:hAnsi="Times New Roman" w:cs="Times New Roman"/>
          <w:sz w:val="20"/>
          <w:szCs w:val="20"/>
          <w:lang w:val="en-GB"/>
        </w:rPr>
      </w:pPr>
      <w:r w:rsidRPr="00A5644E">
        <w:rPr>
          <w:rFonts w:ascii="Times New Roman" w:hAnsi="Times New Roman" w:cs="Times New Roman"/>
          <w:sz w:val="20"/>
          <w:szCs w:val="20"/>
          <w:lang w:val="en-GB"/>
        </w:rPr>
        <w:t xml:space="preserve">Supplementary </w:t>
      </w:r>
      <w:r w:rsidR="00E03196" w:rsidRPr="00A5644E">
        <w:rPr>
          <w:rFonts w:ascii="Times New Roman" w:hAnsi="Times New Roman" w:cs="Times New Roman"/>
          <w:sz w:val="20"/>
          <w:szCs w:val="20"/>
          <w:lang w:val="en-GB"/>
        </w:rPr>
        <w:t xml:space="preserve">Table 4. Data entry sheet for the </w:t>
      </w:r>
      <w:r w:rsidR="009972AA" w:rsidRPr="00A5644E">
        <w:rPr>
          <w:rFonts w:ascii="Times New Roman" w:hAnsi="Times New Roman" w:cs="Times New Roman"/>
          <w:sz w:val="20"/>
          <w:szCs w:val="20"/>
          <w:lang w:val="en-GB"/>
        </w:rPr>
        <w:t xml:space="preserve">price and </w:t>
      </w:r>
      <w:r w:rsidR="00E03196" w:rsidRPr="00A5644E">
        <w:rPr>
          <w:rFonts w:ascii="Times New Roman" w:hAnsi="Times New Roman" w:cs="Times New Roman"/>
          <w:sz w:val="20"/>
          <w:szCs w:val="20"/>
          <w:lang w:val="en-GB"/>
        </w:rPr>
        <w:t>posology of daratumumab in the ANDROMEDA trial in the progression-free state for a maximum of 24 treatment cycles of 4 weeks each</w:t>
      </w:r>
    </w:p>
    <w:tbl>
      <w:tblPr>
        <w:tblW w:w="120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992"/>
        <w:gridCol w:w="992"/>
        <w:gridCol w:w="992"/>
        <w:gridCol w:w="992"/>
        <w:gridCol w:w="3005"/>
        <w:gridCol w:w="680"/>
        <w:gridCol w:w="1021"/>
        <w:gridCol w:w="709"/>
        <w:gridCol w:w="538"/>
        <w:gridCol w:w="543"/>
      </w:tblGrid>
      <w:tr w:rsidR="006C1169" w:rsidRPr="00A5644E" w14:paraId="3689D875" w14:textId="77777777" w:rsidTr="006C1169">
        <w:trPr>
          <w:trHeight w:val="300"/>
        </w:trPr>
        <w:tc>
          <w:tcPr>
            <w:tcW w:w="1560" w:type="dxa"/>
            <w:shd w:val="clear" w:color="auto" w:fill="auto"/>
            <w:noWrap/>
            <w:vAlign w:val="bottom"/>
            <w:hideMark/>
          </w:tcPr>
          <w:p w14:paraId="27CE5769"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parameter</w:t>
            </w:r>
          </w:p>
        </w:tc>
        <w:tc>
          <w:tcPr>
            <w:tcW w:w="992" w:type="dxa"/>
          </w:tcPr>
          <w:p w14:paraId="21F66613" w14:textId="37CA3A50"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Value</w:t>
            </w:r>
            <w:r w:rsidR="001964AA" w:rsidRPr="00A5644E">
              <w:rPr>
                <w:rFonts w:ascii="Times New Roman" w:eastAsia="Times New Roman" w:hAnsi="Times New Roman" w:cs="Times New Roman"/>
                <w:color w:val="000000"/>
                <w:sz w:val="20"/>
                <w:szCs w:val="20"/>
                <w:lang w:val="en-US"/>
              </w:rPr>
              <w:t xml:space="preserve"> (b)</w:t>
            </w:r>
          </w:p>
        </w:tc>
        <w:tc>
          <w:tcPr>
            <w:tcW w:w="992" w:type="dxa"/>
          </w:tcPr>
          <w:p w14:paraId="3A67DCEC" w14:textId="061AE8C0"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Low</w:t>
            </w:r>
          </w:p>
        </w:tc>
        <w:tc>
          <w:tcPr>
            <w:tcW w:w="992" w:type="dxa"/>
          </w:tcPr>
          <w:p w14:paraId="3D910F72" w14:textId="467B4AF3"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High</w:t>
            </w:r>
          </w:p>
        </w:tc>
        <w:tc>
          <w:tcPr>
            <w:tcW w:w="992" w:type="dxa"/>
            <w:shd w:val="clear" w:color="auto" w:fill="auto"/>
            <w:noWrap/>
            <w:vAlign w:val="bottom"/>
            <w:hideMark/>
          </w:tcPr>
          <w:p w14:paraId="31FC3063" w14:textId="063BC213"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Treat-</w:t>
            </w:r>
            <w:proofErr w:type="spellStart"/>
            <w:r w:rsidRPr="00A5644E">
              <w:rPr>
                <w:rFonts w:ascii="Times New Roman" w:eastAsia="Times New Roman" w:hAnsi="Times New Roman" w:cs="Times New Roman"/>
                <w:color w:val="000000"/>
                <w:sz w:val="20"/>
                <w:szCs w:val="20"/>
                <w:lang w:val="en-US"/>
              </w:rPr>
              <w:t>ment</w:t>
            </w:r>
            <w:proofErr w:type="spellEnd"/>
            <w:r w:rsidRPr="00A5644E">
              <w:rPr>
                <w:rFonts w:ascii="Times New Roman" w:eastAsia="Times New Roman" w:hAnsi="Times New Roman" w:cs="Times New Roman"/>
                <w:color w:val="000000"/>
                <w:sz w:val="20"/>
                <w:szCs w:val="20"/>
                <w:lang w:val="en-US"/>
              </w:rPr>
              <w:t xml:space="preserve"> (a)</w:t>
            </w:r>
          </w:p>
        </w:tc>
        <w:tc>
          <w:tcPr>
            <w:tcW w:w="3005" w:type="dxa"/>
            <w:shd w:val="clear" w:color="auto" w:fill="auto"/>
            <w:noWrap/>
            <w:vAlign w:val="bottom"/>
            <w:hideMark/>
          </w:tcPr>
          <w:p w14:paraId="32D90641"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state</w:t>
            </w:r>
          </w:p>
        </w:tc>
        <w:tc>
          <w:tcPr>
            <w:tcW w:w="680" w:type="dxa"/>
            <w:shd w:val="clear" w:color="auto" w:fill="auto"/>
            <w:noWrap/>
            <w:vAlign w:val="bottom"/>
            <w:hideMark/>
          </w:tcPr>
          <w:p w14:paraId="4AD1BF9C"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unit_ cost</w:t>
            </w:r>
          </w:p>
        </w:tc>
        <w:tc>
          <w:tcPr>
            <w:tcW w:w="1021" w:type="dxa"/>
            <w:shd w:val="clear" w:color="auto" w:fill="auto"/>
            <w:noWrap/>
            <w:vAlign w:val="bottom"/>
            <w:hideMark/>
          </w:tcPr>
          <w:p w14:paraId="6BB08EE6"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calendar</w:t>
            </w:r>
          </w:p>
        </w:tc>
        <w:tc>
          <w:tcPr>
            <w:tcW w:w="709" w:type="dxa"/>
            <w:shd w:val="clear" w:color="auto" w:fill="auto"/>
            <w:noWrap/>
            <w:vAlign w:val="bottom"/>
            <w:hideMark/>
          </w:tcPr>
          <w:p w14:paraId="6F66F57A"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from</w:t>
            </w:r>
          </w:p>
        </w:tc>
        <w:tc>
          <w:tcPr>
            <w:tcW w:w="538" w:type="dxa"/>
            <w:shd w:val="clear" w:color="auto" w:fill="auto"/>
            <w:noWrap/>
            <w:vAlign w:val="bottom"/>
            <w:hideMark/>
          </w:tcPr>
          <w:p w14:paraId="5BE44720"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to</w:t>
            </w:r>
          </w:p>
        </w:tc>
        <w:tc>
          <w:tcPr>
            <w:tcW w:w="543" w:type="dxa"/>
            <w:shd w:val="clear" w:color="auto" w:fill="auto"/>
            <w:noWrap/>
            <w:vAlign w:val="bottom"/>
            <w:hideMark/>
          </w:tcPr>
          <w:p w14:paraId="5F896F90"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by</w:t>
            </w:r>
          </w:p>
        </w:tc>
      </w:tr>
      <w:tr w:rsidR="006C1169" w:rsidRPr="00A5644E" w14:paraId="223D22BA" w14:textId="77777777" w:rsidTr="006C1169">
        <w:trPr>
          <w:trHeight w:val="70"/>
        </w:trPr>
        <w:tc>
          <w:tcPr>
            <w:tcW w:w="1560" w:type="dxa"/>
            <w:shd w:val="clear" w:color="auto" w:fill="auto"/>
            <w:noWrap/>
            <w:vAlign w:val="bottom"/>
            <w:hideMark/>
          </w:tcPr>
          <w:p w14:paraId="6141BE9E"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Daratumumab</w:t>
            </w:r>
          </w:p>
        </w:tc>
        <w:tc>
          <w:tcPr>
            <w:tcW w:w="992" w:type="dxa"/>
          </w:tcPr>
          <w:p w14:paraId="718310E6" w14:textId="1C601351" w:rsidR="006C1169" w:rsidRPr="00A5644E" w:rsidRDefault="000B2D0E"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1500</w:t>
            </w:r>
          </w:p>
        </w:tc>
        <w:tc>
          <w:tcPr>
            <w:tcW w:w="992" w:type="dxa"/>
          </w:tcPr>
          <w:p w14:paraId="501937F6" w14:textId="5C52F42F"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500</w:t>
            </w:r>
          </w:p>
        </w:tc>
        <w:tc>
          <w:tcPr>
            <w:tcW w:w="992" w:type="dxa"/>
          </w:tcPr>
          <w:p w14:paraId="050F38CF" w14:textId="368985FF"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2000</w:t>
            </w:r>
          </w:p>
        </w:tc>
        <w:tc>
          <w:tcPr>
            <w:tcW w:w="992" w:type="dxa"/>
            <w:shd w:val="clear" w:color="auto" w:fill="auto"/>
            <w:noWrap/>
            <w:vAlign w:val="bottom"/>
            <w:hideMark/>
          </w:tcPr>
          <w:p w14:paraId="323AA37E" w14:textId="010A5944"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1</w:t>
            </w:r>
          </w:p>
        </w:tc>
        <w:tc>
          <w:tcPr>
            <w:tcW w:w="3005" w:type="dxa"/>
            <w:shd w:val="clear" w:color="auto" w:fill="auto"/>
            <w:noWrap/>
            <w:vAlign w:val="bottom"/>
            <w:hideMark/>
          </w:tcPr>
          <w:p w14:paraId="0E9EE86D"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PROGRESSION_ FREE_ SURVIVAL</w:t>
            </w:r>
          </w:p>
        </w:tc>
        <w:tc>
          <w:tcPr>
            <w:tcW w:w="680" w:type="dxa"/>
            <w:shd w:val="clear" w:color="auto" w:fill="auto"/>
            <w:noWrap/>
            <w:vAlign w:val="bottom"/>
            <w:hideMark/>
          </w:tcPr>
          <w:p w14:paraId="0147544D"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1</w:t>
            </w:r>
          </w:p>
        </w:tc>
        <w:tc>
          <w:tcPr>
            <w:tcW w:w="1021" w:type="dxa"/>
            <w:shd w:val="clear" w:color="auto" w:fill="auto"/>
            <w:noWrap/>
            <w:vAlign w:val="bottom"/>
            <w:hideMark/>
          </w:tcPr>
          <w:p w14:paraId="2879B204"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weeks</w:t>
            </w:r>
          </w:p>
        </w:tc>
        <w:tc>
          <w:tcPr>
            <w:tcW w:w="709" w:type="dxa"/>
            <w:shd w:val="clear" w:color="auto" w:fill="auto"/>
            <w:noWrap/>
            <w:vAlign w:val="bottom"/>
            <w:hideMark/>
          </w:tcPr>
          <w:p w14:paraId="5FAF0517"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1</w:t>
            </w:r>
          </w:p>
        </w:tc>
        <w:tc>
          <w:tcPr>
            <w:tcW w:w="538" w:type="dxa"/>
            <w:shd w:val="clear" w:color="auto" w:fill="auto"/>
            <w:noWrap/>
            <w:vAlign w:val="bottom"/>
            <w:hideMark/>
          </w:tcPr>
          <w:p w14:paraId="58632D31"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8</w:t>
            </w:r>
          </w:p>
        </w:tc>
        <w:tc>
          <w:tcPr>
            <w:tcW w:w="543" w:type="dxa"/>
            <w:shd w:val="clear" w:color="auto" w:fill="auto"/>
            <w:noWrap/>
            <w:vAlign w:val="bottom"/>
            <w:hideMark/>
          </w:tcPr>
          <w:p w14:paraId="6FC98D42"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1</w:t>
            </w:r>
          </w:p>
        </w:tc>
      </w:tr>
      <w:tr w:rsidR="006C1169" w:rsidRPr="00A5644E" w14:paraId="06A8E51E" w14:textId="77777777" w:rsidTr="006C1169">
        <w:trPr>
          <w:trHeight w:val="563"/>
        </w:trPr>
        <w:tc>
          <w:tcPr>
            <w:tcW w:w="1560" w:type="dxa"/>
            <w:shd w:val="clear" w:color="auto" w:fill="auto"/>
            <w:noWrap/>
            <w:vAlign w:val="bottom"/>
          </w:tcPr>
          <w:p w14:paraId="1E69F5E4"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Daratumumab</w:t>
            </w:r>
          </w:p>
        </w:tc>
        <w:tc>
          <w:tcPr>
            <w:tcW w:w="992" w:type="dxa"/>
          </w:tcPr>
          <w:p w14:paraId="5A9E65A7" w14:textId="54140C45" w:rsidR="006C1169" w:rsidRPr="00A5644E" w:rsidRDefault="000B2D0E"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1500</w:t>
            </w:r>
          </w:p>
        </w:tc>
        <w:tc>
          <w:tcPr>
            <w:tcW w:w="992" w:type="dxa"/>
          </w:tcPr>
          <w:p w14:paraId="6AD1A91A" w14:textId="1F342434"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500</w:t>
            </w:r>
          </w:p>
        </w:tc>
        <w:tc>
          <w:tcPr>
            <w:tcW w:w="992" w:type="dxa"/>
          </w:tcPr>
          <w:p w14:paraId="73F16208" w14:textId="15C239BA"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2000</w:t>
            </w:r>
          </w:p>
        </w:tc>
        <w:tc>
          <w:tcPr>
            <w:tcW w:w="992" w:type="dxa"/>
            <w:shd w:val="clear" w:color="auto" w:fill="auto"/>
            <w:noWrap/>
            <w:vAlign w:val="bottom"/>
          </w:tcPr>
          <w:p w14:paraId="620AE7C5" w14:textId="34030C08"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1</w:t>
            </w:r>
          </w:p>
        </w:tc>
        <w:tc>
          <w:tcPr>
            <w:tcW w:w="3005" w:type="dxa"/>
            <w:shd w:val="clear" w:color="auto" w:fill="auto"/>
            <w:noWrap/>
            <w:vAlign w:val="bottom"/>
          </w:tcPr>
          <w:p w14:paraId="576A5665"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PROGRESSION_ FREE_ SURVIVAL</w:t>
            </w:r>
          </w:p>
        </w:tc>
        <w:tc>
          <w:tcPr>
            <w:tcW w:w="680" w:type="dxa"/>
            <w:shd w:val="clear" w:color="auto" w:fill="auto"/>
            <w:noWrap/>
            <w:vAlign w:val="bottom"/>
          </w:tcPr>
          <w:p w14:paraId="258134C3"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1</w:t>
            </w:r>
          </w:p>
        </w:tc>
        <w:tc>
          <w:tcPr>
            <w:tcW w:w="1021" w:type="dxa"/>
            <w:shd w:val="clear" w:color="auto" w:fill="auto"/>
            <w:noWrap/>
            <w:vAlign w:val="bottom"/>
          </w:tcPr>
          <w:p w14:paraId="68D1EF09"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weeks</w:t>
            </w:r>
          </w:p>
        </w:tc>
        <w:tc>
          <w:tcPr>
            <w:tcW w:w="709" w:type="dxa"/>
            <w:shd w:val="clear" w:color="auto" w:fill="auto"/>
            <w:noWrap/>
            <w:vAlign w:val="bottom"/>
          </w:tcPr>
          <w:p w14:paraId="58CC1013"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10</w:t>
            </w:r>
          </w:p>
        </w:tc>
        <w:tc>
          <w:tcPr>
            <w:tcW w:w="538" w:type="dxa"/>
            <w:shd w:val="clear" w:color="auto" w:fill="auto"/>
            <w:noWrap/>
            <w:vAlign w:val="bottom"/>
          </w:tcPr>
          <w:p w14:paraId="279180A5"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24</w:t>
            </w:r>
          </w:p>
        </w:tc>
        <w:tc>
          <w:tcPr>
            <w:tcW w:w="543" w:type="dxa"/>
            <w:shd w:val="clear" w:color="auto" w:fill="auto"/>
            <w:noWrap/>
            <w:vAlign w:val="bottom"/>
          </w:tcPr>
          <w:p w14:paraId="14010852"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2</w:t>
            </w:r>
          </w:p>
        </w:tc>
      </w:tr>
      <w:tr w:rsidR="006C1169" w:rsidRPr="00A5644E" w14:paraId="5FEB0E00" w14:textId="77777777" w:rsidTr="006C1169">
        <w:trPr>
          <w:trHeight w:val="170"/>
        </w:trPr>
        <w:tc>
          <w:tcPr>
            <w:tcW w:w="1560" w:type="dxa"/>
            <w:shd w:val="clear" w:color="auto" w:fill="auto"/>
            <w:noWrap/>
            <w:vAlign w:val="bottom"/>
          </w:tcPr>
          <w:p w14:paraId="186A73A3"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Daratumumab</w:t>
            </w:r>
          </w:p>
        </w:tc>
        <w:tc>
          <w:tcPr>
            <w:tcW w:w="992" w:type="dxa"/>
          </w:tcPr>
          <w:p w14:paraId="0A55CB4A" w14:textId="68EDB98F" w:rsidR="006C1169" w:rsidRPr="00A5644E" w:rsidRDefault="000B2D0E"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1500</w:t>
            </w:r>
          </w:p>
        </w:tc>
        <w:tc>
          <w:tcPr>
            <w:tcW w:w="992" w:type="dxa"/>
          </w:tcPr>
          <w:p w14:paraId="2D42C6C0" w14:textId="49CE171E"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500</w:t>
            </w:r>
          </w:p>
        </w:tc>
        <w:tc>
          <w:tcPr>
            <w:tcW w:w="992" w:type="dxa"/>
          </w:tcPr>
          <w:p w14:paraId="65B2D824" w14:textId="56255B44"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2000</w:t>
            </w:r>
          </w:p>
        </w:tc>
        <w:tc>
          <w:tcPr>
            <w:tcW w:w="992" w:type="dxa"/>
            <w:shd w:val="clear" w:color="auto" w:fill="auto"/>
            <w:noWrap/>
            <w:vAlign w:val="bottom"/>
          </w:tcPr>
          <w:p w14:paraId="46E2EF7C" w14:textId="0E4AC6A1"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1</w:t>
            </w:r>
          </w:p>
        </w:tc>
        <w:tc>
          <w:tcPr>
            <w:tcW w:w="3005" w:type="dxa"/>
            <w:shd w:val="clear" w:color="auto" w:fill="auto"/>
            <w:noWrap/>
            <w:vAlign w:val="bottom"/>
          </w:tcPr>
          <w:p w14:paraId="0B0A3587"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PROGRESSION_ FREE_ SURVIVAL</w:t>
            </w:r>
          </w:p>
        </w:tc>
        <w:tc>
          <w:tcPr>
            <w:tcW w:w="680" w:type="dxa"/>
            <w:shd w:val="clear" w:color="auto" w:fill="auto"/>
            <w:noWrap/>
            <w:vAlign w:val="bottom"/>
          </w:tcPr>
          <w:p w14:paraId="21B4287A"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1</w:t>
            </w:r>
          </w:p>
        </w:tc>
        <w:tc>
          <w:tcPr>
            <w:tcW w:w="1021" w:type="dxa"/>
            <w:shd w:val="clear" w:color="auto" w:fill="auto"/>
            <w:noWrap/>
            <w:vAlign w:val="bottom"/>
          </w:tcPr>
          <w:p w14:paraId="17819F26"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weeks</w:t>
            </w:r>
          </w:p>
        </w:tc>
        <w:tc>
          <w:tcPr>
            <w:tcW w:w="709" w:type="dxa"/>
            <w:shd w:val="clear" w:color="auto" w:fill="auto"/>
            <w:noWrap/>
            <w:vAlign w:val="bottom"/>
          </w:tcPr>
          <w:p w14:paraId="62C32B93"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28</w:t>
            </w:r>
          </w:p>
        </w:tc>
        <w:tc>
          <w:tcPr>
            <w:tcW w:w="538" w:type="dxa"/>
            <w:shd w:val="clear" w:color="auto" w:fill="auto"/>
            <w:noWrap/>
            <w:vAlign w:val="bottom"/>
          </w:tcPr>
          <w:p w14:paraId="746B9E23"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96</w:t>
            </w:r>
          </w:p>
        </w:tc>
        <w:tc>
          <w:tcPr>
            <w:tcW w:w="543" w:type="dxa"/>
            <w:shd w:val="clear" w:color="auto" w:fill="auto"/>
            <w:noWrap/>
            <w:vAlign w:val="bottom"/>
          </w:tcPr>
          <w:p w14:paraId="5F9E8898"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4</w:t>
            </w:r>
          </w:p>
        </w:tc>
      </w:tr>
      <w:tr w:rsidR="006C1169" w:rsidRPr="00A5644E" w14:paraId="55D26060" w14:textId="77777777" w:rsidTr="006C1169">
        <w:trPr>
          <w:trHeight w:val="170"/>
        </w:trPr>
        <w:tc>
          <w:tcPr>
            <w:tcW w:w="1560" w:type="dxa"/>
            <w:shd w:val="clear" w:color="auto" w:fill="auto"/>
            <w:noWrap/>
            <w:vAlign w:val="bottom"/>
          </w:tcPr>
          <w:p w14:paraId="57850D96"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proofErr w:type="spellStart"/>
            <w:r w:rsidRPr="00A5644E">
              <w:rPr>
                <w:rFonts w:ascii="Times New Roman" w:eastAsia="Times New Roman" w:hAnsi="Times New Roman" w:cs="Times New Roman"/>
                <w:color w:val="000000"/>
                <w:sz w:val="20"/>
                <w:szCs w:val="20"/>
                <w:lang w:val="en-US"/>
              </w:rPr>
              <w:t>Next_line</w:t>
            </w:r>
            <w:proofErr w:type="spellEnd"/>
          </w:p>
        </w:tc>
        <w:tc>
          <w:tcPr>
            <w:tcW w:w="992" w:type="dxa"/>
          </w:tcPr>
          <w:p w14:paraId="63190A0D" w14:textId="6F51E406" w:rsidR="006C1169" w:rsidRPr="00A5644E" w:rsidRDefault="000B2D0E"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1000</w:t>
            </w:r>
          </w:p>
        </w:tc>
        <w:tc>
          <w:tcPr>
            <w:tcW w:w="992" w:type="dxa"/>
          </w:tcPr>
          <w:p w14:paraId="3252FB40" w14:textId="451BD26C"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0</w:t>
            </w:r>
          </w:p>
        </w:tc>
        <w:tc>
          <w:tcPr>
            <w:tcW w:w="992" w:type="dxa"/>
          </w:tcPr>
          <w:p w14:paraId="3415A272" w14:textId="54008E06" w:rsidR="006C1169" w:rsidRPr="00A5644E" w:rsidRDefault="000B2D0E"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2000</w:t>
            </w:r>
          </w:p>
        </w:tc>
        <w:tc>
          <w:tcPr>
            <w:tcW w:w="992" w:type="dxa"/>
            <w:shd w:val="clear" w:color="auto" w:fill="auto"/>
            <w:noWrap/>
            <w:vAlign w:val="bottom"/>
          </w:tcPr>
          <w:p w14:paraId="26670970" w14:textId="191ACC20"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p>
        </w:tc>
        <w:tc>
          <w:tcPr>
            <w:tcW w:w="3005" w:type="dxa"/>
            <w:shd w:val="clear" w:color="auto" w:fill="auto"/>
            <w:noWrap/>
            <w:vAlign w:val="bottom"/>
          </w:tcPr>
          <w:p w14:paraId="59E1CE46"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POST_TREATMENT_SURVIVAL</w:t>
            </w:r>
          </w:p>
        </w:tc>
        <w:tc>
          <w:tcPr>
            <w:tcW w:w="680" w:type="dxa"/>
            <w:shd w:val="clear" w:color="auto" w:fill="auto"/>
            <w:noWrap/>
            <w:vAlign w:val="bottom"/>
          </w:tcPr>
          <w:p w14:paraId="46B3434C"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1</w:t>
            </w:r>
          </w:p>
        </w:tc>
        <w:tc>
          <w:tcPr>
            <w:tcW w:w="1021" w:type="dxa"/>
            <w:shd w:val="clear" w:color="auto" w:fill="auto"/>
            <w:noWrap/>
            <w:vAlign w:val="bottom"/>
          </w:tcPr>
          <w:p w14:paraId="66299BB7"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r w:rsidRPr="00A5644E">
              <w:rPr>
                <w:rFonts w:ascii="Times New Roman" w:eastAsia="Times New Roman" w:hAnsi="Times New Roman" w:cs="Times New Roman"/>
                <w:color w:val="000000"/>
                <w:sz w:val="20"/>
                <w:szCs w:val="20"/>
                <w:lang w:val="en-US"/>
              </w:rPr>
              <w:t>months</w:t>
            </w:r>
          </w:p>
        </w:tc>
        <w:tc>
          <w:tcPr>
            <w:tcW w:w="709" w:type="dxa"/>
            <w:shd w:val="clear" w:color="auto" w:fill="auto"/>
            <w:noWrap/>
            <w:vAlign w:val="bottom"/>
          </w:tcPr>
          <w:p w14:paraId="6547A4E7"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p>
        </w:tc>
        <w:tc>
          <w:tcPr>
            <w:tcW w:w="538" w:type="dxa"/>
            <w:shd w:val="clear" w:color="auto" w:fill="auto"/>
            <w:noWrap/>
            <w:vAlign w:val="bottom"/>
          </w:tcPr>
          <w:p w14:paraId="088E2191"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p>
        </w:tc>
        <w:tc>
          <w:tcPr>
            <w:tcW w:w="543" w:type="dxa"/>
            <w:shd w:val="clear" w:color="auto" w:fill="auto"/>
            <w:noWrap/>
            <w:vAlign w:val="bottom"/>
          </w:tcPr>
          <w:p w14:paraId="4FAA5D84" w14:textId="77777777" w:rsidR="006C1169" w:rsidRPr="00A5644E" w:rsidRDefault="006C1169" w:rsidP="0052381A">
            <w:pPr>
              <w:spacing w:after="0" w:line="240" w:lineRule="auto"/>
              <w:jc w:val="center"/>
              <w:rPr>
                <w:rFonts w:ascii="Times New Roman" w:eastAsia="Times New Roman" w:hAnsi="Times New Roman" w:cs="Times New Roman"/>
                <w:color w:val="000000"/>
                <w:sz w:val="20"/>
                <w:szCs w:val="20"/>
                <w:lang w:val="en-US"/>
              </w:rPr>
            </w:pPr>
          </w:p>
        </w:tc>
      </w:tr>
    </w:tbl>
    <w:p w14:paraId="21DBC489" w14:textId="7705E922" w:rsidR="00E03196" w:rsidRPr="00A5644E" w:rsidRDefault="00C31AB7" w:rsidP="00C31AB7">
      <w:pPr>
        <w:pStyle w:val="Prrafodelista"/>
        <w:numPr>
          <w:ilvl w:val="0"/>
          <w:numId w:val="1"/>
        </w:numPr>
        <w:rPr>
          <w:rFonts w:ascii="Times New Roman" w:hAnsi="Times New Roman" w:cs="Times New Roman"/>
          <w:sz w:val="20"/>
          <w:szCs w:val="20"/>
          <w:lang w:val="en-GB"/>
        </w:rPr>
      </w:pPr>
      <w:r w:rsidRPr="00A5644E">
        <w:rPr>
          <w:rFonts w:ascii="Times New Roman" w:hAnsi="Times New Roman" w:cs="Times New Roman"/>
          <w:sz w:val="20"/>
          <w:szCs w:val="20"/>
          <w:lang w:val="en-GB"/>
        </w:rPr>
        <w:t>if treatment is left blank then this is understood to apply to both arms</w:t>
      </w:r>
    </w:p>
    <w:p w14:paraId="48553DAD" w14:textId="77777777" w:rsidR="001964AA" w:rsidRPr="00A5644E" w:rsidRDefault="001964AA" w:rsidP="001964AA">
      <w:pPr>
        <w:pStyle w:val="Prrafodelista"/>
        <w:numPr>
          <w:ilvl w:val="0"/>
          <w:numId w:val="1"/>
        </w:numPr>
        <w:rPr>
          <w:rFonts w:ascii="Times New Roman" w:hAnsi="Times New Roman" w:cs="Times New Roman"/>
          <w:sz w:val="20"/>
          <w:szCs w:val="20"/>
          <w:lang w:val="en-GB"/>
        </w:rPr>
      </w:pPr>
      <w:r w:rsidRPr="00A5644E">
        <w:rPr>
          <w:rFonts w:ascii="Times New Roman" w:hAnsi="Times New Roman" w:cs="Times New Roman"/>
          <w:sz w:val="20"/>
          <w:szCs w:val="20"/>
          <w:lang w:val="en-GB"/>
        </w:rPr>
        <w:t>Note: prices shown here bear no relation to real prices</w:t>
      </w:r>
    </w:p>
    <w:p w14:paraId="4DAEF147" w14:textId="4B6B1559" w:rsidR="00A5644E" w:rsidRPr="00A5644E" w:rsidRDefault="00A5644E" w:rsidP="001964AA">
      <w:pPr>
        <w:pStyle w:val="Prrafodelista"/>
        <w:rPr>
          <w:rFonts w:ascii="Times New Roman" w:hAnsi="Times New Roman" w:cs="Times New Roman"/>
          <w:sz w:val="20"/>
          <w:szCs w:val="20"/>
          <w:lang w:val="en-GB"/>
        </w:rPr>
      </w:pPr>
    </w:p>
    <w:p w14:paraId="661EC807" w14:textId="45ECA66F" w:rsidR="00A5644E" w:rsidRPr="00A5644E" w:rsidRDefault="00A5644E" w:rsidP="001964AA">
      <w:pPr>
        <w:pStyle w:val="Prrafodelista"/>
        <w:rPr>
          <w:rFonts w:ascii="Times New Roman" w:hAnsi="Times New Roman" w:cs="Times New Roman"/>
          <w:sz w:val="20"/>
          <w:szCs w:val="20"/>
          <w:lang w:val="en-GB"/>
        </w:rPr>
      </w:pPr>
    </w:p>
    <w:p w14:paraId="187F249B" w14:textId="60AC0827" w:rsidR="00A5644E" w:rsidRPr="00A5644E" w:rsidRDefault="00A5644E" w:rsidP="001964AA">
      <w:pPr>
        <w:pStyle w:val="Prrafodelista"/>
        <w:rPr>
          <w:rFonts w:ascii="Times New Roman" w:hAnsi="Times New Roman" w:cs="Times New Roman"/>
          <w:sz w:val="20"/>
          <w:szCs w:val="20"/>
          <w:lang w:val="en-GB"/>
        </w:rPr>
      </w:pPr>
    </w:p>
    <w:p w14:paraId="42C1A2B3" w14:textId="33898908" w:rsidR="00A5644E" w:rsidRPr="00A5644E" w:rsidRDefault="00A5644E" w:rsidP="00A5644E">
      <w:pPr>
        <w:pStyle w:val="Prrafodelista"/>
        <w:ind w:left="0"/>
        <w:rPr>
          <w:rFonts w:ascii="Times New Roman" w:hAnsi="Times New Roman" w:cs="Times New Roman"/>
          <w:sz w:val="20"/>
          <w:szCs w:val="20"/>
          <w:lang w:val="en-GB"/>
        </w:rPr>
      </w:pPr>
      <w:r w:rsidRPr="00A5644E">
        <w:rPr>
          <w:rFonts w:ascii="Times New Roman" w:hAnsi="Times New Roman" w:cs="Times New Roman"/>
          <w:sz w:val="20"/>
          <w:szCs w:val="20"/>
          <w:lang w:val="en-GB"/>
        </w:rPr>
        <w:t xml:space="preserve">Explanatory notes for </w:t>
      </w:r>
      <w:r>
        <w:rPr>
          <w:rFonts w:ascii="Times New Roman" w:hAnsi="Times New Roman" w:cs="Times New Roman"/>
          <w:sz w:val="20"/>
          <w:szCs w:val="20"/>
          <w:lang w:val="en-GB"/>
        </w:rPr>
        <w:t xml:space="preserve">completing the resource use and unit cost tables in INES shown in </w:t>
      </w:r>
      <w:r w:rsidRPr="00A5644E">
        <w:rPr>
          <w:rFonts w:ascii="Times New Roman" w:hAnsi="Times New Roman" w:cs="Times New Roman"/>
          <w:sz w:val="20"/>
          <w:szCs w:val="20"/>
          <w:lang w:val="en-GB"/>
        </w:rPr>
        <w:t>Supplementary Table 4</w:t>
      </w:r>
    </w:p>
    <w:p w14:paraId="202743AB" w14:textId="1D5BC739" w:rsidR="00A5644E" w:rsidRPr="00A5644E" w:rsidRDefault="00A5644E" w:rsidP="00A5644E">
      <w:pPr>
        <w:pStyle w:val="Prrafodelista"/>
        <w:spacing w:line="480" w:lineRule="auto"/>
        <w:rPr>
          <w:rFonts w:ascii="Times New Roman" w:hAnsi="Times New Roman" w:cs="Times New Roman"/>
          <w:sz w:val="20"/>
          <w:szCs w:val="20"/>
          <w:lang w:val="en-GB"/>
        </w:rPr>
      </w:pPr>
    </w:p>
    <w:p w14:paraId="74352AD1" w14:textId="0C86884A" w:rsidR="00A5644E" w:rsidRPr="00A5644E" w:rsidRDefault="00A5644E" w:rsidP="00A5644E">
      <w:pPr>
        <w:pStyle w:val="Prrafodelista"/>
        <w:numPr>
          <w:ilvl w:val="0"/>
          <w:numId w:val="2"/>
        </w:numPr>
        <w:spacing w:line="480" w:lineRule="auto"/>
        <w:rPr>
          <w:rFonts w:ascii="Times New Roman" w:hAnsi="Times New Roman" w:cs="Times New Roman"/>
          <w:sz w:val="20"/>
          <w:szCs w:val="20"/>
          <w:lang w:val="en-GB"/>
        </w:rPr>
      </w:pPr>
      <w:r w:rsidRPr="00A5644E">
        <w:rPr>
          <w:rFonts w:ascii="Times New Roman" w:hAnsi="Times New Roman" w:cs="Times New Roman"/>
          <w:sz w:val="20"/>
          <w:szCs w:val="20"/>
          <w:lang w:val="en-GB"/>
        </w:rPr>
        <w:t xml:space="preserve">“parameter” refers to the name of the resource, in this case, the drug. This should start with a letter, not a number or other character. For </w:t>
      </w:r>
      <w:proofErr w:type="gramStart"/>
      <w:r w:rsidRPr="00A5644E">
        <w:rPr>
          <w:rFonts w:ascii="Times New Roman" w:hAnsi="Times New Roman" w:cs="Times New Roman"/>
          <w:sz w:val="20"/>
          <w:szCs w:val="20"/>
          <w:lang w:val="en-GB"/>
        </w:rPr>
        <w:t>example</w:t>
      </w:r>
      <w:proofErr w:type="gramEnd"/>
      <w:r w:rsidRPr="00A5644E">
        <w:rPr>
          <w:rFonts w:ascii="Times New Roman" w:hAnsi="Times New Roman" w:cs="Times New Roman"/>
          <w:sz w:val="20"/>
          <w:szCs w:val="20"/>
          <w:lang w:val="en-GB"/>
        </w:rPr>
        <w:t xml:space="preserve"> 5-FU would not be valid input</w:t>
      </w:r>
    </w:p>
    <w:p w14:paraId="36B88E36" w14:textId="77777777" w:rsidR="00A5644E" w:rsidRPr="00A5644E" w:rsidRDefault="00A5644E" w:rsidP="00A5644E">
      <w:pPr>
        <w:pStyle w:val="Prrafodelista"/>
        <w:numPr>
          <w:ilvl w:val="0"/>
          <w:numId w:val="2"/>
        </w:numPr>
        <w:spacing w:line="480" w:lineRule="auto"/>
        <w:rPr>
          <w:rFonts w:ascii="Times New Roman" w:hAnsi="Times New Roman" w:cs="Times New Roman"/>
          <w:sz w:val="20"/>
          <w:szCs w:val="20"/>
          <w:lang w:val="en-GB"/>
        </w:rPr>
      </w:pPr>
      <w:r w:rsidRPr="00A5644E">
        <w:rPr>
          <w:rFonts w:ascii="Times New Roman" w:hAnsi="Times New Roman" w:cs="Times New Roman"/>
          <w:sz w:val="20"/>
          <w:szCs w:val="20"/>
          <w:lang w:val="en-GB"/>
        </w:rPr>
        <w:t xml:space="preserve">“value” refers to the price, along with the “low” and “high” range for univariate sensitivity analysis. Although the quantity consumed of the parameter can change over time, the unit price must be </w:t>
      </w:r>
      <w:proofErr w:type="gramStart"/>
      <w:r w:rsidRPr="00A5644E">
        <w:rPr>
          <w:rFonts w:ascii="Times New Roman" w:hAnsi="Times New Roman" w:cs="Times New Roman"/>
          <w:sz w:val="20"/>
          <w:szCs w:val="20"/>
          <w:lang w:val="en-GB"/>
        </w:rPr>
        <w:t>constant</w:t>
      </w:r>
      <w:proofErr w:type="gramEnd"/>
    </w:p>
    <w:p w14:paraId="613471E0" w14:textId="77777777" w:rsidR="00A5644E" w:rsidRPr="00A5644E" w:rsidRDefault="00A5644E" w:rsidP="00A5644E">
      <w:pPr>
        <w:pStyle w:val="Prrafodelista"/>
        <w:numPr>
          <w:ilvl w:val="0"/>
          <w:numId w:val="2"/>
        </w:numPr>
        <w:spacing w:line="480" w:lineRule="auto"/>
        <w:rPr>
          <w:rFonts w:ascii="Times New Roman" w:hAnsi="Times New Roman" w:cs="Times New Roman"/>
          <w:sz w:val="20"/>
          <w:szCs w:val="20"/>
          <w:lang w:val="en-GB"/>
        </w:rPr>
      </w:pPr>
      <w:r w:rsidRPr="00A5644E">
        <w:rPr>
          <w:rFonts w:ascii="Times New Roman" w:hAnsi="Times New Roman" w:cs="Times New Roman"/>
          <w:sz w:val="20"/>
          <w:szCs w:val="20"/>
          <w:lang w:val="en-GB"/>
        </w:rPr>
        <w:t xml:space="preserve">“treatment” refers to the treatment group, which must be coded 1 for the intervention group or 2 for the control </w:t>
      </w:r>
      <w:proofErr w:type="gramStart"/>
      <w:r w:rsidRPr="00A5644E">
        <w:rPr>
          <w:rFonts w:ascii="Times New Roman" w:hAnsi="Times New Roman" w:cs="Times New Roman"/>
          <w:sz w:val="20"/>
          <w:szCs w:val="20"/>
          <w:lang w:val="en-GB"/>
        </w:rPr>
        <w:t>group</w:t>
      </w:r>
      <w:proofErr w:type="gramEnd"/>
    </w:p>
    <w:p w14:paraId="34018A6C" w14:textId="77777777" w:rsidR="00A5644E" w:rsidRPr="00A5644E" w:rsidRDefault="00A5644E" w:rsidP="00A5644E">
      <w:pPr>
        <w:pStyle w:val="Prrafodelista"/>
        <w:numPr>
          <w:ilvl w:val="0"/>
          <w:numId w:val="2"/>
        </w:numPr>
        <w:spacing w:line="480" w:lineRule="auto"/>
        <w:rPr>
          <w:rFonts w:ascii="Times New Roman" w:hAnsi="Times New Roman" w:cs="Times New Roman"/>
          <w:sz w:val="20"/>
          <w:szCs w:val="20"/>
          <w:lang w:val="en-GB"/>
        </w:rPr>
      </w:pPr>
      <w:r w:rsidRPr="00A5644E">
        <w:rPr>
          <w:rFonts w:ascii="Times New Roman" w:hAnsi="Times New Roman" w:cs="Times New Roman"/>
          <w:sz w:val="20"/>
          <w:szCs w:val="20"/>
          <w:lang w:val="en-GB"/>
        </w:rPr>
        <w:t>“state” refers to the model state, which must be coded only using the terms “PROGRESSION_FREE_SURVIVAL” or “POST_TREATMENT_SURVIVAL” (note the underscores)</w:t>
      </w:r>
    </w:p>
    <w:p w14:paraId="3A28283A" w14:textId="77777777" w:rsidR="00A5644E" w:rsidRPr="00A5644E" w:rsidRDefault="00A5644E" w:rsidP="00A5644E">
      <w:pPr>
        <w:pStyle w:val="Prrafodelista"/>
        <w:numPr>
          <w:ilvl w:val="0"/>
          <w:numId w:val="2"/>
        </w:numPr>
        <w:spacing w:line="480" w:lineRule="auto"/>
        <w:rPr>
          <w:rFonts w:ascii="Times New Roman" w:hAnsi="Times New Roman" w:cs="Times New Roman"/>
          <w:sz w:val="20"/>
          <w:szCs w:val="20"/>
          <w:lang w:val="en-GB"/>
        </w:rPr>
      </w:pPr>
      <w:r w:rsidRPr="00A5644E">
        <w:rPr>
          <w:rFonts w:ascii="Times New Roman" w:hAnsi="Times New Roman" w:cs="Times New Roman"/>
          <w:sz w:val="20"/>
          <w:szCs w:val="20"/>
          <w:lang w:val="en-GB"/>
        </w:rPr>
        <w:lastRenderedPageBreak/>
        <w:t>“</w:t>
      </w:r>
      <w:proofErr w:type="spellStart"/>
      <w:proofErr w:type="gramStart"/>
      <w:r w:rsidRPr="00A5644E">
        <w:rPr>
          <w:rFonts w:ascii="Times New Roman" w:hAnsi="Times New Roman" w:cs="Times New Roman"/>
          <w:sz w:val="20"/>
          <w:szCs w:val="20"/>
          <w:lang w:val="en-GB"/>
        </w:rPr>
        <w:t>unit</w:t>
      </w:r>
      <w:proofErr w:type="gramEnd"/>
      <w:r w:rsidRPr="00A5644E">
        <w:rPr>
          <w:rFonts w:ascii="Times New Roman" w:hAnsi="Times New Roman" w:cs="Times New Roman"/>
          <w:sz w:val="20"/>
          <w:szCs w:val="20"/>
          <w:lang w:val="en-GB"/>
        </w:rPr>
        <w:t>_cost</w:t>
      </w:r>
      <w:proofErr w:type="spellEnd"/>
      <w:r w:rsidRPr="00A5644E">
        <w:rPr>
          <w:rFonts w:ascii="Times New Roman" w:hAnsi="Times New Roman" w:cs="Times New Roman"/>
          <w:sz w:val="20"/>
          <w:szCs w:val="20"/>
          <w:lang w:val="en-GB"/>
        </w:rPr>
        <w:t xml:space="preserve">” refers to the number of units administered per time period (days, weeks or months as appropriate). Note that this is a physical quantity, not a monetary </w:t>
      </w:r>
      <w:proofErr w:type="gramStart"/>
      <w:r w:rsidRPr="00A5644E">
        <w:rPr>
          <w:rFonts w:ascii="Times New Roman" w:hAnsi="Times New Roman" w:cs="Times New Roman"/>
          <w:sz w:val="20"/>
          <w:szCs w:val="20"/>
          <w:lang w:val="en-GB"/>
        </w:rPr>
        <w:t>value</w:t>
      </w:r>
      <w:proofErr w:type="gramEnd"/>
    </w:p>
    <w:p w14:paraId="319C0E7D" w14:textId="77777777" w:rsidR="00A5644E" w:rsidRPr="00A5644E" w:rsidRDefault="00A5644E" w:rsidP="00A5644E">
      <w:pPr>
        <w:pStyle w:val="Prrafodelista"/>
        <w:numPr>
          <w:ilvl w:val="0"/>
          <w:numId w:val="2"/>
        </w:numPr>
        <w:spacing w:line="480" w:lineRule="auto"/>
        <w:rPr>
          <w:rFonts w:ascii="Times New Roman" w:hAnsi="Times New Roman" w:cs="Times New Roman"/>
          <w:sz w:val="20"/>
          <w:szCs w:val="20"/>
          <w:lang w:val="en-GB"/>
        </w:rPr>
      </w:pPr>
      <w:r w:rsidRPr="00A5644E">
        <w:rPr>
          <w:rFonts w:ascii="Times New Roman" w:hAnsi="Times New Roman" w:cs="Times New Roman"/>
          <w:sz w:val="20"/>
          <w:szCs w:val="20"/>
          <w:lang w:val="en-GB"/>
        </w:rPr>
        <w:t xml:space="preserve">“calendar” specifies the measurement of time over which the quantity referred to in </w:t>
      </w:r>
      <w:proofErr w:type="spellStart"/>
      <w:r w:rsidRPr="00A5644E">
        <w:rPr>
          <w:rFonts w:ascii="Times New Roman" w:hAnsi="Times New Roman" w:cs="Times New Roman"/>
          <w:sz w:val="20"/>
          <w:szCs w:val="20"/>
          <w:lang w:val="en-GB"/>
        </w:rPr>
        <w:t>unit_cost</w:t>
      </w:r>
      <w:proofErr w:type="spellEnd"/>
      <w:r w:rsidRPr="00A5644E">
        <w:rPr>
          <w:rFonts w:ascii="Times New Roman" w:hAnsi="Times New Roman" w:cs="Times New Roman"/>
          <w:sz w:val="20"/>
          <w:szCs w:val="20"/>
          <w:lang w:val="en-GB"/>
        </w:rPr>
        <w:t xml:space="preserve"> is consumed. It can be coded “days”, “weeks” or “</w:t>
      </w:r>
      <w:proofErr w:type="gramStart"/>
      <w:r w:rsidRPr="00A5644E">
        <w:rPr>
          <w:rFonts w:ascii="Times New Roman" w:hAnsi="Times New Roman" w:cs="Times New Roman"/>
          <w:sz w:val="20"/>
          <w:szCs w:val="20"/>
          <w:lang w:val="en-GB"/>
        </w:rPr>
        <w:t>months”</w:t>
      </w:r>
      <w:proofErr w:type="gramEnd"/>
    </w:p>
    <w:p w14:paraId="4AE4ADF2" w14:textId="77777777" w:rsidR="00A5644E" w:rsidRPr="00A5644E" w:rsidRDefault="00A5644E" w:rsidP="00A5644E">
      <w:pPr>
        <w:pStyle w:val="Prrafodelista"/>
        <w:numPr>
          <w:ilvl w:val="0"/>
          <w:numId w:val="2"/>
        </w:numPr>
        <w:spacing w:line="480" w:lineRule="auto"/>
        <w:rPr>
          <w:rFonts w:ascii="Times New Roman" w:hAnsi="Times New Roman" w:cs="Times New Roman"/>
          <w:sz w:val="20"/>
          <w:szCs w:val="20"/>
          <w:lang w:val="en-GB"/>
        </w:rPr>
      </w:pPr>
      <w:r w:rsidRPr="00A5644E">
        <w:rPr>
          <w:rFonts w:ascii="Times New Roman" w:hAnsi="Times New Roman" w:cs="Times New Roman"/>
          <w:sz w:val="20"/>
          <w:szCs w:val="20"/>
          <w:lang w:val="en-GB"/>
        </w:rPr>
        <w:t xml:space="preserve">“from” and “to” refer to “calendar” time periods since the start of the model when the quantities are </w:t>
      </w:r>
      <w:proofErr w:type="gramStart"/>
      <w:r w:rsidRPr="00A5644E">
        <w:rPr>
          <w:rFonts w:ascii="Times New Roman" w:hAnsi="Times New Roman" w:cs="Times New Roman"/>
          <w:sz w:val="20"/>
          <w:szCs w:val="20"/>
          <w:lang w:val="en-GB"/>
        </w:rPr>
        <w:t>consumed</w:t>
      </w:r>
      <w:proofErr w:type="gramEnd"/>
    </w:p>
    <w:p w14:paraId="41F20344" w14:textId="77777777" w:rsidR="00A5644E" w:rsidRPr="00A5644E" w:rsidRDefault="00A5644E" w:rsidP="00A5644E">
      <w:pPr>
        <w:pStyle w:val="Prrafodelista"/>
        <w:numPr>
          <w:ilvl w:val="0"/>
          <w:numId w:val="2"/>
        </w:numPr>
        <w:spacing w:line="480" w:lineRule="auto"/>
        <w:rPr>
          <w:rFonts w:ascii="Times New Roman" w:hAnsi="Times New Roman" w:cs="Times New Roman"/>
          <w:sz w:val="20"/>
          <w:szCs w:val="20"/>
          <w:lang w:val="en-GB"/>
        </w:rPr>
      </w:pPr>
      <w:r w:rsidRPr="00A5644E">
        <w:rPr>
          <w:rFonts w:ascii="Times New Roman" w:hAnsi="Times New Roman" w:cs="Times New Roman"/>
          <w:sz w:val="20"/>
          <w:szCs w:val="20"/>
          <w:lang w:val="en-GB"/>
        </w:rPr>
        <w:t xml:space="preserve">“by” refers to the frequency of administration, expressed in “calendar” time periods. </w:t>
      </w:r>
    </w:p>
    <w:p w14:paraId="7C74262F" w14:textId="77777777" w:rsidR="00A5644E" w:rsidRPr="00A5644E" w:rsidRDefault="00A5644E" w:rsidP="00A5644E">
      <w:pPr>
        <w:spacing w:line="480" w:lineRule="auto"/>
        <w:rPr>
          <w:rFonts w:ascii="Times New Roman" w:hAnsi="Times New Roman" w:cs="Times New Roman"/>
          <w:sz w:val="20"/>
          <w:szCs w:val="20"/>
          <w:lang w:val="en-GB"/>
        </w:rPr>
      </w:pPr>
      <w:r w:rsidRPr="00A5644E">
        <w:rPr>
          <w:rFonts w:ascii="Times New Roman" w:hAnsi="Times New Roman" w:cs="Times New Roman"/>
          <w:sz w:val="20"/>
          <w:szCs w:val="20"/>
          <w:lang w:val="en-GB"/>
        </w:rPr>
        <w:t>Hence the combination of data in the first row of Supplementary Table 4 (from=1, to=8, by=1) means 1 unit is administered in weeks 1,2,3,4,5,6,7 and 8 (the 1</w:t>
      </w:r>
      <w:r w:rsidRPr="00A5644E">
        <w:rPr>
          <w:rFonts w:ascii="Times New Roman" w:hAnsi="Times New Roman" w:cs="Times New Roman"/>
          <w:sz w:val="20"/>
          <w:szCs w:val="20"/>
          <w:vertAlign w:val="superscript"/>
          <w:lang w:val="en-GB"/>
        </w:rPr>
        <w:t>st</w:t>
      </w:r>
      <w:r w:rsidRPr="00A5644E">
        <w:rPr>
          <w:rFonts w:ascii="Times New Roman" w:hAnsi="Times New Roman" w:cs="Times New Roman"/>
          <w:sz w:val="20"/>
          <w:szCs w:val="20"/>
          <w:lang w:val="en-GB"/>
        </w:rPr>
        <w:t xml:space="preserve"> and 2</w:t>
      </w:r>
      <w:r w:rsidRPr="00A5644E">
        <w:rPr>
          <w:rFonts w:ascii="Times New Roman" w:hAnsi="Times New Roman" w:cs="Times New Roman"/>
          <w:sz w:val="20"/>
          <w:szCs w:val="20"/>
          <w:vertAlign w:val="superscript"/>
          <w:lang w:val="en-GB"/>
        </w:rPr>
        <w:t>nd</w:t>
      </w:r>
      <w:r w:rsidRPr="00A5644E">
        <w:rPr>
          <w:rFonts w:ascii="Times New Roman" w:hAnsi="Times New Roman" w:cs="Times New Roman"/>
          <w:sz w:val="20"/>
          <w:szCs w:val="20"/>
          <w:lang w:val="en-GB"/>
        </w:rPr>
        <w:t xml:space="preserve"> treatment cycles). The data in the second row of Supplementary Table 4 (from=10, to=24, by=2) means 1 unit is administered in week 10,12,14,16,18,20,22 and 24 (the 3</w:t>
      </w:r>
      <w:r w:rsidRPr="00A5644E">
        <w:rPr>
          <w:rFonts w:ascii="Times New Roman" w:hAnsi="Times New Roman" w:cs="Times New Roman"/>
          <w:sz w:val="20"/>
          <w:szCs w:val="20"/>
          <w:vertAlign w:val="superscript"/>
          <w:lang w:val="en-GB"/>
        </w:rPr>
        <w:t>rd</w:t>
      </w:r>
      <w:r w:rsidRPr="00A5644E">
        <w:rPr>
          <w:rFonts w:ascii="Times New Roman" w:hAnsi="Times New Roman" w:cs="Times New Roman"/>
          <w:sz w:val="20"/>
          <w:szCs w:val="20"/>
          <w:lang w:val="en-GB"/>
        </w:rPr>
        <w:t xml:space="preserve"> to the 6</w:t>
      </w:r>
      <w:r w:rsidRPr="00A5644E">
        <w:rPr>
          <w:rFonts w:ascii="Times New Roman" w:hAnsi="Times New Roman" w:cs="Times New Roman"/>
          <w:sz w:val="20"/>
          <w:szCs w:val="20"/>
          <w:vertAlign w:val="superscript"/>
          <w:lang w:val="en-GB"/>
        </w:rPr>
        <w:t>th</w:t>
      </w:r>
      <w:r w:rsidRPr="00A5644E">
        <w:rPr>
          <w:rFonts w:ascii="Times New Roman" w:hAnsi="Times New Roman" w:cs="Times New Roman"/>
          <w:sz w:val="20"/>
          <w:szCs w:val="20"/>
          <w:lang w:val="en-GB"/>
        </w:rPr>
        <w:t xml:space="preserve"> treatment cycle). The combination in the third row of Table 4 (from=28, to=96, by=4) means 1 unit is administered in week 28,32,36 etc. up to week 96 (the 7</w:t>
      </w:r>
      <w:r w:rsidRPr="00A5644E">
        <w:rPr>
          <w:rFonts w:ascii="Times New Roman" w:hAnsi="Times New Roman" w:cs="Times New Roman"/>
          <w:sz w:val="20"/>
          <w:szCs w:val="20"/>
          <w:vertAlign w:val="superscript"/>
          <w:lang w:val="en-GB"/>
        </w:rPr>
        <w:t>th</w:t>
      </w:r>
      <w:r w:rsidRPr="00A5644E">
        <w:rPr>
          <w:rFonts w:ascii="Times New Roman" w:hAnsi="Times New Roman" w:cs="Times New Roman"/>
          <w:sz w:val="20"/>
          <w:szCs w:val="20"/>
          <w:lang w:val="en-GB"/>
        </w:rPr>
        <w:t xml:space="preserve"> to the 24</w:t>
      </w:r>
      <w:r w:rsidRPr="00A5644E">
        <w:rPr>
          <w:rFonts w:ascii="Times New Roman" w:hAnsi="Times New Roman" w:cs="Times New Roman"/>
          <w:sz w:val="20"/>
          <w:szCs w:val="20"/>
          <w:vertAlign w:val="superscript"/>
          <w:lang w:val="en-GB"/>
        </w:rPr>
        <w:t>th</w:t>
      </w:r>
      <w:r w:rsidRPr="00A5644E">
        <w:rPr>
          <w:rFonts w:ascii="Times New Roman" w:hAnsi="Times New Roman" w:cs="Times New Roman"/>
          <w:sz w:val="20"/>
          <w:szCs w:val="20"/>
          <w:lang w:val="en-GB"/>
        </w:rPr>
        <w:t xml:space="preserve"> treatment cycle)</w:t>
      </w:r>
    </w:p>
    <w:p w14:paraId="0EE9DB27" w14:textId="77777777" w:rsidR="00A5644E" w:rsidRPr="00A5644E" w:rsidRDefault="00A5644E" w:rsidP="00A5644E">
      <w:pPr>
        <w:spacing w:line="480" w:lineRule="auto"/>
        <w:rPr>
          <w:rFonts w:ascii="Times New Roman" w:hAnsi="Times New Roman" w:cs="Times New Roman"/>
          <w:sz w:val="20"/>
          <w:szCs w:val="20"/>
          <w:lang w:val="en-GB"/>
        </w:rPr>
      </w:pPr>
      <w:r w:rsidRPr="00A5644E">
        <w:rPr>
          <w:rFonts w:ascii="Times New Roman" w:hAnsi="Times New Roman" w:cs="Times New Roman"/>
          <w:sz w:val="20"/>
          <w:szCs w:val="20"/>
          <w:lang w:val="en-GB"/>
        </w:rPr>
        <w:t xml:space="preserve">The data input template assumes that the resource is administered on the first day of the specified period. If the patient ceases to be in the PFS state in the model, the consumption of all resources associated with that state automatically discontinues. In the example given, daratumumab is given for a maximum of 96 weeks. In cases where the drug is administered until progression with no other time limit, then the final cell of the series in the “to” field should be left blank. The calendar variable must be the same in each line for a given parameter </w:t>
      </w:r>
      <w:proofErr w:type="gramStart"/>
      <w:r w:rsidRPr="00A5644E">
        <w:rPr>
          <w:rFonts w:ascii="Times New Roman" w:hAnsi="Times New Roman" w:cs="Times New Roman"/>
          <w:sz w:val="20"/>
          <w:szCs w:val="20"/>
          <w:lang w:val="en-GB"/>
        </w:rPr>
        <w:t>in a given</w:t>
      </w:r>
      <w:proofErr w:type="gramEnd"/>
      <w:r w:rsidRPr="00A5644E">
        <w:rPr>
          <w:rFonts w:ascii="Times New Roman" w:hAnsi="Times New Roman" w:cs="Times New Roman"/>
          <w:sz w:val="20"/>
          <w:szCs w:val="20"/>
          <w:lang w:val="en-GB"/>
        </w:rPr>
        <w:t xml:space="preserve"> state (but different resources can have different “calendars” of administration). Consumption can vary over time in the PFS state, as shown in Supplementary Table 4. </w:t>
      </w:r>
    </w:p>
    <w:p w14:paraId="3C89273B" w14:textId="77777777" w:rsidR="00A5644E" w:rsidRPr="00A5644E" w:rsidRDefault="00A5644E" w:rsidP="00A5644E">
      <w:pPr>
        <w:spacing w:line="480" w:lineRule="auto"/>
        <w:rPr>
          <w:rFonts w:ascii="Times New Roman" w:hAnsi="Times New Roman" w:cs="Times New Roman"/>
          <w:sz w:val="20"/>
          <w:szCs w:val="20"/>
          <w:lang w:val="en-GB"/>
        </w:rPr>
      </w:pPr>
      <w:r w:rsidRPr="00A5644E">
        <w:rPr>
          <w:rFonts w:ascii="Times New Roman" w:hAnsi="Times New Roman" w:cs="Times New Roman"/>
          <w:sz w:val="20"/>
          <w:szCs w:val="20"/>
          <w:lang w:val="en-GB"/>
        </w:rPr>
        <w:t xml:space="preserve">After progression (“POST_TREATMENT_SURVIVAL”), the frequency of use of each resource must be constant. Hence the “from” and “to” fields should be left blank (although the “by” field could be used). Like Markov models, PSM do not record when progression occurs, and so cannot keep track of time in the post progression state. </w:t>
      </w:r>
    </w:p>
    <w:p w14:paraId="070F85E1" w14:textId="77777777" w:rsidR="00603474" w:rsidRPr="00A5644E" w:rsidRDefault="00000000">
      <w:pPr>
        <w:rPr>
          <w:rFonts w:ascii="Times New Roman" w:hAnsi="Times New Roman" w:cs="Times New Roman"/>
          <w:sz w:val="20"/>
          <w:szCs w:val="20"/>
          <w:lang w:val="en-GB"/>
        </w:rPr>
      </w:pPr>
    </w:p>
    <w:sectPr w:rsidR="00603474" w:rsidRPr="00A5644E" w:rsidSect="006C1169">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C2734"/>
    <w:multiLevelType w:val="hybridMultilevel"/>
    <w:tmpl w:val="50C4D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5667F0"/>
    <w:multiLevelType w:val="hybridMultilevel"/>
    <w:tmpl w:val="1BBC85B2"/>
    <w:lvl w:ilvl="0" w:tplc="AFF03C84">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14164596">
    <w:abstractNumId w:val="1"/>
  </w:num>
  <w:num w:numId="2" w16cid:durableId="101457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196"/>
    <w:rsid w:val="000B2D0E"/>
    <w:rsid w:val="001964AA"/>
    <w:rsid w:val="00344C83"/>
    <w:rsid w:val="004C1BC8"/>
    <w:rsid w:val="006C1169"/>
    <w:rsid w:val="007C7737"/>
    <w:rsid w:val="00845DCA"/>
    <w:rsid w:val="009972AA"/>
    <w:rsid w:val="00A5644E"/>
    <w:rsid w:val="00B60C66"/>
    <w:rsid w:val="00C31AB7"/>
    <w:rsid w:val="00DD65C2"/>
    <w:rsid w:val="00E03196"/>
    <w:rsid w:val="00E64F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65352"/>
  <w15:chartTrackingRefBased/>
  <w15:docId w15:val="{AABFBA6C-A2DC-4013-B4E3-582BE15C2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19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31A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548</Words>
  <Characters>3020</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MINISTERIO DE SANIDAD, CONSUMO Y BIENESTAR SOCIAL</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Epstein. David Mark</dc:creator>
  <cp:keywords/>
  <dc:description/>
  <cp:lastModifiedBy>DAVID MARK EPSTEIN</cp:lastModifiedBy>
  <cp:revision>12</cp:revision>
  <dcterms:created xsi:type="dcterms:W3CDTF">2022-10-24T10:56:00Z</dcterms:created>
  <dcterms:modified xsi:type="dcterms:W3CDTF">2023-01-30T11:37:00Z</dcterms:modified>
</cp:coreProperties>
</file>