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02396F" w14:textId="15C2455F" w:rsidR="008738F1" w:rsidRPr="00A60589" w:rsidRDefault="00496897" w:rsidP="00A60589">
      <w:pPr>
        <w:spacing w:line="360" w:lineRule="auto"/>
        <w:jc w:val="center"/>
        <w:rPr>
          <w:rFonts w:ascii="Times New Roman" w:hAnsi="Times New Roman" w:cs="Times New Roman"/>
          <w:b/>
          <w:bCs/>
          <w:sz w:val="24"/>
          <w:szCs w:val="24"/>
        </w:rPr>
      </w:pPr>
      <w:r w:rsidRPr="00A60589">
        <w:rPr>
          <w:rFonts w:ascii="Times New Roman" w:hAnsi="Times New Roman" w:cs="Times New Roman"/>
          <w:b/>
          <w:bCs/>
          <w:sz w:val="24"/>
          <w:szCs w:val="24"/>
        </w:rPr>
        <w:t>The Target Atlas for Antibody–Drug Conjugates across Solid Cancers</w:t>
      </w:r>
    </w:p>
    <w:p w14:paraId="7AF43294" w14:textId="6878F9A5" w:rsidR="00984B38" w:rsidRDefault="00984B38" w:rsidP="00EE1307">
      <w:pPr>
        <w:spacing w:line="360" w:lineRule="auto"/>
        <w:rPr>
          <w:rFonts w:ascii="Times New Roman" w:hAnsi="Times New Roman" w:cs="Times New Roman"/>
          <w:b/>
          <w:bCs/>
          <w:sz w:val="24"/>
          <w:szCs w:val="24"/>
        </w:rPr>
      </w:pPr>
      <w:r w:rsidRPr="00EF2DEC">
        <w:rPr>
          <w:rFonts w:ascii="Times New Roman" w:hAnsi="Times New Roman" w:cs="Times New Roman"/>
          <w:b/>
          <w:bCs/>
          <w:sz w:val="24"/>
          <w:szCs w:val="24"/>
        </w:rPr>
        <w:t>Supplementary Figure</w:t>
      </w:r>
      <w:r>
        <w:rPr>
          <w:rFonts w:ascii="Times New Roman" w:hAnsi="Times New Roman" w:cs="Times New Roman"/>
          <w:b/>
          <w:bCs/>
          <w:sz w:val="24"/>
          <w:szCs w:val="24"/>
        </w:rPr>
        <w:t>s:</w:t>
      </w:r>
    </w:p>
    <w:p w14:paraId="6E27DFD9" w14:textId="6507E54A" w:rsidR="00496897" w:rsidRPr="00F266DF" w:rsidRDefault="00F266DF" w:rsidP="00EE1307">
      <w:pPr>
        <w:spacing w:line="360" w:lineRule="auto"/>
        <w:rPr>
          <w:rFonts w:ascii="Times New Roman" w:hAnsi="Times New Roman" w:cs="Times New Roman"/>
          <w:sz w:val="24"/>
          <w:szCs w:val="24"/>
        </w:rPr>
      </w:pPr>
      <w:r w:rsidRPr="00EF2DEC">
        <w:rPr>
          <w:rFonts w:ascii="Times New Roman" w:hAnsi="Times New Roman" w:cs="Times New Roman"/>
          <w:b/>
          <w:bCs/>
          <w:sz w:val="24"/>
          <w:szCs w:val="24"/>
        </w:rPr>
        <w:t>Supplementary Figure 1.</w:t>
      </w:r>
      <w:r w:rsidRPr="00F266DF">
        <w:rPr>
          <w:rFonts w:ascii="Times New Roman" w:hAnsi="Times New Roman" w:cs="Times New Roman"/>
          <w:sz w:val="24"/>
          <w:szCs w:val="24"/>
        </w:rPr>
        <w:t xml:space="preserve"> Heterogeneous expression of CDH3 in ESCA of different pathologic stages or TNM classifications.</w:t>
      </w:r>
    </w:p>
    <w:p w14:paraId="686AC5ED" w14:textId="01041F71" w:rsidR="00F266DF" w:rsidRPr="00F266DF" w:rsidRDefault="00F266DF" w:rsidP="00EE1307">
      <w:pPr>
        <w:spacing w:line="360" w:lineRule="auto"/>
        <w:rPr>
          <w:rFonts w:ascii="Times New Roman" w:hAnsi="Times New Roman" w:cs="Times New Roman"/>
          <w:sz w:val="24"/>
          <w:szCs w:val="24"/>
        </w:rPr>
      </w:pPr>
      <w:r w:rsidRPr="00EF2DEC">
        <w:rPr>
          <w:rFonts w:ascii="Times New Roman" w:hAnsi="Times New Roman" w:cs="Times New Roman"/>
          <w:b/>
          <w:bCs/>
          <w:sz w:val="24"/>
          <w:szCs w:val="24"/>
        </w:rPr>
        <w:t>Supplementary Figure 2.</w:t>
      </w:r>
      <w:r w:rsidRPr="00F266DF">
        <w:rPr>
          <w:rFonts w:ascii="Times New Roman" w:hAnsi="Times New Roman" w:cs="Times New Roman"/>
          <w:sz w:val="24"/>
          <w:szCs w:val="24"/>
        </w:rPr>
        <w:t xml:space="preserve"> Heterogeneous expression of APOLD1 in KIRC of different pathologic stages or TNM classifications.</w:t>
      </w:r>
    </w:p>
    <w:p w14:paraId="6726E145" w14:textId="77777777" w:rsidR="00F266DF" w:rsidRPr="00F266DF" w:rsidRDefault="00F266DF"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 xml:space="preserve">Supplementary Figure 3. </w:t>
      </w:r>
      <w:r w:rsidRPr="00F266DF">
        <w:rPr>
          <w:rFonts w:ascii="Times New Roman" w:hAnsi="Times New Roman" w:cs="Times New Roman"/>
          <w:sz w:val="24"/>
          <w:szCs w:val="24"/>
        </w:rPr>
        <w:t>Heterogeneous expression of ST14 in KIRP of different pathologic stages or TNM classifications.</w:t>
      </w:r>
    </w:p>
    <w:p w14:paraId="58E22BAE" w14:textId="77777777" w:rsidR="00F266DF" w:rsidRPr="00F266DF" w:rsidRDefault="00F266DF"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Supplementary Figure 4.</w:t>
      </w:r>
      <w:r w:rsidRPr="00F266DF">
        <w:rPr>
          <w:rFonts w:ascii="Times New Roman" w:hAnsi="Times New Roman" w:cs="Times New Roman"/>
          <w:sz w:val="24"/>
          <w:szCs w:val="24"/>
        </w:rPr>
        <w:t xml:space="preserve"> Heterogeneous expression of MET in THCA of different pathologic stages or TNM classifications. </w:t>
      </w:r>
    </w:p>
    <w:p w14:paraId="1DAAED84" w14:textId="77777777" w:rsidR="00F266DF" w:rsidRPr="00F266DF" w:rsidRDefault="00F266DF"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Supplementary Figure 5.</w:t>
      </w:r>
      <w:r w:rsidRPr="00F266DF">
        <w:rPr>
          <w:rFonts w:ascii="Times New Roman" w:hAnsi="Times New Roman" w:cs="Times New Roman"/>
          <w:sz w:val="24"/>
          <w:szCs w:val="24"/>
        </w:rPr>
        <w:t xml:space="preserve"> Heterogeneous expression of TACSTD2 in THCA of different pathologic stages or TNM classifications. </w:t>
      </w:r>
    </w:p>
    <w:p w14:paraId="3A4781AE" w14:textId="77777777" w:rsidR="00F266DF" w:rsidRPr="00F266DF" w:rsidRDefault="00F266DF"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 xml:space="preserve">Supplementary Figure 6. </w:t>
      </w:r>
      <w:r w:rsidRPr="00F266DF">
        <w:rPr>
          <w:rFonts w:ascii="Times New Roman" w:hAnsi="Times New Roman" w:cs="Times New Roman"/>
          <w:sz w:val="24"/>
          <w:szCs w:val="24"/>
        </w:rPr>
        <w:t xml:space="preserve">Implication of CNV events in EGFR protein level among solid cancers. </w:t>
      </w:r>
    </w:p>
    <w:p w14:paraId="1A7ADC76" w14:textId="1659740A" w:rsidR="00EF2DEC" w:rsidRDefault="00F266DF"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 xml:space="preserve">Supplementary Figure 7. </w:t>
      </w:r>
      <w:r w:rsidR="002821DC" w:rsidRPr="002821DC">
        <w:rPr>
          <w:rFonts w:ascii="Times New Roman" w:hAnsi="Times New Roman" w:cs="Times New Roman"/>
          <w:sz w:val="24"/>
          <w:szCs w:val="24"/>
        </w:rPr>
        <w:t>The c</w:t>
      </w:r>
      <w:r w:rsidRPr="00F266DF">
        <w:rPr>
          <w:rFonts w:ascii="Times New Roman" w:hAnsi="Times New Roman" w:cs="Times New Roman"/>
          <w:sz w:val="24"/>
          <w:szCs w:val="24"/>
        </w:rPr>
        <w:t>urated RTK/RAS/MAP-Kinase signaling pathway.</w:t>
      </w:r>
    </w:p>
    <w:p w14:paraId="15E8E0B1" w14:textId="06CFAEA3" w:rsidR="00EF2DEC" w:rsidRDefault="00EF2DEC" w:rsidP="00EE1307">
      <w:pPr>
        <w:widowControl/>
        <w:spacing w:line="360" w:lineRule="auto"/>
        <w:jc w:val="left"/>
        <w:rPr>
          <w:rFonts w:ascii="Times New Roman" w:hAnsi="Times New Roman" w:cs="Times New Roman"/>
          <w:sz w:val="24"/>
          <w:szCs w:val="24"/>
        </w:rPr>
      </w:pPr>
      <w:r w:rsidRPr="00EF2DEC">
        <w:rPr>
          <w:rFonts w:ascii="Times New Roman" w:hAnsi="Times New Roman" w:cs="Times New Roman"/>
          <w:b/>
          <w:bCs/>
          <w:sz w:val="24"/>
          <w:szCs w:val="24"/>
        </w:rPr>
        <w:t>Supplementary Table 1.</w:t>
      </w:r>
      <w:r>
        <w:rPr>
          <w:rFonts w:ascii="Times New Roman" w:hAnsi="Times New Roman" w:cs="Times New Roman"/>
          <w:sz w:val="24"/>
          <w:szCs w:val="24"/>
        </w:rPr>
        <w:t xml:space="preserve"> </w:t>
      </w:r>
      <w:r w:rsidR="008D038B" w:rsidRPr="008D038B">
        <w:rPr>
          <w:rFonts w:ascii="Times New Roman" w:hAnsi="Times New Roman" w:cs="Times New Roman"/>
          <w:sz w:val="24"/>
          <w:szCs w:val="24"/>
        </w:rPr>
        <w:t>Fifteen ADCs that received marketing authorization for the treatment of hematologic malignancies and solid cancers</w:t>
      </w:r>
      <w:r w:rsidRPr="00EF2DEC">
        <w:rPr>
          <w:rFonts w:ascii="Times New Roman" w:hAnsi="Times New Roman" w:cs="Times New Roman"/>
          <w:sz w:val="24"/>
          <w:szCs w:val="24"/>
        </w:rPr>
        <w:t>.</w:t>
      </w:r>
    </w:p>
    <w:p w14:paraId="5B7CF6E0" w14:textId="1D855CD5" w:rsidR="00A60589" w:rsidRDefault="00A60589" w:rsidP="00EE1307">
      <w:pPr>
        <w:widowControl/>
        <w:spacing w:line="360" w:lineRule="auto"/>
        <w:jc w:val="left"/>
        <w:rPr>
          <w:rFonts w:ascii="Times New Roman" w:hAnsi="Times New Roman" w:cs="Times New Roman"/>
          <w:sz w:val="24"/>
          <w:szCs w:val="24"/>
        </w:rPr>
      </w:pPr>
      <w:r w:rsidRPr="00984B38">
        <w:rPr>
          <w:rFonts w:ascii="Times New Roman" w:hAnsi="Times New Roman" w:cs="Times New Roman"/>
          <w:b/>
          <w:bCs/>
          <w:sz w:val="24"/>
          <w:szCs w:val="24"/>
        </w:rPr>
        <w:t>Supplementary Table 2</w:t>
      </w:r>
      <w:r w:rsidRPr="00A60589">
        <w:rPr>
          <w:rFonts w:ascii="Times New Roman" w:hAnsi="Times New Roman" w:cs="Times New Roman"/>
          <w:sz w:val="24"/>
          <w:szCs w:val="24"/>
        </w:rPr>
        <w:t xml:space="preserve">. </w:t>
      </w:r>
      <w:r w:rsidR="008D038B" w:rsidRPr="008D038B">
        <w:rPr>
          <w:rFonts w:ascii="Times New Roman" w:hAnsi="Times New Roman" w:cs="Times New Roman"/>
          <w:sz w:val="24"/>
          <w:szCs w:val="24"/>
        </w:rPr>
        <w:t>Detailed information of 760 interventional clinical trials registered in ClinicalTrials.gov.</w:t>
      </w:r>
    </w:p>
    <w:p w14:paraId="1C3F00D3" w14:textId="32E904B6" w:rsidR="00984B38" w:rsidRDefault="00984B38" w:rsidP="00EE1307">
      <w:pPr>
        <w:widowControl/>
        <w:spacing w:line="360" w:lineRule="auto"/>
        <w:jc w:val="left"/>
        <w:rPr>
          <w:rFonts w:ascii="Times New Roman" w:hAnsi="Times New Roman" w:cs="Times New Roman"/>
          <w:sz w:val="24"/>
          <w:szCs w:val="24"/>
        </w:rPr>
      </w:pPr>
      <w:r w:rsidRPr="00984B38">
        <w:rPr>
          <w:rFonts w:ascii="Times New Roman" w:hAnsi="Times New Roman" w:cs="Times New Roman"/>
          <w:b/>
          <w:bCs/>
          <w:sz w:val="24"/>
          <w:szCs w:val="24"/>
        </w:rPr>
        <w:t>Supplementary Table 3</w:t>
      </w:r>
      <w:r w:rsidRPr="00984B38">
        <w:rPr>
          <w:rFonts w:ascii="Times New Roman" w:hAnsi="Times New Roman" w:cs="Times New Roman"/>
          <w:sz w:val="24"/>
          <w:szCs w:val="24"/>
        </w:rPr>
        <w:t xml:space="preserve">. </w:t>
      </w:r>
      <w:r w:rsidR="008D038B" w:rsidRPr="008D038B">
        <w:rPr>
          <w:rFonts w:ascii="Times New Roman" w:hAnsi="Times New Roman" w:cs="Times New Roman"/>
          <w:sz w:val="24"/>
          <w:szCs w:val="24"/>
        </w:rPr>
        <w:t>90 potentially therapeutic surface membrane proteins and their 243 target-indication combinations.</w:t>
      </w:r>
    </w:p>
    <w:p w14:paraId="043A2D85" w14:textId="6BC55C54" w:rsidR="00984B38" w:rsidRDefault="007B43EB" w:rsidP="00EE1307">
      <w:pPr>
        <w:widowControl/>
        <w:spacing w:line="360" w:lineRule="auto"/>
        <w:jc w:val="left"/>
        <w:rPr>
          <w:rFonts w:ascii="Times New Roman" w:hAnsi="Times New Roman" w:cs="Times New Roman"/>
          <w:sz w:val="24"/>
          <w:szCs w:val="24"/>
        </w:rPr>
      </w:pPr>
      <w:r w:rsidRPr="007B43EB">
        <w:rPr>
          <w:rFonts w:ascii="Times New Roman" w:hAnsi="Times New Roman" w:cs="Times New Roman"/>
          <w:b/>
          <w:bCs/>
          <w:sz w:val="24"/>
          <w:szCs w:val="24"/>
        </w:rPr>
        <w:t>Supplementary Table 4</w:t>
      </w:r>
      <w:r w:rsidRPr="007B43EB">
        <w:rPr>
          <w:rFonts w:ascii="Times New Roman" w:hAnsi="Times New Roman" w:cs="Times New Roman"/>
          <w:sz w:val="24"/>
          <w:szCs w:val="24"/>
        </w:rPr>
        <w:t>.</w:t>
      </w:r>
      <w:r w:rsidR="0028619C" w:rsidRPr="0028619C">
        <w:rPr>
          <w:rFonts w:ascii="Times New Roman" w:hAnsi="Times New Roman" w:cs="Times New Roman"/>
          <w:b/>
          <w:sz w:val="22"/>
        </w:rPr>
        <w:t xml:space="preserve"> </w:t>
      </w:r>
      <w:r w:rsidR="008D038B" w:rsidRPr="008D038B">
        <w:rPr>
          <w:rFonts w:ascii="Times New Roman" w:hAnsi="Times New Roman" w:cs="Times New Roman"/>
          <w:sz w:val="24"/>
          <w:szCs w:val="24"/>
        </w:rPr>
        <w:t>75 target antigens with features potentially suitable for ADC targeting among 19 types of solid cancer.</w:t>
      </w:r>
    </w:p>
    <w:p w14:paraId="6A96496A" w14:textId="2F65E256" w:rsidR="007B43EB" w:rsidRDefault="0028619C" w:rsidP="00EE1307">
      <w:pPr>
        <w:widowControl/>
        <w:spacing w:line="360" w:lineRule="auto"/>
        <w:jc w:val="left"/>
        <w:rPr>
          <w:rFonts w:ascii="Times New Roman" w:hAnsi="Times New Roman" w:cs="Times New Roman"/>
          <w:sz w:val="24"/>
          <w:szCs w:val="24"/>
        </w:rPr>
      </w:pPr>
      <w:r w:rsidRPr="0028619C">
        <w:rPr>
          <w:rFonts w:ascii="Times New Roman" w:hAnsi="Times New Roman" w:cs="Times New Roman"/>
          <w:b/>
          <w:bCs/>
          <w:sz w:val="24"/>
          <w:szCs w:val="24"/>
        </w:rPr>
        <w:t>Supplementary Table 5</w:t>
      </w:r>
      <w:r w:rsidRPr="0028619C">
        <w:rPr>
          <w:rFonts w:ascii="Times New Roman" w:hAnsi="Times New Roman" w:cs="Times New Roman"/>
          <w:sz w:val="24"/>
          <w:szCs w:val="24"/>
        </w:rPr>
        <w:t xml:space="preserve">. </w:t>
      </w:r>
      <w:r w:rsidR="008D038B" w:rsidRPr="008D038B">
        <w:rPr>
          <w:rFonts w:ascii="Times New Roman" w:hAnsi="Times New Roman" w:cs="Times New Roman"/>
          <w:sz w:val="24"/>
          <w:szCs w:val="24"/>
        </w:rPr>
        <w:t>Heterogeneous expression patterns of target antigens in their paired indications</w:t>
      </w:r>
      <w:r w:rsidRPr="0028619C">
        <w:rPr>
          <w:rFonts w:ascii="Times New Roman" w:hAnsi="Times New Roman" w:cs="Times New Roman"/>
          <w:sz w:val="24"/>
          <w:szCs w:val="24"/>
        </w:rPr>
        <w:t>.</w:t>
      </w:r>
    </w:p>
    <w:p w14:paraId="7927106B" w14:textId="4BA721E3" w:rsidR="005C2AFC" w:rsidRDefault="005C2AFC" w:rsidP="00EE1307">
      <w:pPr>
        <w:widowControl/>
        <w:spacing w:line="360" w:lineRule="auto"/>
        <w:jc w:val="left"/>
        <w:rPr>
          <w:rFonts w:ascii="Times New Roman" w:hAnsi="Times New Roman" w:cs="Times New Roman"/>
          <w:sz w:val="24"/>
          <w:szCs w:val="24"/>
        </w:rPr>
      </w:pPr>
      <w:r w:rsidRPr="005C2AFC">
        <w:rPr>
          <w:rFonts w:ascii="Times New Roman" w:hAnsi="Times New Roman" w:cs="Times New Roman"/>
          <w:b/>
          <w:bCs/>
          <w:sz w:val="24"/>
          <w:szCs w:val="24"/>
        </w:rPr>
        <w:t>Supplementary Table 6</w:t>
      </w:r>
      <w:r w:rsidRPr="005C2AFC">
        <w:rPr>
          <w:rFonts w:ascii="Times New Roman" w:hAnsi="Times New Roman" w:cs="Times New Roman"/>
          <w:sz w:val="24"/>
          <w:szCs w:val="24"/>
        </w:rPr>
        <w:t xml:space="preserve">. </w:t>
      </w:r>
      <w:r w:rsidR="008D038B" w:rsidRPr="008D038B">
        <w:rPr>
          <w:rFonts w:ascii="Times New Roman" w:hAnsi="Times New Roman" w:cs="Times New Roman"/>
          <w:sz w:val="24"/>
          <w:szCs w:val="24"/>
        </w:rPr>
        <w:t>Predicted protein overexpression rates of targets across 22 tumour (sub)types based on regular mRNA data</w:t>
      </w:r>
      <w:r w:rsidRPr="005C2AFC">
        <w:rPr>
          <w:rFonts w:ascii="Times New Roman" w:hAnsi="Times New Roman" w:cs="Times New Roman"/>
          <w:sz w:val="24"/>
          <w:szCs w:val="24"/>
        </w:rPr>
        <w:t>.</w:t>
      </w:r>
    </w:p>
    <w:p w14:paraId="21882B97" w14:textId="251899F0" w:rsidR="008D038B" w:rsidRPr="005C2AFC" w:rsidRDefault="008D038B" w:rsidP="00EE1307">
      <w:pPr>
        <w:widowControl/>
        <w:spacing w:line="360" w:lineRule="auto"/>
        <w:jc w:val="left"/>
        <w:rPr>
          <w:rFonts w:ascii="Times New Roman" w:hAnsi="Times New Roman" w:cs="Times New Roman"/>
          <w:sz w:val="24"/>
          <w:szCs w:val="24"/>
        </w:rPr>
      </w:pPr>
      <w:r w:rsidRPr="008D038B">
        <w:rPr>
          <w:rFonts w:ascii="Times New Roman" w:hAnsi="Times New Roman" w:cs="Times New Roman"/>
          <w:b/>
          <w:bCs/>
          <w:sz w:val="24"/>
          <w:szCs w:val="24"/>
        </w:rPr>
        <w:t>Supplementary Table 7</w:t>
      </w:r>
      <w:r w:rsidRPr="008D038B">
        <w:rPr>
          <w:rFonts w:ascii="Times New Roman" w:hAnsi="Times New Roman" w:cs="Times New Roman"/>
          <w:sz w:val="24"/>
          <w:szCs w:val="24"/>
        </w:rPr>
        <w:t>. Combinatorial scoring of 243 target-indication</w:t>
      </w:r>
      <w:r>
        <w:rPr>
          <w:rFonts w:ascii="Times New Roman" w:hAnsi="Times New Roman" w:cs="Times New Roman"/>
          <w:sz w:val="24"/>
          <w:szCs w:val="24"/>
        </w:rPr>
        <w:t xml:space="preserve"> </w:t>
      </w:r>
      <w:r w:rsidRPr="008D038B">
        <w:rPr>
          <w:rFonts w:ascii="Times New Roman" w:hAnsi="Times New Roman" w:cs="Times New Roman"/>
          <w:sz w:val="24"/>
          <w:szCs w:val="24"/>
        </w:rPr>
        <w:t>combinations.</w:t>
      </w:r>
    </w:p>
    <w:p w14:paraId="6A409400" w14:textId="6082D316" w:rsidR="00496897" w:rsidRPr="00F266DF" w:rsidRDefault="00496897" w:rsidP="00EF2DEC">
      <w:pPr>
        <w:widowControl/>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5DD22998" w14:textId="07F13213" w:rsidR="00496897" w:rsidRPr="00F266DF" w:rsidRDefault="00556CEA" w:rsidP="00E360B5">
      <w:pPr>
        <w:spacing w:line="360" w:lineRule="auto"/>
        <w:jc w:val="center"/>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481B8659" wp14:editId="32A4B28F">
            <wp:extent cx="2880995" cy="55384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80995" cy="5538470"/>
                    </a:xfrm>
                    <a:prstGeom prst="rect">
                      <a:avLst/>
                    </a:prstGeom>
                    <a:noFill/>
                    <a:ln>
                      <a:noFill/>
                    </a:ln>
                  </pic:spPr>
                </pic:pic>
              </a:graphicData>
            </a:graphic>
          </wp:inline>
        </w:drawing>
      </w:r>
    </w:p>
    <w:p w14:paraId="4B1AC7E0" w14:textId="705DA124" w:rsidR="00092AC5" w:rsidRPr="00F266DF" w:rsidRDefault="00092AC5"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1. Heterogeneous expression of CDH3 in ESCA of different pathologic stages or TNM classifications.</w:t>
      </w:r>
      <w:r w:rsidRPr="00F266DF">
        <w:rPr>
          <w:rFonts w:ascii="Times New Roman" w:hAnsi="Times New Roman" w:cs="Times New Roman"/>
          <w:sz w:val="24"/>
          <w:szCs w:val="24"/>
        </w:rPr>
        <w:t xml:space="preserve"> The X axis represents the pathologic stages or TNM classifications, and the </w:t>
      </w:r>
      <w:r w:rsidR="0052354D">
        <w:rPr>
          <w:rFonts w:ascii="Times New Roman" w:hAnsi="Times New Roman" w:cs="Times New Roman" w:hint="eastAsia"/>
          <w:sz w:val="24"/>
          <w:szCs w:val="24"/>
        </w:rPr>
        <w:t>Y</w:t>
      </w:r>
      <w:r w:rsidRPr="00F266DF">
        <w:rPr>
          <w:rFonts w:ascii="Times New Roman" w:hAnsi="Times New Roman" w:cs="Times New Roman"/>
          <w:sz w:val="24"/>
          <w:szCs w:val="24"/>
        </w:rPr>
        <w:t xml:space="preserve"> axis represents the gene expression (TPM). Non-parametric Kruskal–Wallis one-way ANOVA was carried out for the analyses.</w:t>
      </w:r>
    </w:p>
    <w:p w14:paraId="130BF178" w14:textId="4C3B4AE8" w:rsidR="00092AC5" w:rsidRPr="00F266DF" w:rsidRDefault="00092AC5" w:rsidP="00E360B5">
      <w:pPr>
        <w:spacing w:line="360" w:lineRule="auto"/>
        <w:rPr>
          <w:rFonts w:ascii="Times New Roman" w:hAnsi="Times New Roman" w:cs="Times New Roman"/>
          <w:sz w:val="24"/>
          <w:szCs w:val="24"/>
        </w:rPr>
      </w:pPr>
    </w:p>
    <w:p w14:paraId="19B5769B" w14:textId="6193E75B" w:rsidR="00092AC5" w:rsidRPr="00F266DF" w:rsidRDefault="00092AC5"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021F801B" w14:textId="16ACBF3D" w:rsidR="00092AC5" w:rsidRPr="00F266DF" w:rsidRDefault="001E6D22" w:rsidP="00E360B5">
      <w:pPr>
        <w:spacing w:line="360" w:lineRule="auto"/>
        <w:jc w:val="center"/>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08D2737B" wp14:editId="3C47A235">
            <wp:extent cx="5274310" cy="423291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4232910"/>
                    </a:xfrm>
                    <a:prstGeom prst="rect">
                      <a:avLst/>
                    </a:prstGeom>
                    <a:noFill/>
                    <a:ln>
                      <a:noFill/>
                    </a:ln>
                  </pic:spPr>
                </pic:pic>
              </a:graphicData>
            </a:graphic>
          </wp:inline>
        </w:drawing>
      </w:r>
    </w:p>
    <w:p w14:paraId="37B9B5DC" w14:textId="199FC547" w:rsidR="001E6D22" w:rsidRPr="00F266DF" w:rsidRDefault="00171DFF"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2. Heterogeneous expression of APOLD1 in KIRC of different pathologic stages or TNM classifications.</w:t>
      </w:r>
      <w:r w:rsidRPr="00F266DF">
        <w:rPr>
          <w:rFonts w:ascii="Times New Roman" w:hAnsi="Times New Roman" w:cs="Times New Roman"/>
          <w:sz w:val="24"/>
          <w:szCs w:val="24"/>
        </w:rPr>
        <w:t xml:space="preserve"> The X axis represents the pathologic stages or TNM classifications, and the </w:t>
      </w:r>
      <w:r w:rsidR="0052354D">
        <w:rPr>
          <w:rFonts w:ascii="Times New Roman" w:hAnsi="Times New Roman" w:cs="Times New Roman" w:hint="eastAsia"/>
          <w:sz w:val="24"/>
          <w:szCs w:val="24"/>
        </w:rPr>
        <w:t>Y</w:t>
      </w:r>
      <w:r w:rsidRPr="00F266DF">
        <w:rPr>
          <w:rFonts w:ascii="Times New Roman" w:hAnsi="Times New Roman" w:cs="Times New Roman"/>
          <w:sz w:val="24"/>
          <w:szCs w:val="24"/>
        </w:rPr>
        <w:t xml:space="preserve"> axis represents the gene expression (TPM). Non-parametric Kruskal–Wallis one-way ANOVA was carried out for the analyses.</w:t>
      </w:r>
    </w:p>
    <w:p w14:paraId="2CF4C3A5" w14:textId="59018679" w:rsidR="00171DFF" w:rsidRPr="00F266DF" w:rsidRDefault="00171DFF"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2A90AFF1" w14:textId="34B976A7" w:rsidR="001E6D22" w:rsidRPr="00F266DF" w:rsidRDefault="005A06F1" w:rsidP="00E360B5">
      <w:pPr>
        <w:spacing w:line="360" w:lineRule="auto"/>
        <w:jc w:val="center"/>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23B3C23F" wp14:editId="7E1ABDEE">
            <wp:extent cx="5274310" cy="362267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622675"/>
                    </a:xfrm>
                    <a:prstGeom prst="rect">
                      <a:avLst/>
                    </a:prstGeom>
                    <a:noFill/>
                    <a:ln>
                      <a:noFill/>
                    </a:ln>
                  </pic:spPr>
                </pic:pic>
              </a:graphicData>
            </a:graphic>
          </wp:inline>
        </w:drawing>
      </w:r>
    </w:p>
    <w:p w14:paraId="6B94B774" w14:textId="7B078693" w:rsidR="005A06F1" w:rsidRPr="00F266DF" w:rsidRDefault="005A06F1"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3. Heterogeneous expression of ST14 in KIRP of different pathologic stages or TNM classifications.</w:t>
      </w:r>
      <w:r w:rsidRPr="00F266DF">
        <w:rPr>
          <w:rFonts w:ascii="Times New Roman" w:hAnsi="Times New Roman" w:cs="Times New Roman"/>
          <w:sz w:val="24"/>
          <w:szCs w:val="24"/>
        </w:rPr>
        <w:t xml:space="preserve"> The X axis represents the pathologic stages or TNM classifications, and the </w:t>
      </w:r>
      <w:r w:rsidR="0052354D">
        <w:rPr>
          <w:rFonts w:ascii="Times New Roman" w:hAnsi="Times New Roman" w:cs="Times New Roman"/>
          <w:sz w:val="24"/>
          <w:szCs w:val="24"/>
        </w:rPr>
        <w:t>Y</w:t>
      </w:r>
      <w:r w:rsidRPr="00F266DF">
        <w:rPr>
          <w:rFonts w:ascii="Times New Roman" w:hAnsi="Times New Roman" w:cs="Times New Roman"/>
          <w:sz w:val="24"/>
          <w:szCs w:val="24"/>
        </w:rPr>
        <w:t xml:space="preserve"> axis represents the gene expression (TPM). Non-parametric Kruskal–Wallis one-way ANOVA was carried out for the analyses.</w:t>
      </w:r>
    </w:p>
    <w:p w14:paraId="3EE28084" w14:textId="0B05FF1A" w:rsidR="005A06F1" w:rsidRPr="00F266DF" w:rsidRDefault="005A06F1"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00183ED9" w14:textId="4FE1B02A" w:rsidR="005A06F1" w:rsidRPr="00F266DF" w:rsidRDefault="006E130C" w:rsidP="00E360B5">
      <w:pPr>
        <w:spacing w:line="360" w:lineRule="auto"/>
        <w:jc w:val="center"/>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34F12D86" wp14:editId="712ABA09">
            <wp:extent cx="5274310" cy="4106545"/>
            <wp:effectExtent l="0" t="0" r="254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106545"/>
                    </a:xfrm>
                    <a:prstGeom prst="rect">
                      <a:avLst/>
                    </a:prstGeom>
                    <a:noFill/>
                    <a:ln>
                      <a:noFill/>
                    </a:ln>
                  </pic:spPr>
                </pic:pic>
              </a:graphicData>
            </a:graphic>
          </wp:inline>
        </w:drawing>
      </w:r>
    </w:p>
    <w:p w14:paraId="2B424B3A" w14:textId="4A8FCF20" w:rsidR="006E130C" w:rsidRPr="00F266DF" w:rsidRDefault="006E130C"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4. Heterogeneous expression of MET in THCA of different pathologic stages or TNM classifications.</w:t>
      </w:r>
      <w:r w:rsidRPr="00F266DF">
        <w:rPr>
          <w:rFonts w:ascii="Times New Roman" w:hAnsi="Times New Roman" w:cs="Times New Roman"/>
          <w:sz w:val="24"/>
          <w:szCs w:val="24"/>
        </w:rPr>
        <w:t xml:space="preserve"> The X axis represents the pathologic stages or TNM classifications, and the </w:t>
      </w:r>
      <w:r w:rsidR="0052354D">
        <w:rPr>
          <w:rFonts w:ascii="Times New Roman" w:hAnsi="Times New Roman" w:cs="Times New Roman"/>
          <w:sz w:val="24"/>
          <w:szCs w:val="24"/>
        </w:rPr>
        <w:t>Y</w:t>
      </w:r>
      <w:r w:rsidRPr="00F266DF">
        <w:rPr>
          <w:rFonts w:ascii="Times New Roman" w:hAnsi="Times New Roman" w:cs="Times New Roman"/>
          <w:sz w:val="24"/>
          <w:szCs w:val="24"/>
        </w:rPr>
        <w:t xml:space="preserve"> axis represents the gene expression (TPM). Non-parametric Kruskal–Wallis one-way ANOVA was carried out for the analyses.</w:t>
      </w:r>
    </w:p>
    <w:p w14:paraId="7E334C1F" w14:textId="77C9D07E" w:rsidR="00F6343E" w:rsidRPr="00F266DF" w:rsidRDefault="00F6343E"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14506EC2" w14:textId="55116332" w:rsidR="006E130C" w:rsidRPr="00F266DF" w:rsidRDefault="00A63CF4" w:rsidP="00E360B5">
      <w:pPr>
        <w:spacing w:line="360" w:lineRule="auto"/>
        <w:jc w:val="center"/>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44AF7FCD" wp14:editId="6BA436D6">
            <wp:extent cx="5274310" cy="420243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4202430"/>
                    </a:xfrm>
                    <a:prstGeom prst="rect">
                      <a:avLst/>
                    </a:prstGeom>
                    <a:noFill/>
                    <a:ln>
                      <a:noFill/>
                    </a:ln>
                  </pic:spPr>
                </pic:pic>
              </a:graphicData>
            </a:graphic>
          </wp:inline>
        </w:drawing>
      </w:r>
    </w:p>
    <w:p w14:paraId="3A9C8C28" w14:textId="361E4646" w:rsidR="00A63CF4" w:rsidRPr="00F266DF" w:rsidRDefault="00A63CF4"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5. Heterogeneous expression of TACSTD2 in THCA of different pathologic stages or TNM classifications.</w:t>
      </w:r>
      <w:r w:rsidRPr="00F266DF">
        <w:rPr>
          <w:rFonts w:ascii="Times New Roman" w:hAnsi="Times New Roman" w:cs="Times New Roman"/>
          <w:sz w:val="24"/>
          <w:szCs w:val="24"/>
        </w:rPr>
        <w:t xml:space="preserve"> The X axis represents the pathologic stages or TNM classifications, and the </w:t>
      </w:r>
      <w:r w:rsidR="0052354D">
        <w:rPr>
          <w:rFonts w:ascii="Times New Roman" w:hAnsi="Times New Roman" w:cs="Times New Roman"/>
          <w:sz w:val="24"/>
          <w:szCs w:val="24"/>
        </w:rPr>
        <w:t>Y</w:t>
      </w:r>
      <w:r w:rsidRPr="00F266DF">
        <w:rPr>
          <w:rFonts w:ascii="Times New Roman" w:hAnsi="Times New Roman" w:cs="Times New Roman"/>
          <w:sz w:val="24"/>
          <w:szCs w:val="24"/>
        </w:rPr>
        <w:t xml:space="preserve"> axis represents the gene expression (TPM). Non-parametric Kruskal–Wallis one-way ANOVA was carried out for the analyses.</w:t>
      </w:r>
    </w:p>
    <w:p w14:paraId="482CDEFD" w14:textId="55B5FE88" w:rsidR="00A63CF4" w:rsidRPr="00F266DF" w:rsidRDefault="00A63CF4"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41F28B49" w14:textId="44BF288B" w:rsidR="00A63CF4" w:rsidRPr="00F266DF" w:rsidRDefault="006C54F5" w:rsidP="00E360B5">
      <w:pPr>
        <w:spacing w:line="360" w:lineRule="auto"/>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686D61B9" wp14:editId="65BE5C0E">
            <wp:extent cx="5274310" cy="204279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042795"/>
                    </a:xfrm>
                    <a:prstGeom prst="rect">
                      <a:avLst/>
                    </a:prstGeom>
                    <a:noFill/>
                    <a:ln>
                      <a:noFill/>
                    </a:ln>
                  </pic:spPr>
                </pic:pic>
              </a:graphicData>
            </a:graphic>
          </wp:inline>
        </w:drawing>
      </w:r>
    </w:p>
    <w:p w14:paraId="2FFAFAE4" w14:textId="2989FFF6" w:rsidR="00901FE1" w:rsidRPr="00F266DF" w:rsidRDefault="006C54F5"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Supplementary Figure 6. Implication of CNV events in EGFR protein level among solid cancers.</w:t>
      </w:r>
      <w:r w:rsidRPr="00F266DF">
        <w:rPr>
          <w:rFonts w:ascii="Times New Roman" w:hAnsi="Times New Roman" w:cs="Times New Roman"/>
          <w:sz w:val="24"/>
          <w:szCs w:val="24"/>
        </w:rPr>
        <w:t xml:space="preserve"> Correlations of EGFR mRNA expression with its protein level or copy number variation events were calculated by Pearson’s correlation analysis.</w:t>
      </w:r>
    </w:p>
    <w:p w14:paraId="6ECCF9D2" w14:textId="48275670" w:rsidR="006C54F5" w:rsidRPr="00F266DF" w:rsidRDefault="006C54F5" w:rsidP="00E360B5">
      <w:pPr>
        <w:widowControl/>
        <w:spacing w:line="360" w:lineRule="auto"/>
        <w:jc w:val="left"/>
        <w:rPr>
          <w:rFonts w:ascii="Times New Roman" w:hAnsi="Times New Roman" w:cs="Times New Roman"/>
          <w:sz w:val="24"/>
          <w:szCs w:val="24"/>
        </w:rPr>
      </w:pPr>
      <w:r w:rsidRPr="00F266DF">
        <w:rPr>
          <w:rFonts w:ascii="Times New Roman" w:hAnsi="Times New Roman" w:cs="Times New Roman"/>
          <w:sz w:val="24"/>
          <w:szCs w:val="24"/>
        </w:rPr>
        <w:br w:type="page"/>
      </w:r>
    </w:p>
    <w:p w14:paraId="282BF12A" w14:textId="5DFFCBA9" w:rsidR="00901FE1" w:rsidRPr="00F266DF" w:rsidRDefault="00997C8F" w:rsidP="00E360B5">
      <w:pPr>
        <w:spacing w:line="360" w:lineRule="auto"/>
        <w:rPr>
          <w:rFonts w:ascii="Times New Roman" w:hAnsi="Times New Roman" w:cs="Times New Roman"/>
          <w:sz w:val="24"/>
          <w:szCs w:val="24"/>
        </w:rPr>
      </w:pPr>
      <w:r w:rsidRPr="00F266DF">
        <w:rPr>
          <w:rFonts w:ascii="Times New Roman" w:hAnsi="Times New Roman" w:cs="Times New Roman"/>
          <w:noProof/>
          <w:sz w:val="24"/>
          <w:szCs w:val="24"/>
        </w:rPr>
        <w:lastRenderedPageBreak/>
        <w:drawing>
          <wp:inline distT="0" distB="0" distL="0" distR="0" wp14:anchorId="65AC7EB6" wp14:editId="119FCA98">
            <wp:extent cx="5274310" cy="412115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121150"/>
                    </a:xfrm>
                    <a:prstGeom prst="rect">
                      <a:avLst/>
                    </a:prstGeom>
                    <a:noFill/>
                    <a:ln>
                      <a:noFill/>
                    </a:ln>
                  </pic:spPr>
                </pic:pic>
              </a:graphicData>
            </a:graphic>
          </wp:inline>
        </w:drawing>
      </w:r>
    </w:p>
    <w:p w14:paraId="454490F0" w14:textId="3C7277C9" w:rsidR="00645895" w:rsidRPr="00F266DF" w:rsidRDefault="00997C8F" w:rsidP="00E360B5">
      <w:pPr>
        <w:spacing w:line="360" w:lineRule="auto"/>
        <w:rPr>
          <w:rFonts w:ascii="Times New Roman" w:hAnsi="Times New Roman" w:cs="Times New Roman"/>
          <w:sz w:val="24"/>
          <w:szCs w:val="24"/>
        </w:rPr>
      </w:pPr>
      <w:r w:rsidRPr="00F266DF">
        <w:rPr>
          <w:rFonts w:ascii="Times New Roman" w:hAnsi="Times New Roman" w:cs="Times New Roman"/>
          <w:b/>
          <w:bCs/>
          <w:sz w:val="24"/>
          <w:szCs w:val="24"/>
        </w:rPr>
        <w:t xml:space="preserve">Supplementary Figure 7. </w:t>
      </w:r>
      <w:r w:rsidR="008D1CBB">
        <w:rPr>
          <w:rFonts w:ascii="Times New Roman" w:hAnsi="Times New Roman" w:cs="Times New Roman"/>
          <w:b/>
          <w:bCs/>
          <w:sz w:val="24"/>
          <w:szCs w:val="24"/>
        </w:rPr>
        <w:t>The c</w:t>
      </w:r>
      <w:r w:rsidRPr="00F266DF">
        <w:rPr>
          <w:rFonts w:ascii="Times New Roman" w:hAnsi="Times New Roman" w:cs="Times New Roman"/>
          <w:b/>
          <w:bCs/>
          <w:sz w:val="24"/>
          <w:szCs w:val="24"/>
        </w:rPr>
        <w:t>urated RTK/RAS/MAP-Kinase signaling pathway.</w:t>
      </w:r>
      <w:r w:rsidRPr="00F266DF">
        <w:rPr>
          <w:rFonts w:ascii="Times New Roman" w:hAnsi="Times New Roman" w:cs="Times New Roman"/>
          <w:sz w:val="24"/>
          <w:szCs w:val="24"/>
        </w:rPr>
        <w:t xml:space="preserve"> Members and interactions in the pathway are shown. Red indicates oncogenes, and blue indicates tumor suppressor genes. Proteins in white font represent ADC target antigens that appear in our target discovery list.</w:t>
      </w:r>
    </w:p>
    <w:p w14:paraId="2E957CF4" w14:textId="77777777" w:rsidR="00645895" w:rsidRPr="00F266DF" w:rsidRDefault="00645895" w:rsidP="00E360B5">
      <w:pPr>
        <w:spacing w:line="360" w:lineRule="auto"/>
        <w:rPr>
          <w:rFonts w:ascii="Times New Roman" w:hAnsi="Times New Roman" w:cs="Times New Roman"/>
          <w:sz w:val="24"/>
          <w:szCs w:val="24"/>
        </w:rPr>
      </w:pPr>
    </w:p>
    <w:sectPr w:rsidR="00645895" w:rsidRPr="00F266DF">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FB8DE" w14:textId="77777777" w:rsidR="00360804" w:rsidRDefault="00360804" w:rsidP="00496897">
      <w:r>
        <w:separator/>
      </w:r>
    </w:p>
  </w:endnote>
  <w:endnote w:type="continuationSeparator" w:id="0">
    <w:p w14:paraId="17B24009" w14:textId="77777777" w:rsidR="00360804" w:rsidRDefault="00360804" w:rsidP="004968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5374231"/>
      <w:docPartObj>
        <w:docPartGallery w:val="Page Numbers (Bottom of Page)"/>
        <w:docPartUnique/>
      </w:docPartObj>
    </w:sdtPr>
    <w:sdtContent>
      <w:p w14:paraId="3F8B0857" w14:textId="4BDCDAE6" w:rsidR="00496897" w:rsidRDefault="00496897">
        <w:pPr>
          <w:pStyle w:val="a5"/>
          <w:jc w:val="right"/>
        </w:pPr>
        <w:r>
          <w:fldChar w:fldCharType="begin"/>
        </w:r>
        <w:r>
          <w:instrText>PAGE   \* MERGEFORMAT</w:instrText>
        </w:r>
        <w:r>
          <w:fldChar w:fldCharType="separate"/>
        </w:r>
        <w:r>
          <w:rPr>
            <w:lang w:val="zh-CN"/>
          </w:rPr>
          <w:t>2</w:t>
        </w:r>
        <w:r>
          <w:fldChar w:fldCharType="end"/>
        </w:r>
      </w:p>
    </w:sdtContent>
  </w:sdt>
  <w:p w14:paraId="4DA3B85B" w14:textId="77777777" w:rsidR="00496897" w:rsidRDefault="0049689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39361" w14:textId="77777777" w:rsidR="00360804" w:rsidRDefault="00360804" w:rsidP="00496897">
      <w:r>
        <w:separator/>
      </w:r>
    </w:p>
  </w:footnote>
  <w:footnote w:type="continuationSeparator" w:id="0">
    <w:p w14:paraId="689914D2" w14:textId="77777777" w:rsidR="00360804" w:rsidRDefault="00360804" w:rsidP="004968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75A"/>
    <w:rsid w:val="00001494"/>
    <w:rsid w:val="0001080B"/>
    <w:rsid w:val="00011F86"/>
    <w:rsid w:val="000178E0"/>
    <w:rsid w:val="0002454E"/>
    <w:rsid w:val="00030B4F"/>
    <w:rsid w:val="0003196A"/>
    <w:rsid w:val="00061999"/>
    <w:rsid w:val="00065FD9"/>
    <w:rsid w:val="000700F7"/>
    <w:rsid w:val="000740AC"/>
    <w:rsid w:val="0007686B"/>
    <w:rsid w:val="000856D5"/>
    <w:rsid w:val="0008588E"/>
    <w:rsid w:val="00092AC5"/>
    <w:rsid w:val="00094D0F"/>
    <w:rsid w:val="000951C1"/>
    <w:rsid w:val="00097DFA"/>
    <w:rsid w:val="000A4F42"/>
    <w:rsid w:val="000A7420"/>
    <w:rsid w:val="000B75D3"/>
    <w:rsid w:val="000C2574"/>
    <w:rsid w:val="000C565A"/>
    <w:rsid w:val="000D0E5A"/>
    <w:rsid w:val="000D4D17"/>
    <w:rsid w:val="000D50BF"/>
    <w:rsid w:val="000E1829"/>
    <w:rsid w:val="000E3B9B"/>
    <w:rsid w:val="000F0CE7"/>
    <w:rsid w:val="000F2EC4"/>
    <w:rsid w:val="000F46CE"/>
    <w:rsid w:val="000F4F9A"/>
    <w:rsid w:val="000F5DE1"/>
    <w:rsid w:val="00101413"/>
    <w:rsid w:val="001056C3"/>
    <w:rsid w:val="0010615D"/>
    <w:rsid w:val="00126AD4"/>
    <w:rsid w:val="0013009F"/>
    <w:rsid w:val="001313E6"/>
    <w:rsid w:val="00133727"/>
    <w:rsid w:val="00142A1A"/>
    <w:rsid w:val="001438D4"/>
    <w:rsid w:val="00147AD4"/>
    <w:rsid w:val="00153959"/>
    <w:rsid w:val="001539B3"/>
    <w:rsid w:val="001557A2"/>
    <w:rsid w:val="00171AE3"/>
    <w:rsid w:val="00171DFF"/>
    <w:rsid w:val="001752D0"/>
    <w:rsid w:val="00177120"/>
    <w:rsid w:val="0018086A"/>
    <w:rsid w:val="00182256"/>
    <w:rsid w:val="00190056"/>
    <w:rsid w:val="0019270A"/>
    <w:rsid w:val="001962A2"/>
    <w:rsid w:val="001A793E"/>
    <w:rsid w:val="001B12DC"/>
    <w:rsid w:val="001B6D14"/>
    <w:rsid w:val="001C70EE"/>
    <w:rsid w:val="001D1D38"/>
    <w:rsid w:val="001D5BF3"/>
    <w:rsid w:val="001E3223"/>
    <w:rsid w:val="001E6D22"/>
    <w:rsid w:val="001F6E1A"/>
    <w:rsid w:val="00210B16"/>
    <w:rsid w:val="0021509E"/>
    <w:rsid w:val="002206A4"/>
    <w:rsid w:val="0023264E"/>
    <w:rsid w:val="00243D31"/>
    <w:rsid w:val="002460B2"/>
    <w:rsid w:val="002534CC"/>
    <w:rsid w:val="00257194"/>
    <w:rsid w:val="00262A9D"/>
    <w:rsid w:val="00263F45"/>
    <w:rsid w:val="00264D5B"/>
    <w:rsid w:val="002654E7"/>
    <w:rsid w:val="00270786"/>
    <w:rsid w:val="00280603"/>
    <w:rsid w:val="002821DC"/>
    <w:rsid w:val="00284E62"/>
    <w:rsid w:val="0028619C"/>
    <w:rsid w:val="002938DC"/>
    <w:rsid w:val="00294568"/>
    <w:rsid w:val="002946BD"/>
    <w:rsid w:val="00294803"/>
    <w:rsid w:val="002A4399"/>
    <w:rsid w:val="002B32AA"/>
    <w:rsid w:val="002C09D2"/>
    <w:rsid w:val="002D07D0"/>
    <w:rsid w:val="002D3878"/>
    <w:rsid w:val="002D4506"/>
    <w:rsid w:val="002E3039"/>
    <w:rsid w:val="002F047D"/>
    <w:rsid w:val="002F5592"/>
    <w:rsid w:val="002F59BA"/>
    <w:rsid w:val="002F5D41"/>
    <w:rsid w:val="002F7D95"/>
    <w:rsid w:val="003007F4"/>
    <w:rsid w:val="00302D7A"/>
    <w:rsid w:val="003034B3"/>
    <w:rsid w:val="00315135"/>
    <w:rsid w:val="00316C6E"/>
    <w:rsid w:val="00334346"/>
    <w:rsid w:val="00341381"/>
    <w:rsid w:val="00344622"/>
    <w:rsid w:val="0035002D"/>
    <w:rsid w:val="003549E6"/>
    <w:rsid w:val="00360804"/>
    <w:rsid w:val="00362034"/>
    <w:rsid w:val="003648CA"/>
    <w:rsid w:val="00387C34"/>
    <w:rsid w:val="00393E60"/>
    <w:rsid w:val="003942FF"/>
    <w:rsid w:val="003976EF"/>
    <w:rsid w:val="003A5D4D"/>
    <w:rsid w:val="003B0387"/>
    <w:rsid w:val="003B217B"/>
    <w:rsid w:val="003C281C"/>
    <w:rsid w:val="003C553E"/>
    <w:rsid w:val="003C6B60"/>
    <w:rsid w:val="003D2601"/>
    <w:rsid w:val="003D2D0D"/>
    <w:rsid w:val="003E2062"/>
    <w:rsid w:val="003F3C7C"/>
    <w:rsid w:val="003F686F"/>
    <w:rsid w:val="003F750B"/>
    <w:rsid w:val="004054F6"/>
    <w:rsid w:val="00405681"/>
    <w:rsid w:val="00407F82"/>
    <w:rsid w:val="00411944"/>
    <w:rsid w:val="00413217"/>
    <w:rsid w:val="00413969"/>
    <w:rsid w:val="00415CBF"/>
    <w:rsid w:val="00420D2A"/>
    <w:rsid w:val="004217B8"/>
    <w:rsid w:val="00430A52"/>
    <w:rsid w:val="004324E7"/>
    <w:rsid w:val="00432FF1"/>
    <w:rsid w:val="00437584"/>
    <w:rsid w:val="004412C1"/>
    <w:rsid w:val="004530B1"/>
    <w:rsid w:val="00455C03"/>
    <w:rsid w:val="0048072B"/>
    <w:rsid w:val="00483BFC"/>
    <w:rsid w:val="0049413D"/>
    <w:rsid w:val="004949EE"/>
    <w:rsid w:val="00496897"/>
    <w:rsid w:val="00496FF9"/>
    <w:rsid w:val="004A4C94"/>
    <w:rsid w:val="004B0AB4"/>
    <w:rsid w:val="004B3A79"/>
    <w:rsid w:val="004C027E"/>
    <w:rsid w:val="004C17A6"/>
    <w:rsid w:val="004C1B03"/>
    <w:rsid w:val="004C4AE1"/>
    <w:rsid w:val="004C6D21"/>
    <w:rsid w:val="004C7D41"/>
    <w:rsid w:val="004D6669"/>
    <w:rsid w:val="004E3904"/>
    <w:rsid w:val="004E4049"/>
    <w:rsid w:val="004E5DCE"/>
    <w:rsid w:val="004F593B"/>
    <w:rsid w:val="00512978"/>
    <w:rsid w:val="0052354D"/>
    <w:rsid w:val="0052551F"/>
    <w:rsid w:val="00533757"/>
    <w:rsid w:val="00542374"/>
    <w:rsid w:val="00542E7D"/>
    <w:rsid w:val="00543462"/>
    <w:rsid w:val="005461D1"/>
    <w:rsid w:val="00546E7F"/>
    <w:rsid w:val="00555B66"/>
    <w:rsid w:val="00556CEA"/>
    <w:rsid w:val="00557032"/>
    <w:rsid w:val="005663EB"/>
    <w:rsid w:val="00567C9B"/>
    <w:rsid w:val="00567FAB"/>
    <w:rsid w:val="0057469A"/>
    <w:rsid w:val="0058067F"/>
    <w:rsid w:val="00584FC0"/>
    <w:rsid w:val="00585D1A"/>
    <w:rsid w:val="005874CC"/>
    <w:rsid w:val="005A06F1"/>
    <w:rsid w:val="005A100F"/>
    <w:rsid w:val="005A1772"/>
    <w:rsid w:val="005A3797"/>
    <w:rsid w:val="005B4643"/>
    <w:rsid w:val="005B75C0"/>
    <w:rsid w:val="005C0872"/>
    <w:rsid w:val="005C2AFC"/>
    <w:rsid w:val="005D0ADA"/>
    <w:rsid w:val="005D18A5"/>
    <w:rsid w:val="005D6A4C"/>
    <w:rsid w:val="005E0743"/>
    <w:rsid w:val="005E6BDD"/>
    <w:rsid w:val="005F3285"/>
    <w:rsid w:val="005F3601"/>
    <w:rsid w:val="005F45A8"/>
    <w:rsid w:val="0060079C"/>
    <w:rsid w:val="00601B30"/>
    <w:rsid w:val="006033A3"/>
    <w:rsid w:val="00605F3E"/>
    <w:rsid w:val="0061075A"/>
    <w:rsid w:val="006114A8"/>
    <w:rsid w:val="00614328"/>
    <w:rsid w:val="00622FF4"/>
    <w:rsid w:val="0062670E"/>
    <w:rsid w:val="006408AA"/>
    <w:rsid w:val="00641F1A"/>
    <w:rsid w:val="00644731"/>
    <w:rsid w:val="00645895"/>
    <w:rsid w:val="006565CF"/>
    <w:rsid w:val="006621AD"/>
    <w:rsid w:val="006633B4"/>
    <w:rsid w:val="00666354"/>
    <w:rsid w:val="00672AF7"/>
    <w:rsid w:val="00676E48"/>
    <w:rsid w:val="00683281"/>
    <w:rsid w:val="00683B29"/>
    <w:rsid w:val="006912EB"/>
    <w:rsid w:val="006A1C59"/>
    <w:rsid w:val="006A2ABB"/>
    <w:rsid w:val="006A43BD"/>
    <w:rsid w:val="006A5CC4"/>
    <w:rsid w:val="006B0E0A"/>
    <w:rsid w:val="006B65BE"/>
    <w:rsid w:val="006C41A9"/>
    <w:rsid w:val="006C54F5"/>
    <w:rsid w:val="006E130C"/>
    <w:rsid w:val="006E4885"/>
    <w:rsid w:val="006F4F3A"/>
    <w:rsid w:val="006F7EDE"/>
    <w:rsid w:val="0070171B"/>
    <w:rsid w:val="00701B61"/>
    <w:rsid w:val="00706F8F"/>
    <w:rsid w:val="00707BEA"/>
    <w:rsid w:val="0071093D"/>
    <w:rsid w:val="00710F64"/>
    <w:rsid w:val="007126CB"/>
    <w:rsid w:val="00714F1C"/>
    <w:rsid w:val="0071586E"/>
    <w:rsid w:val="00717382"/>
    <w:rsid w:val="007175C2"/>
    <w:rsid w:val="00725433"/>
    <w:rsid w:val="00730657"/>
    <w:rsid w:val="00742E42"/>
    <w:rsid w:val="00743163"/>
    <w:rsid w:val="00744F22"/>
    <w:rsid w:val="007574DF"/>
    <w:rsid w:val="007726B8"/>
    <w:rsid w:val="00773305"/>
    <w:rsid w:val="00784D31"/>
    <w:rsid w:val="00792C52"/>
    <w:rsid w:val="007A3898"/>
    <w:rsid w:val="007A42ED"/>
    <w:rsid w:val="007A4470"/>
    <w:rsid w:val="007A754A"/>
    <w:rsid w:val="007B43EB"/>
    <w:rsid w:val="007C0C74"/>
    <w:rsid w:val="007C3830"/>
    <w:rsid w:val="007E0BDD"/>
    <w:rsid w:val="007E277F"/>
    <w:rsid w:val="007E48BF"/>
    <w:rsid w:val="007E5AFE"/>
    <w:rsid w:val="007E7C8B"/>
    <w:rsid w:val="007F0AC2"/>
    <w:rsid w:val="00803F1A"/>
    <w:rsid w:val="00813EBA"/>
    <w:rsid w:val="00817039"/>
    <w:rsid w:val="00820A09"/>
    <w:rsid w:val="008248F4"/>
    <w:rsid w:val="00833432"/>
    <w:rsid w:val="0083386B"/>
    <w:rsid w:val="00836711"/>
    <w:rsid w:val="008430D7"/>
    <w:rsid w:val="00866309"/>
    <w:rsid w:val="00867211"/>
    <w:rsid w:val="00872C55"/>
    <w:rsid w:val="008738F1"/>
    <w:rsid w:val="008834FD"/>
    <w:rsid w:val="00885347"/>
    <w:rsid w:val="0089154B"/>
    <w:rsid w:val="00895FB8"/>
    <w:rsid w:val="008A284B"/>
    <w:rsid w:val="008B14BE"/>
    <w:rsid w:val="008B216E"/>
    <w:rsid w:val="008D038B"/>
    <w:rsid w:val="008D1CBB"/>
    <w:rsid w:val="008D40E7"/>
    <w:rsid w:val="008D5392"/>
    <w:rsid w:val="008D6A6F"/>
    <w:rsid w:val="008D7D15"/>
    <w:rsid w:val="008E6A6A"/>
    <w:rsid w:val="008F25DE"/>
    <w:rsid w:val="00901FE1"/>
    <w:rsid w:val="00906BF0"/>
    <w:rsid w:val="00913059"/>
    <w:rsid w:val="00916F04"/>
    <w:rsid w:val="00926341"/>
    <w:rsid w:val="00926B99"/>
    <w:rsid w:val="009360F6"/>
    <w:rsid w:val="009464D5"/>
    <w:rsid w:val="0094762E"/>
    <w:rsid w:val="00961736"/>
    <w:rsid w:val="00964D52"/>
    <w:rsid w:val="00973E19"/>
    <w:rsid w:val="00977ECF"/>
    <w:rsid w:val="00984B38"/>
    <w:rsid w:val="00986691"/>
    <w:rsid w:val="0099042E"/>
    <w:rsid w:val="00991B15"/>
    <w:rsid w:val="0099363B"/>
    <w:rsid w:val="00995018"/>
    <w:rsid w:val="00997C8F"/>
    <w:rsid w:val="009A226E"/>
    <w:rsid w:val="009A6E48"/>
    <w:rsid w:val="009B13B5"/>
    <w:rsid w:val="009B5F7F"/>
    <w:rsid w:val="009C128F"/>
    <w:rsid w:val="009C1ED0"/>
    <w:rsid w:val="009C5B19"/>
    <w:rsid w:val="00A027DD"/>
    <w:rsid w:val="00A04C98"/>
    <w:rsid w:val="00A16D1F"/>
    <w:rsid w:val="00A222D3"/>
    <w:rsid w:val="00A22318"/>
    <w:rsid w:val="00A32971"/>
    <w:rsid w:val="00A33F94"/>
    <w:rsid w:val="00A34C43"/>
    <w:rsid w:val="00A37B99"/>
    <w:rsid w:val="00A4350C"/>
    <w:rsid w:val="00A44BF9"/>
    <w:rsid w:val="00A45B16"/>
    <w:rsid w:val="00A50C72"/>
    <w:rsid w:val="00A514A8"/>
    <w:rsid w:val="00A57494"/>
    <w:rsid w:val="00A60589"/>
    <w:rsid w:val="00A63CF4"/>
    <w:rsid w:val="00A74C8B"/>
    <w:rsid w:val="00A759E4"/>
    <w:rsid w:val="00A76FA8"/>
    <w:rsid w:val="00A807B1"/>
    <w:rsid w:val="00A81B5A"/>
    <w:rsid w:val="00A84650"/>
    <w:rsid w:val="00A84D40"/>
    <w:rsid w:val="00AB069A"/>
    <w:rsid w:val="00AB313D"/>
    <w:rsid w:val="00AB3197"/>
    <w:rsid w:val="00AB4EE6"/>
    <w:rsid w:val="00AC2FCF"/>
    <w:rsid w:val="00AD66B4"/>
    <w:rsid w:val="00AD7194"/>
    <w:rsid w:val="00B00CFC"/>
    <w:rsid w:val="00B015CB"/>
    <w:rsid w:val="00B066D2"/>
    <w:rsid w:val="00B16594"/>
    <w:rsid w:val="00B17B89"/>
    <w:rsid w:val="00B17D35"/>
    <w:rsid w:val="00B21871"/>
    <w:rsid w:val="00B24A8E"/>
    <w:rsid w:val="00B26EF1"/>
    <w:rsid w:val="00B50542"/>
    <w:rsid w:val="00B552EE"/>
    <w:rsid w:val="00B601EA"/>
    <w:rsid w:val="00B611BE"/>
    <w:rsid w:val="00B67B94"/>
    <w:rsid w:val="00B71462"/>
    <w:rsid w:val="00B718D7"/>
    <w:rsid w:val="00B75789"/>
    <w:rsid w:val="00B832EA"/>
    <w:rsid w:val="00B87571"/>
    <w:rsid w:val="00B93558"/>
    <w:rsid w:val="00BA40A7"/>
    <w:rsid w:val="00BA4332"/>
    <w:rsid w:val="00BA6353"/>
    <w:rsid w:val="00BB0193"/>
    <w:rsid w:val="00BB19E5"/>
    <w:rsid w:val="00BB5EBC"/>
    <w:rsid w:val="00BB5EE0"/>
    <w:rsid w:val="00BB7D6E"/>
    <w:rsid w:val="00BC1367"/>
    <w:rsid w:val="00BC2F98"/>
    <w:rsid w:val="00BE26B5"/>
    <w:rsid w:val="00BF493B"/>
    <w:rsid w:val="00BF567F"/>
    <w:rsid w:val="00BF5746"/>
    <w:rsid w:val="00C00BF4"/>
    <w:rsid w:val="00C108ED"/>
    <w:rsid w:val="00C16103"/>
    <w:rsid w:val="00C2562B"/>
    <w:rsid w:val="00C263DC"/>
    <w:rsid w:val="00C31908"/>
    <w:rsid w:val="00C35641"/>
    <w:rsid w:val="00C42751"/>
    <w:rsid w:val="00C43E31"/>
    <w:rsid w:val="00C451C1"/>
    <w:rsid w:val="00C45F00"/>
    <w:rsid w:val="00C514E6"/>
    <w:rsid w:val="00C65027"/>
    <w:rsid w:val="00C6645E"/>
    <w:rsid w:val="00C73DAD"/>
    <w:rsid w:val="00C765F5"/>
    <w:rsid w:val="00C91A1C"/>
    <w:rsid w:val="00C93619"/>
    <w:rsid w:val="00CA1F89"/>
    <w:rsid w:val="00CA3C98"/>
    <w:rsid w:val="00CA4F40"/>
    <w:rsid w:val="00CD0C25"/>
    <w:rsid w:val="00CD0DC6"/>
    <w:rsid w:val="00CD4358"/>
    <w:rsid w:val="00CE13A0"/>
    <w:rsid w:val="00CF7343"/>
    <w:rsid w:val="00D200A3"/>
    <w:rsid w:val="00D2560E"/>
    <w:rsid w:val="00D33963"/>
    <w:rsid w:val="00D37739"/>
    <w:rsid w:val="00D42B7A"/>
    <w:rsid w:val="00D57CA6"/>
    <w:rsid w:val="00D650DA"/>
    <w:rsid w:val="00D71EBA"/>
    <w:rsid w:val="00D83758"/>
    <w:rsid w:val="00D87D62"/>
    <w:rsid w:val="00D950DF"/>
    <w:rsid w:val="00DA1AF5"/>
    <w:rsid w:val="00DA1B89"/>
    <w:rsid w:val="00DA736D"/>
    <w:rsid w:val="00DB361B"/>
    <w:rsid w:val="00DB67EB"/>
    <w:rsid w:val="00DC13F6"/>
    <w:rsid w:val="00DC5A9E"/>
    <w:rsid w:val="00DC7CCA"/>
    <w:rsid w:val="00DD188D"/>
    <w:rsid w:val="00DD4F94"/>
    <w:rsid w:val="00DD7E3D"/>
    <w:rsid w:val="00DF0605"/>
    <w:rsid w:val="00DF0B13"/>
    <w:rsid w:val="00DF2605"/>
    <w:rsid w:val="00DF4D29"/>
    <w:rsid w:val="00E009F2"/>
    <w:rsid w:val="00E017BD"/>
    <w:rsid w:val="00E01A17"/>
    <w:rsid w:val="00E03D7B"/>
    <w:rsid w:val="00E07783"/>
    <w:rsid w:val="00E07C80"/>
    <w:rsid w:val="00E15A6E"/>
    <w:rsid w:val="00E20EF0"/>
    <w:rsid w:val="00E21C8A"/>
    <w:rsid w:val="00E22E9E"/>
    <w:rsid w:val="00E23ECC"/>
    <w:rsid w:val="00E247E2"/>
    <w:rsid w:val="00E2685F"/>
    <w:rsid w:val="00E3271A"/>
    <w:rsid w:val="00E35608"/>
    <w:rsid w:val="00E360B5"/>
    <w:rsid w:val="00E4020E"/>
    <w:rsid w:val="00E45F00"/>
    <w:rsid w:val="00E5269E"/>
    <w:rsid w:val="00E57F15"/>
    <w:rsid w:val="00E60838"/>
    <w:rsid w:val="00E6182F"/>
    <w:rsid w:val="00E61E85"/>
    <w:rsid w:val="00E6261D"/>
    <w:rsid w:val="00E65FD6"/>
    <w:rsid w:val="00E74A26"/>
    <w:rsid w:val="00E759B4"/>
    <w:rsid w:val="00E75DC5"/>
    <w:rsid w:val="00E801F6"/>
    <w:rsid w:val="00E82EAB"/>
    <w:rsid w:val="00E852B1"/>
    <w:rsid w:val="00E87164"/>
    <w:rsid w:val="00E87F3E"/>
    <w:rsid w:val="00EA4389"/>
    <w:rsid w:val="00EA5E10"/>
    <w:rsid w:val="00EA6DB0"/>
    <w:rsid w:val="00EB3C72"/>
    <w:rsid w:val="00EB76BE"/>
    <w:rsid w:val="00EC1459"/>
    <w:rsid w:val="00EC3CD4"/>
    <w:rsid w:val="00EC4807"/>
    <w:rsid w:val="00EC76D4"/>
    <w:rsid w:val="00ED0B7F"/>
    <w:rsid w:val="00ED1D0D"/>
    <w:rsid w:val="00ED2A8C"/>
    <w:rsid w:val="00EE1307"/>
    <w:rsid w:val="00EE3FAD"/>
    <w:rsid w:val="00EF02BB"/>
    <w:rsid w:val="00EF2DEC"/>
    <w:rsid w:val="00EF48FC"/>
    <w:rsid w:val="00F06A51"/>
    <w:rsid w:val="00F125B0"/>
    <w:rsid w:val="00F1264F"/>
    <w:rsid w:val="00F16421"/>
    <w:rsid w:val="00F16AF1"/>
    <w:rsid w:val="00F22A9C"/>
    <w:rsid w:val="00F262F7"/>
    <w:rsid w:val="00F266DF"/>
    <w:rsid w:val="00F452DF"/>
    <w:rsid w:val="00F5177F"/>
    <w:rsid w:val="00F53B4F"/>
    <w:rsid w:val="00F56ED9"/>
    <w:rsid w:val="00F612A7"/>
    <w:rsid w:val="00F6343E"/>
    <w:rsid w:val="00F6557A"/>
    <w:rsid w:val="00F66284"/>
    <w:rsid w:val="00F66609"/>
    <w:rsid w:val="00F677B9"/>
    <w:rsid w:val="00F7101A"/>
    <w:rsid w:val="00F864DB"/>
    <w:rsid w:val="00F905D0"/>
    <w:rsid w:val="00F91BD3"/>
    <w:rsid w:val="00FA02AC"/>
    <w:rsid w:val="00FA0DBC"/>
    <w:rsid w:val="00FA17B7"/>
    <w:rsid w:val="00FC595B"/>
    <w:rsid w:val="00FD22A0"/>
    <w:rsid w:val="00FD5405"/>
    <w:rsid w:val="00FD61A0"/>
    <w:rsid w:val="00FD710C"/>
    <w:rsid w:val="00FE128F"/>
    <w:rsid w:val="00FF45DB"/>
    <w:rsid w:val="00FF6F6A"/>
    <w:rsid w:val="00FF7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53D57FA"/>
  <w14:defaultImageDpi w14:val="32767"/>
  <w15:chartTrackingRefBased/>
  <w15:docId w15:val="{16F6FB31-CF9D-463C-8855-AEAAE60740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968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96897"/>
    <w:rPr>
      <w:sz w:val="18"/>
      <w:szCs w:val="18"/>
    </w:rPr>
  </w:style>
  <w:style w:type="paragraph" w:styleId="a5">
    <w:name w:val="footer"/>
    <w:basedOn w:val="a"/>
    <w:link w:val="a6"/>
    <w:uiPriority w:val="99"/>
    <w:unhideWhenUsed/>
    <w:rsid w:val="00496897"/>
    <w:pPr>
      <w:tabs>
        <w:tab w:val="center" w:pos="4153"/>
        <w:tab w:val="right" w:pos="8306"/>
      </w:tabs>
      <w:snapToGrid w:val="0"/>
      <w:jc w:val="left"/>
    </w:pPr>
    <w:rPr>
      <w:sz w:val="18"/>
      <w:szCs w:val="18"/>
    </w:rPr>
  </w:style>
  <w:style w:type="character" w:customStyle="1" w:styleId="a6">
    <w:name w:val="页脚 字符"/>
    <w:basedOn w:val="a0"/>
    <w:link w:val="a5"/>
    <w:uiPriority w:val="99"/>
    <w:rsid w:val="004968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267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Xiaoxiao</dc:creator>
  <cp:keywords/>
  <dc:description/>
  <cp:lastModifiedBy>JiaCheng</cp:lastModifiedBy>
  <cp:revision>37</cp:revision>
  <dcterms:created xsi:type="dcterms:W3CDTF">2021-01-27T12:22:00Z</dcterms:created>
  <dcterms:modified xsi:type="dcterms:W3CDTF">2023-02-22T11:35:00Z</dcterms:modified>
</cp:coreProperties>
</file>