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985" w:type="dxa"/>
        <w:tblInd w:w="-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638"/>
        <w:gridCol w:w="1710"/>
        <w:gridCol w:w="1797"/>
        <w:gridCol w:w="16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89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Table S1  Clinicopathological data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215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All(n=481)</w:t>
            </w:r>
          </w:p>
        </w:tc>
        <w:tc>
          <w:tcPr>
            <w:tcW w:w="171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Early stage(n=369)</w:t>
            </w:r>
          </w:p>
        </w:tc>
        <w:tc>
          <w:tcPr>
            <w:tcW w:w="179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Advanced stage(n=112)</w:t>
            </w:r>
          </w:p>
        </w:tc>
        <w:tc>
          <w:tcPr>
            <w:tcW w:w="168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P-value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Age(year, range)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69(65-91)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69(65-91)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70(65-90)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0.822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Year at diagnosis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 xml:space="preserve">    1979-2000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13(2.7)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1(0.3)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12(23.2)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 xml:space="preserve">    2000-2009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24(5.0)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10(2.7)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14(12.5)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 xml:space="preserve">    2010-2019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199(41.4)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141(38.2)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58(51.8)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 xml:space="preserve">    2000-2022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245(50.9)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217(58.8)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28(25.0)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Sex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0.558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 xml:space="preserve">    female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475(98.7)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365(98.9)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110(98.2)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 xml:space="preserve">    male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6(1.3)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4(1.1)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2(1.8)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Education(year)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40" w:hRule="atLeast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 xml:space="preserve">    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≤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45(9.4)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28(7.6)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17(15.2)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 xml:space="preserve">    7-9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133(27.7)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101(27.4)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32(28.6)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 xml:space="preserve">    10-12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162(33.7)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135(36.6)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27(24.1)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40" w:hRule="atLeast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 xml:space="preserve">    </w:t>
            </w:r>
            <w:r>
              <w:rPr>
                <w:rStyle w:val="5"/>
                <w:bdr w:val="none" w:color="auto" w:sz="0" w:space="0"/>
                <w:lang w:val="en-US" w:eastAsia="zh-CN" w:bidi="ar"/>
              </w:rPr>
              <w:t>≥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141(29.3)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105(28.5)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36(32.2)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Molecular typing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luminal(HER2-)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330(68.6)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255(69.1)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75(67.0)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bdr w:val="none" w:color="auto" w:sz="0" w:space="0"/>
                <w:lang w:val="en-US" w:eastAsia="zh-CN" w:bidi="ar"/>
              </w:rPr>
              <w:t xml:space="preserve">    HER2+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95(19.8)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71(19.2)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24(21.4)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  TNBC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43(8.9)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31(8.4)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12(10.7)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6"/>
                <w:bdr w:val="none" w:color="auto" w:sz="0" w:space="0"/>
                <w:lang w:val="en-US" w:eastAsia="zh-CN" w:bidi="ar"/>
              </w:rPr>
              <w:t xml:space="preserve">    unknown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13(2.7)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12(3.3)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1(0.9)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Surgery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0.702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 xml:space="preserve">    yes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438(91.1)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335(90.8)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108(92.0)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 xml:space="preserve">    no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43(8.9)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34(9.2)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9(8)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Chemotherapy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 xml:space="preserve">    yes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272(56.5)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180(48.8)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92(82.1)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 xml:space="preserve">    no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208(43.2)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189(51.2)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19(17.0)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 xml:space="preserve">    unknown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1(0.2)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1(0.9)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Radiotherapy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&lt;0.001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r>
              <w:rPr>
                <w:rStyle w:val="4"/>
                <w:bdr w:val="none" w:color="auto" w:sz="0" w:space="0"/>
                <w:lang w:val="en-US" w:eastAsia="zh-CN" w:bidi="ar"/>
              </w:rPr>
              <w:t xml:space="preserve">    yes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145(30.1)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281(76.2)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51(45.5)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bookmarkEnd w:id="0"/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 xml:space="preserve">    no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332(69.0)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87(23.6)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58(51.8)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 xml:space="preserve">    unknown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4(0.8)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1(0.3)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3(2.7)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>Endocrine therapy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 xml:space="preserve">    yes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314(65.3)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225(61.0)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89(79.5)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0.001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 xml:space="preserve">    no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165(34.3)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142(38.5)</w:t>
            </w:r>
          </w:p>
        </w:tc>
        <w:tc>
          <w:tcPr>
            <w:tcW w:w="179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23(20.5)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215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401" w:leftChars="-294" w:hanging="1018" w:hangingChars="463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Style w:val="4"/>
                <w:bdr w:val="none" w:color="auto" w:sz="0" w:space="0"/>
                <w:lang w:val="en-US" w:eastAsia="zh-CN" w:bidi="ar"/>
              </w:rPr>
              <w:t xml:space="preserve"> </w:t>
            </w:r>
            <w:r>
              <w:rPr>
                <w:rStyle w:val="4"/>
                <w:rFonts w:hint="default" w:ascii="Times New Roman Regular"/>
                <w:bdr w:val="none" w:color="auto" w:sz="0" w:space="0"/>
                <w:lang w:eastAsia="zh-CN" w:bidi="ar"/>
              </w:rPr>
              <w:t xml:space="preserve">      </w:t>
            </w:r>
            <w:r>
              <w:rPr>
                <w:rStyle w:val="4"/>
                <w:bdr w:val="none" w:color="auto" w:sz="0" w:space="0"/>
                <w:lang w:val="en-US" w:eastAsia="zh-CN" w:bidi="ar"/>
              </w:rPr>
              <w:t xml:space="preserve">   unknown</w:t>
            </w:r>
          </w:p>
        </w:tc>
        <w:tc>
          <w:tcPr>
            <w:tcW w:w="163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2(0.4)</w:t>
            </w:r>
          </w:p>
        </w:tc>
        <w:tc>
          <w:tcPr>
            <w:tcW w:w="171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2(0.5)</w:t>
            </w:r>
          </w:p>
        </w:tc>
        <w:tc>
          <w:tcPr>
            <w:tcW w:w="179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-</w:t>
            </w:r>
          </w:p>
        </w:tc>
        <w:tc>
          <w:tcPr>
            <w:tcW w:w="168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jc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336" w:hRule="atLeast"/>
        </w:trPr>
        <w:tc>
          <w:tcPr>
            <w:tcW w:w="89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 Regular" w:hAnsi="Times New Roman Regular" w:eastAsia="Times New Roman Regular" w:cs="Times New Roman Regular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HER2, Human epidermal growth factor receptor 2;  TNBC, Triple negative breast cancer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imes New Roman Regular">
    <w:panose1 w:val="02020603050405020304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3F98464"/>
    <w:rsid w:val="3DB7D595"/>
    <w:rsid w:val="A7FB3DD9"/>
    <w:rsid w:val="B19F3BB0"/>
    <w:rsid w:val="E3F98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uiPriority w:val="0"/>
    <w:rPr>
      <w:rFonts w:hint="default" w:ascii="Times New Roman Regular" w:hAnsi="Times New Roman Regular" w:eastAsia="Times New Roman Regular" w:cs="Times New Roman Regular"/>
      <w:color w:val="000000"/>
      <w:sz w:val="22"/>
      <w:szCs w:val="22"/>
      <w:u w:val="none"/>
    </w:rPr>
  </w:style>
  <w:style w:type="character" w:customStyle="1" w:styleId="5">
    <w:name w:val="font01"/>
    <w:basedOn w:val="3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11"/>
    <w:basedOn w:val="3"/>
    <w:uiPriority w:val="0"/>
    <w:rPr>
      <w:rFonts w:hint="default" w:ascii="Times New Roman Regular" w:hAnsi="Times New Roman Regular" w:eastAsia="Times New Roman Regular" w:cs="Times New Roman Regular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Office_5.0.0.7550_F1E327BC-269C-435d-A152-05C5408002CA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2023-04-21T23:08:00Z</dcterms:created>
  <dc:creator>虾米米先生</dc:creator>
  <cp:lastModifiedBy>虾米米先生</cp:lastModifiedBy>
  <dcterms:modified xsi:type="dcterms:W3CDTF">2023-04-21T23:13:36Z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2052-5.0.0.7550</vt:lpwstr>
  </property>
  <property fmtid="{D5CDD505-2E9C-101B-9397-08002B2CF9AE}" pid="3" name="ICV">
    <vt:lpwstr>4823916C8D4CA86CE6A64264E31A93A2</vt:lpwstr>
  </property>
</Properties>
</file>