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7333"/>
        <w:gridCol w:w="862"/>
        <w:gridCol w:w="4230"/>
      </w:tblGrid>
      <w:tr w:rsidR="00191A23" w:rsidRPr="0022554A" w:rsidTr="004E43B9">
        <w:tc>
          <w:tcPr>
            <w:tcW w:w="1951" w:type="dxa"/>
          </w:tcPr>
          <w:p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7333" w:type="dxa"/>
            <w:vAlign w:val="bottom"/>
          </w:tcPr>
          <w:p w:rsidR="00191A23" w:rsidRPr="0022554A" w:rsidRDefault="00191A23" w:rsidP="0022554A">
            <w:pPr>
              <w:pStyle w:val="TableHeader"/>
              <w:tabs>
                <w:tab w:val="left" w:pos="5400"/>
              </w:tabs>
              <w:jc w:val="center"/>
              <w:rPr>
                <w:bCs/>
                <w:sz w:val="20"/>
              </w:rPr>
            </w:pPr>
            <w:r w:rsidRPr="0022554A">
              <w:rPr>
                <w:bCs/>
                <w:sz w:val="20"/>
              </w:rPr>
              <w:t>Recommendation</w:t>
            </w:r>
          </w:p>
        </w:tc>
        <w:tc>
          <w:tcPr>
            <w:tcW w:w="862" w:type="dxa"/>
          </w:tcPr>
          <w:p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4230" w:type="dxa"/>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rsidTr="004E43B9">
        <w:tc>
          <w:tcPr>
            <w:tcW w:w="1951" w:type="dxa"/>
            <w:vMerge w:val="restart"/>
          </w:tcPr>
          <w:p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191A23" w:rsidRPr="0022554A" w:rsidRDefault="00191A23" w:rsidP="0022554A">
            <w:pPr>
              <w:tabs>
                <w:tab w:val="left" w:pos="5400"/>
              </w:tabs>
              <w:jc w:val="center"/>
              <w:rPr>
                <w:sz w:val="20"/>
              </w:rPr>
            </w:pPr>
            <w:r w:rsidRPr="0022554A">
              <w:rPr>
                <w:sz w:val="20"/>
              </w:rPr>
              <w:t>1</w:t>
            </w:r>
          </w:p>
        </w:tc>
        <w:tc>
          <w:tcPr>
            <w:tcW w:w="7333"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862" w:type="dxa"/>
          </w:tcPr>
          <w:p w:rsidR="00191A23" w:rsidRPr="0022554A" w:rsidRDefault="004E43B9" w:rsidP="0022554A">
            <w:pPr>
              <w:tabs>
                <w:tab w:val="left" w:pos="5400"/>
              </w:tabs>
              <w:rPr>
                <w:sz w:val="20"/>
              </w:rPr>
            </w:pPr>
            <w:r>
              <w:rPr>
                <w:sz w:val="20"/>
              </w:rPr>
              <w:t>1,3</w:t>
            </w:r>
          </w:p>
        </w:tc>
        <w:tc>
          <w:tcPr>
            <w:tcW w:w="4230" w:type="dxa"/>
          </w:tcPr>
          <w:p w:rsidR="00191A23" w:rsidRDefault="004E43B9" w:rsidP="0022554A">
            <w:pPr>
              <w:tabs>
                <w:tab w:val="left" w:pos="5400"/>
              </w:tabs>
              <w:rPr>
                <w:sz w:val="20"/>
              </w:rPr>
            </w:pPr>
            <w:r>
              <w:rPr>
                <w:sz w:val="20"/>
              </w:rPr>
              <w:t>Case Series (title)</w:t>
            </w:r>
          </w:p>
          <w:p w:rsidR="004E43B9" w:rsidRPr="0022554A" w:rsidRDefault="004E43B9" w:rsidP="0022554A">
            <w:pPr>
              <w:tabs>
                <w:tab w:val="left" w:pos="5400"/>
              </w:tabs>
              <w:rPr>
                <w:sz w:val="20"/>
              </w:rPr>
            </w:pPr>
            <w:r>
              <w:rPr>
                <w:sz w:val="20"/>
              </w:rPr>
              <w:t>Retrospective cohort (abstract)</w:t>
            </w:r>
          </w:p>
        </w:tc>
      </w:tr>
      <w:tr w:rsidR="00191A23" w:rsidRPr="0022554A" w:rsidTr="004E43B9">
        <w:tc>
          <w:tcPr>
            <w:tcW w:w="1951" w:type="dxa"/>
            <w:vMerge/>
          </w:tcPr>
          <w:p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rsidR="00191A23" w:rsidRPr="0022554A" w:rsidRDefault="00191A23" w:rsidP="0022554A">
            <w:pPr>
              <w:tabs>
                <w:tab w:val="left" w:pos="5400"/>
              </w:tabs>
              <w:jc w:val="center"/>
              <w:rPr>
                <w:sz w:val="20"/>
              </w:rPr>
            </w:pPr>
          </w:p>
        </w:tc>
        <w:tc>
          <w:tcPr>
            <w:tcW w:w="7333"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862" w:type="dxa"/>
          </w:tcPr>
          <w:p w:rsidR="00191A23" w:rsidRPr="0022554A" w:rsidRDefault="004E43B9" w:rsidP="0022554A">
            <w:pPr>
              <w:tabs>
                <w:tab w:val="left" w:pos="5400"/>
              </w:tabs>
              <w:rPr>
                <w:sz w:val="20"/>
              </w:rPr>
            </w:pPr>
            <w:r>
              <w:rPr>
                <w:sz w:val="20"/>
              </w:rPr>
              <w:t>3</w:t>
            </w:r>
          </w:p>
        </w:tc>
        <w:tc>
          <w:tcPr>
            <w:tcW w:w="4230" w:type="dxa"/>
          </w:tcPr>
          <w:p w:rsidR="00191A23" w:rsidRPr="0022554A" w:rsidRDefault="00191A23" w:rsidP="0022554A">
            <w:pPr>
              <w:tabs>
                <w:tab w:val="left" w:pos="5400"/>
              </w:tabs>
              <w:rPr>
                <w:sz w:val="20"/>
              </w:rPr>
            </w:pPr>
          </w:p>
        </w:tc>
      </w:tr>
      <w:tr w:rsidR="00191A23" w:rsidRPr="0022554A" w:rsidTr="004E43B9">
        <w:tc>
          <w:tcPr>
            <w:tcW w:w="10762" w:type="dxa"/>
            <w:gridSpan w:val="4"/>
          </w:tcPr>
          <w:p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4230" w:type="dxa"/>
          </w:tcPr>
          <w:p w:rsidR="00191A23" w:rsidRPr="0022554A" w:rsidRDefault="00191A23" w:rsidP="0022554A">
            <w:pPr>
              <w:pStyle w:val="TableSubHead"/>
              <w:tabs>
                <w:tab w:val="left" w:pos="5400"/>
              </w:tabs>
              <w:rPr>
                <w:sz w:val="20"/>
              </w:rPr>
            </w:pPr>
          </w:p>
        </w:tc>
      </w:tr>
      <w:tr w:rsidR="00191A23" w:rsidRPr="0022554A" w:rsidTr="004E43B9">
        <w:tc>
          <w:tcPr>
            <w:tcW w:w="1951" w:type="dxa"/>
          </w:tcPr>
          <w:p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191A23" w:rsidRPr="0022554A" w:rsidRDefault="00191A23" w:rsidP="0022554A">
            <w:pPr>
              <w:tabs>
                <w:tab w:val="left" w:pos="5400"/>
              </w:tabs>
              <w:jc w:val="center"/>
              <w:rPr>
                <w:sz w:val="20"/>
              </w:rPr>
            </w:pPr>
            <w:r w:rsidRPr="0022554A">
              <w:rPr>
                <w:sz w:val="20"/>
              </w:rPr>
              <w:t>2</w:t>
            </w:r>
          </w:p>
        </w:tc>
        <w:tc>
          <w:tcPr>
            <w:tcW w:w="7333" w:type="dxa"/>
          </w:tcPr>
          <w:p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862" w:type="dxa"/>
          </w:tcPr>
          <w:p w:rsidR="00191A23" w:rsidRPr="0022554A" w:rsidRDefault="004E43B9" w:rsidP="0022554A">
            <w:pPr>
              <w:tabs>
                <w:tab w:val="left" w:pos="5400"/>
              </w:tabs>
              <w:rPr>
                <w:sz w:val="20"/>
              </w:rPr>
            </w:pPr>
            <w:r>
              <w:rPr>
                <w:sz w:val="20"/>
              </w:rPr>
              <w:t>4</w:t>
            </w:r>
          </w:p>
        </w:tc>
        <w:tc>
          <w:tcPr>
            <w:tcW w:w="4230" w:type="dxa"/>
          </w:tcPr>
          <w:p w:rsidR="00191A23" w:rsidRPr="0022554A" w:rsidRDefault="004E43B9" w:rsidP="004E43B9">
            <w:pPr>
              <w:tabs>
                <w:tab w:val="left" w:pos="5400"/>
              </w:tabs>
              <w:rPr>
                <w:sz w:val="20"/>
              </w:rPr>
            </w:pPr>
            <w:r>
              <w:rPr>
                <w:sz w:val="20"/>
              </w:rPr>
              <w:t>U</w:t>
            </w:r>
            <w:r w:rsidRPr="004E43B9">
              <w:rPr>
                <w:sz w:val="20"/>
              </w:rPr>
              <w:t>tilizing ketamine to treat RSE in patients without respiratory compromise</w:t>
            </w:r>
            <w:r>
              <w:rPr>
                <w:sz w:val="20"/>
              </w:rPr>
              <w:t xml:space="preserve"> </w:t>
            </w:r>
            <w:r w:rsidRPr="004E43B9">
              <w:rPr>
                <w:sz w:val="20"/>
              </w:rPr>
              <w:t>represents a treatment option with potential to avoid intubation and reduce overall morbidity</w:t>
            </w:r>
            <w:r>
              <w:rPr>
                <w:sz w:val="20"/>
              </w:rPr>
              <w:t>.</w:t>
            </w:r>
          </w:p>
        </w:tc>
      </w:tr>
      <w:tr w:rsidR="00191A23" w:rsidRPr="0022554A" w:rsidTr="004E43B9">
        <w:tc>
          <w:tcPr>
            <w:tcW w:w="1951" w:type="dxa"/>
          </w:tcPr>
          <w:p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191A23" w:rsidRPr="0022554A" w:rsidRDefault="00191A23" w:rsidP="0022554A">
            <w:pPr>
              <w:tabs>
                <w:tab w:val="left" w:pos="5400"/>
              </w:tabs>
              <w:jc w:val="center"/>
              <w:rPr>
                <w:sz w:val="20"/>
              </w:rPr>
            </w:pPr>
            <w:r w:rsidRPr="0022554A">
              <w:rPr>
                <w:sz w:val="20"/>
              </w:rPr>
              <w:t>3</w:t>
            </w:r>
          </w:p>
        </w:tc>
        <w:tc>
          <w:tcPr>
            <w:tcW w:w="7333" w:type="dxa"/>
          </w:tcPr>
          <w:p w:rsidR="00191A23" w:rsidRPr="0022554A" w:rsidRDefault="00191A23"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862" w:type="dxa"/>
          </w:tcPr>
          <w:p w:rsidR="00191A23" w:rsidRPr="0022554A" w:rsidRDefault="004E43B9" w:rsidP="0022554A">
            <w:pPr>
              <w:tabs>
                <w:tab w:val="left" w:pos="5400"/>
              </w:tabs>
              <w:rPr>
                <w:sz w:val="20"/>
              </w:rPr>
            </w:pPr>
            <w:r>
              <w:rPr>
                <w:sz w:val="20"/>
              </w:rPr>
              <w:t>4</w:t>
            </w:r>
          </w:p>
        </w:tc>
        <w:tc>
          <w:tcPr>
            <w:tcW w:w="4230" w:type="dxa"/>
          </w:tcPr>
          <w:p w:rsidR="00191A23" w:rsidRPr="0022554A" w:rsidRDefault="004E43B9" w:rsidP="0022554A">
            <w:pPr>
              <w:tabs>
                <w:tab w:val="left" w:pos="5400"/>
              </w:tabs>
              <w:rPr>
                <w:sz w:val="20"/>
              </w:rPr>
            </w:pPr>
            <w:r w:rsidRPr="004E43B9">
              <w:rPr>
                <w:sz w:val="20"/>
              </w:rPr>
              <w:t>The purpose of this study is to describe the efficacy and safety of the use of ketamine infusions for non-intubated patients with RSE.</w:t>
            </w:r>
          </w:p>
        </w:tc>
      </w:tr>
      <w:tr w:rsidR="00191A23" w:rsidRPr="0022554A" w:rsidTr="004E43B9">
        <w:tc>
          <w:tcPr>
            <w:tcW w:w="10762" w:type="dxa"/>
            <w:gridSpan w:val="4"/>
          </w:tcPr>
          <w:p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4230" w:type="dxa"/>
          </w:tcPr>
          <w:p w:rsidR="00191A23" w:rsidRPr="0022554A" w:rsidRDefault="00191A23" w:rsidP="0022554A">
            <w:pPr>
              <w:pStyle w:val="TableSubHead"/>
              <w:tabs>
                <w:tab w:val="left" w:pos="5400"/>
              </w:tabs>
              <w:rPr>
                <w:sz w:val="20"/>
              </w:rPr>
            </w:pPr>
          </w:p>
        </w:tc>
      </w:tr>
      <w:tr w:rsidR="00191A23" w:rsidRPr="0022554A" w:rsidTr="004E43B9">
        <w:tc>
          <w:tcPr>
            <w:tcW w:w="1951" w:type="dxa"/>
          </w:tcPr>
          <w:p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191A23" w:rsidRPr="0022554A" w:rsidRDefault="00191A23" w:rsidP="0022554A">
            <w:pPr>
              <w:tabs>
                <w:tab w:val="left" w:pos="5400"/>
              </w:tabs>
              <w:jc w:val="center"/>
              <w:rPr>
                <w:sz w:val="20"/>
              </w:rPr>
            </w:pPr>
            <w:r w:rsidRPr="0022554A">
              <w:rPr>
                <w:sz w:val="20"/>
              </w:rPr>
              <w:t>4</w:t>
            </w:r>
          </w:p>
        </w:tc>
        <w:tc>
          <w:tcPr>
            <w:tcW w:w="7333" w:type="dxa"/>
          </w:tcPr>
          <w:p w:rsidR="00191A23" w:rsidRPr="0022554A" w:rsidRDefault="00191A23" w:rsidP="0022554A">
            <w:pPr>
              <w:tabs>
                <w:tab w:val="left" w:pos="5400"/>
              </w:tabs>
              <w:rPr>
                <w:sz w:val="20"/>
              </w:rPr>
            </w:pPr>
            <w:r w:rsidRPr="0022554A">
              <w:rPr>
                <w:sz w:val="20"/>
              </w:rPr>
              <w:t>Present key elements of study design early in the paper</w:t>
            </w:r>
          </w:p>
        </w:tc>
        <w:tc>
          <w:tcPr>
            <w:tcW w:w="862" w:type="dxa"/>
          </w:tcPr>
          <w:p w:rsidR="00191A23" w:rsidRPr="0022554A" w:rsidRDefault="004E43B9" w:rsidP="0022554A">
            <w:pPr>
              <w:tabs>
                <w:tab w:val="left" w:pos="5400"/>
              </w:tabs>
              <w:rPr>
                <w:sz w:val="20"/>
              </w:rPr>
            </w:pPr>
            <w:r>
              <w:rPr>
                <w:sz w:val="20"/>
              </w:rPr>
              <w:t>4-6</w:t>
            </w:r>
          </w:p>
        </w:tc>
        <w:tc>
          <w:tcPr>
            <w:tcW w:w="4230" w:type="dxa"/>
          </w:tcPr>
          <w:p w:rsidR="00191A23" w:rsidRPr="0022554A" w:rsidRDefault="00191A23" w:rsidP="0022554A">
            <w:pPr>
              <w:tabs>
                <w:tab w:val="left" w:pos="5400"/>
              </w:tabs>
              <w:rPr>
                <w:sz w:val="20"/>
              </w:rPr>
            </w:pPr>
          </w:p>
        </w:tc>
      </w:tr>
      <w:tr w:rsidR="00191A23" w:rsidRPr="0022554A" w:rsidTr="004E43B9">
        <w:tc>
          <w:tcPr>
            <w:tcW w:w="1951" w:type="dxa"/>
          </w:tcPr>
          <w:p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191A23" w:rsidRPr="0022554A" w:rsidRDefault="00191A23" w:rsidP="0022554A">
            <w:pPr>
              <w:tabs>
                <w:tab w:val="left" w:pos="5400"/>
              </w:tabs>
              <w:jc w:val="center"/>
              <w:rPr>
                <w:sz w:val="20"/>
              </w:rPr>
            </w:pPr>
            <w:r w:rsidRPr="0022554A">
              <w:rPr>
                <w:sz w:val="20"/>
              </w:rPr>
              <w:t>5</w:t>
            </w:r>
          </w:p>
        </w:tc>
        <w:tc>
          <w:tcPr>
            <w:tcW w:w="7333" w:type="dxa"/>
          </w:tcPr>
          <w:p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862" w:type="dxa"/>
          </w:tcPr>
          <w:p w:rsidR="00191A23" w:rsidRPr="0022554A" w:rsidRDefault="004E43B9" w:rsidP="0022554A">
            <w:pPr>
              <w:tabs>
                <w:tab w:val="left" w:pos="5400"/>
              </w:tabs>
              <w:rPr>
                <w:sz w:val="20"/>
              </w:rPr>
            </w:pPr>
            <w:r>
              <w:rPr>
                <w:sz w:val="20"/>
              </w:rPr>
              <w:t>4</w:t>
            </w:r>
          </w:p>
        </w:tc>
        <w:tc>
          <w:tcPr>
            <w:tcW w:w="4230" w:type="dxa"/>
          </w:tcPr>
          <w:p w:rsidR="00191A23" w:rsidRPr="0022554A" w:rsidRDefault="004E43B9" w:rsidP="0022554A">
            <w:pPr>
              <w:tabs>
                <w:tab w:val="left" w:pos="5400"/>
              </w:tabs>
              <w:rPr>
                <w:sz w:val="20"/>
              </w:rPr>
            </w:pPr>
            <w:r w:rsidRPr="004E43B9">
              <w:rPr>
                <w:sz w:val="20"/>
              </w:rPr>
              <w:t xml:space="preserve">Patients </w:t>
            </w:r>
            <w:r w:rsidRPr="004E43B9">
              <w:rPr>
                <w:sz w:val="20"/>
              </w:rPr>
              <w:t xml:space="preserve">admitted to the </w:t>
            </w:r>
            <w:proofErr w:type="spellStart"/>
            <w:r w:rsidRPr="004E43B9">
              <w:rPr>
                <w:sz w:val="20"/>
              </w:rPr>
              <w:t>neurocritical</w:t>
            </w:r>
            <w:proofErr w:type="spellEnd"/>
            <w:r w:rsidRPr="004E43B9">
              <w:rPr>
                <w:sz w:val="20"/>
              </w:rPr>
              <w:t xml:space="preserve"> care unit at Methodist University Hospital between November 1, 2018 and December 31, 2022</w:t>
            </w:r>
            <w:r w:rsidRPr="004E43B9">
              <w:rPr>
                <w:sz w:val="20"/>
              </w:rPr>
              <w:t>.</w:t>
            </w:r>
          </w:p>
        </w:tc>
      </w:tr>
      <w:bookmarkEnd w:id="25"/>
      <w:bookmarkEnd w:id="26"/>
      <w:tr w:rsidR="00191A23" w:rsidRPr="0022554A" w:rsidTr="004E43B9">
        <w:tc>
          <w:tcPr>
            <w:tcW w:w="1951" w:type="dxa"/>
            <w:vMerge w:val="restart"/>
          </w:tcPr>
          <w:p w:rsidR="00191A23" w:rsidRPr="0022554A" w:rsidRDefault="00191A23" w:rsidP="0022554A">
            <w:pPr>
              <w:tabs>
                <w:tab w:val="left" w:pos="5400"/>
              </w:tabs>
              <w:rPr>
                <w:bCs/>
                <w:sz w:val="20"/>
              </w:rPr>
            </w:pPr>
            <w:r w:rsidRPr="0022554A">
              <w:rPr>
                <w:bCs/>
                <w:sz w:val="20"/>
              </w:rPr>
              <w:t>Participants</w:t>
            </w:r>
          </w:p>
        </w:tc>
        <w:tc>
          <w:tcPr>
            <w:tcW w:w="616" w:type="dxa"/>
            <w:vMerge w:val="restart"/>
          </w:tcPr>
          <w:p w:rsidR="00191A23" w:rsidRPr="0022554A" w:rsidRDefault="00191A23" w:rsidP="0022554A">
            <w:pPr>
              <w:tabs>
                <w:tab w:val="left" w:pos="5400"/>
              </w:tabs>
              <w:jc w:val="center"/>
              <w:rPr>
                <w:sz w:val="20"/>
              </w:rPr>
            </w:pPr>
            <w:r w:rsidRPr="0022554A">
              <w:rPr>
                <w:sz w:val="20"/>
              </w:rPr>
              <w:t>6</w:t>
            </w:r>
          </w:p>
        </w:tc>
        <w:tc>
          <w:tcPr>
            <w:tcW w:w="7333"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862" w:type="dxa"/>
          </w:tcPr>
          <w:p w:rsidR="00191A23" w:rsidRPr="0022554A" w:rsidRDefault="004E43B9" w:rsidP="0022554A">
            <w:pPr>
              <w:tabs>
                <w:tab w:val="left" w:pos="5400"/>
              </w:tabs>
              <w:rPr>
                <w:sz w:val="20"/>
              </w:rPr>
            </w:pPr>
            <w:r>
              <w:rPr>
                <w:sz w:val="20"/>
              </w:rPr>
              <w:t>5</w:t>
            </w:r>
          </w:p>
        </w:tc>
        <w:tc>
          <w:tcPr>
            <w:tcW w:w="4230" w:type="dxa"/>
          </w:tcPr>
          <w:p w:rsidR="00191A23" w:rsidRPr="004E43B9" w:rsidRDefault="004E43B9" w:rsidP="004E43B9">
            <w:pPr>
              <w:tabs>
                <w:tab w:val="left" w:pos="5400"/>
              </w:tabs>
              <w:rPr>
                <w:szCs w:val="24"/>
              </w:rPr>
            </w:pPr>
            <w:r w:rsidRPr="004E43B9">
              <w:rPr>
                <w:sz w:val="20"/>
              </w:rPr>
              <w:t xml:space="preserve">Patients were included if a ketamine infusion was administered as the first CIA for RSE without being intubated at the time of initiation. </w:t>
            </w:r>
            <w:r>
              <w:rPr>
                <w:sz w:val="20"/>
              </w:rPr>
              <w:t>Adult p</w:t>
            </w:r>
            <w:r w:rsidRPr="004E43B9">
              <w:rPr>
                <w:sz w:val="20"/>
              </w:rPr>
              <w:t>atients were identified for screening via an order for continuous infusion ketamine ordered through the status epilepticus treatment plan, cross-referenced to the time of intubation, if applicable</w:t>
            </w:r>
            <w:r w:rsidR="000D1B10">
              <w:rPr>
                <w:sz w:val="20"/>
              </w:rPr>
              <w:t xml:space="preserve">. </w:t>
            </w:r>
            <w:r w:rsidRPr="004E43B9">
              <w:rPr>
                <w:sz w:val="20"/>
              </w:rPr>
              <w:t xml:space="preserve">Patients were considered to be in RSE if they failed first and second line therapy including those who were having recurrent focal seizures </w:t>
            </w:r>
            <w:r w:rsidRPr="004E43B9">
              <w:rPr>
                <w:sz w:val="20"/>
              </w:rPr>
              <w:lastRenderedPageBreak/>
              <w:t>without returning to baseline. Patients were excluded if care was deemed futile prior to initiation of the ketamine infusion, especially anoxic brain injury or hospice patients.</w:t>
            </w:r>
          </w:p>
        </w:tc>
      </w:tr>
      <w:tr w:rsidR="00191A23" w:rsidRPr="0022554A" w:rsidTr="004E43B9">
        <w:tc>
          <w:tcPr>
            <w:tcW w:w="1951" w:type="dxa"/>
            <w:vMerge/>
          </w:tcPr>
          <w:p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rsidR="00191A23" w:rsidRPr="0022554A" w:rsidRDefault="00191A23" w:rsidP="0022554A">
            <w:pPr>
              <w:tabs>
                <w:tab w:val="left" w:pos="5400"/>
              </w:tabs>
              <w:jc w:val="center"/>
              <w:rPr>
                <w:sz w:val="20"/>
              </w:rPr>
            </w:pPr>
          </w:p>
        </w:tc>
        <w:tc>
          <w:tcPr>
            <w:tcW w:w="7333"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862" w:type="dxa"/>
          </w:tcPr>
          <w:p w:rsidR="00191A23" w:rsidRPr="0022554A" w:rsidRDefault="00191A23" w:rsidP="0022554A">
            <w:pPr>
              <w:tabs>
                <w:tab w:val="left" w:pos="5400"/>
              </w:tabs>
              <w:rPr>
                <w:sz w:val="20"/>
              </w:rPr>
            </w:pPr>
          </w:p>
        </w:tc>
        <w:tc>
          <w:tcPr>
            <w:tcW w:w="4230" w:type="dxa"/>
          </w:tcPr>
          <w:p w:rsidR="00191A23" w:rsidRPr="0022554A" w:rsidRDefault="00191A23" w:rsidP="0022554A">
            <w:pPr>
              <w:tabs>
                <w:tab w:val="left" w:pos="5400"/>
              </w:tabs>
              <w:rPr>
                <w:sz w:val="20"/>
              </w:rPr>
            </w:pPr>
          </w:p>
        </w:tc>
      </w:tr>
      <w:tr w:rsidR="00191A23" w:rsidRPr="0022554A" w:rsidTr="004E43B9">
        <w:tc>
          <w:tcPr>
            <w:tcW w:w="1951" w:type="dxa"/>
          </w:tcPr>
          <w:p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191A23" w:rsidRPr="0022554A" w:rsidRDefault="00191A23" w:rsidP="0022554A">
            <w:pPr>
              <w:tabs>
                <w:tab w:val="left" w:pos="5400"/>
              </w:tabs>
              <w:jc w:val="center"/>
              <w:rPr>
                <w:sz w:val="20"/>
              </w:rPr>
            </w:pPr>
            <w:r w:rsidRPr="0022554A">
              <w:rPr>
                <w:sz w:val="20"/>
              </w:rPr>
              <w:t>7</w:t>
            </w:r>
          </w:p>
        </w:tc>
        <w:tc>
          <w:tcPr>
            <w:tcW w:w="7333" w:type="dxa"/>
          </w:tcPr>
          <w:p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862" w:type="dxa"/>
          </w:tcPr>
          <w:p w:rsidR="00191A23" w:rsidRPr="0022554A" w:rsidRDefault="004E43B9" w:rsidP="0022554A">
            <w:pPr>
              <w:tabs>
                <w:tab w:val="left" w:pos="5400"/>
              </w:tabs>
              <w:rPr>
                <w:sz w:val="20"/>
              </w:rPr>
            </w:pPr>
            <w:r>
              <w:rPr>
                <w:sz w:val="20"/>
              </w:rPr>
              <w:t>4-6</w:t>
            </w:r>
          </w:p>
        </w:tc>
        <w:tc>
          <w:tcPr>
            <w:tcW w:w="4230" w:type="dxa"/>
          </w:tcPr>
          <w:p w:rsidR="000D1B10" w:rsidRDefault="004E43B9" w:rsidP="000D1B10">
            <w:pPr>
              <w:tabs>
                <w:tab w:val="left" w:pos="5400"/>
              </w:tabs>
              <w:rPr>
                <w:sz w:val="20"/>
              </w:rPr>
            </w:pPr>
            <w:r w:rsidRPr="000D1B10">
              <w:rPr>
                <w:sz w:val="20"/>
              </w:rPr>
              <w:t xml:space="preserve">The primary objective of the study was to assess response to ketamine. </w:t>
            </w:r>
            <w:r w:rsidR="000D1B10" w:rsidRPr="000D1B10">
              <w:rPr>
                <w:sz w:val="20"/>
              </w:rPr>
              <w:t xml:space="preserve">Responders were defined as patients with documentation of resolution of seizures or status epilepticus within 24 hours of initiation without the need for intubation or additional CIA. Non-responders were defined by worsening of or lack of resolution of seizures or status epilepticus within 24 hours following ketamine initiation, requiring intubation or other CIA after ketamine initiation, or withdrawal of care. </w:t>
            </w:r>
          </w:p>
          <w:p w:rsidR="00191A23" w:rsidRPr="0022554A" w:rsidRDefault="004E43B9" w:rsidP="000D1B10">
            <w:pPr>
              <w:tabs>
                <w:tab w:val="left" w:pos="5400"/>
              </w:tabs>
              <w:rPr>
                <w:sz w:val="20"/>
              </w:rPr>
            </w:pPr>
            <w:r w:rsidRPr="000D1B10">
              <w:rPr>
                <w:sz w:val="20"/>
              </w:rPr>
              <w:t xml:space="preserve">Secondary objectives included hemodynamic safety and an assessment of factors affecting ketamine response and </w:t>
            </w:r>
            <w:proofErr w:type="spellStart"/>
            <w:r w:rsidRPr="000D1B10">
              <w:rPr>
                <w:sz w:val="20"/>
              </w:rPr>
              <w:t>hemodynamics</w:t>
            </w:r>
            <w:proofErr w:type="spellEnd"/>
            <w:r w:rsidRPr="000D1B10">
              <w:rPr>
                <w:sz w:val="20"/>
              </w:rPr>
              <w:t xml:space="preserve">. </w:t>
            </w:r>
            <w:r w:rsidR="000D1B10" w:rsidRPr="000D1B10">
              <w:rPr>
                <w:sz w:val="20"/>
              </w:rPr>
              <w:t>Patients were assessed for hypotension (SBP &lt; 90 mmHg), hypertension (SBP &gt; 200 mmHg), bradycardia (HR &lt; 55 bpm), and tachycardia (HR &gt; 120 bpm) any time during the infusion.</w:t>
            </w:r>
          </w:p>
        </w:tc>
      </w:tr>
      <w:tr w:rsidR="00191A23" w:rsidRPr="0022554A" w:rsidTr="004E43B9">
        <w:trPr>
          <w:trHeight w:val="294"/>
        </w:trPr>
        <w:tc>
          <w:tcPr>
            <w:tcW w:w="1951" w:type="dxa"/>
          </w:tcPr>
          <w:p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7333" w:type="dxa"/>
          </w:tcPr>
          <w:p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862" w:type="dxa"/>
          </w:tcPr>
          <w:p w:rsidR="00191A23" w:rsidRPr="0022554A" w:rsidRDefault="00703607" w:rsidP="0022554A">
            <w:pPr>
              <w:tabs>
                <w:tab w:val="left" w:pos="5400"/>
              </w:tabs>
              <w:rPr>
                <w:i/>
                <w:sz w:val="20"/>
              </w:rPr>
            </w:pPr>
            <w:r w:rsidRPr="00703607">
              <w:rPr>
                <w:sz w:val="20"/>
              </w:rPr>
              <w:t>4-6</w:t>
            </w:r>
          </w:p>
        </w:tc>
        <w:tc>
          <w:tcPr>
            <w:tcW w:w="4230" w:type="dxa"/>
          </w:tcPr>
          <w:p w:rsidR="00191A23" w:rsidRDefault="00703607" w:rsidP="00703607">
            <w:pPr>
              <w:tabs>
                <w:tab w:val="left" w:pos="5400"/>
              </w:tabs>
              <w:rPr>
                <w:sz w:val="20"/>
              </w:rPr>
            </w:pPr>
            <w:r w:rsidRPr="00703607">
              <w:rPr>
                <w:sz w:val="20"/>
              </w:rPr>
              <w:t xml:space="preserve">Seizure onset was defined as the time of first clinical seizure or, for patients with non-convulsive status epilepticus, the time of first seizure per EEG report or the time of initiation of EEG monitoring for patients in status epilepticus </w:t>
            </w:r>
            <w:r w:rsidRPr="00703607">
              <w:rPr>
                <w:sz w:val="20"/>
              </w:rPr>
              <w:lastRenderedPageBreak/>
              <w:t>at EEG initiation. Time from seizure onset to ketamine initiation and time from ketamine initiation to seizure cessation were subsequently calculated</w:t>
            </w:r>
            <w:r w:rsidR="00F178DE">
              <w:rPr>
                <w:sz w:val="20"/>
              </w:rPr>
              <w:t xml:space="preserve"> per EEG report</w:t>
            </w:r>
            <w:r w:rsidRPr="00703607">
              <w:rPr>
                <w:sz w:val="20"/>
              </w:rPr>
              <w:t xml:space="preserve">. </w:t>
            </w:r>
          </w:p>
          <w:p w:rsidR="00703607" w:rsidRPr="00703607" w:rsidRDefault="00703607" w:rsidP="00703607">
            <w:pPr>
              <w:tabs>
                <w:tab w:val="left" w:pos="5400"/>
              </w:tabs>
              <w:rPr>
                <w:sz w:val="20"/>
              </w:rPr>
            </w:pPr>
            <w:r>
              <w:rPr>
                <w:sz w:val="20"/>
              </w:rPr>
              <w:t xml:space="preserve">Hemodynamic disturbances were assessed any time during the ketamine infusion. </w:t>
            </w:r>
          </w:p>
        </w:tc>
      </w:tr>
      <w:tr w:rsidR="00191A23" w:rsidRPr="0022554A" w:rsidTr="004E43B9">
        <w:tc>
          <w:tcPr>
            <w:tcW w:w="1951" w:type="dxa"/>
          </w:tcPr>
          <w:p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lastRenderedPageBreak/>
              <w:t>Bias</w:t>
            </w:r>
          </w:p>
        </w:tc>
        <w:tc>
          <w:tcPr>
            <w:tcW w:w="616" w:type="dxa"/>
          </w:tcPr>
          <w:p w:rsidR="00191A23" w:rsidRPr="0022554A" w:rsidRDefault="00191A23" w:rsidP="0022554A">
            <w:pPr>
              <w:tabs>
                <w:tab w:val="left" w:pos="5400"/>
              </w:tabs>
              <w:jc w:val="center"/>
              <w:rPr>
                <w:sz w:val="20"/>
              </w:rPr>
            </w:pPr>
            <w:r w:rsidRPr="0022554A">
              <w:rPr>
                <w:sz w:val="20"/>
              </w:rPr>
              <w:t>9</w:t>
            </w:r>
          </w:p>
        </w:tc>
        <w:tc>
          <w:tcPr>
            <w:tcW w:w="7333" w:type="dxa"/>
          </w:tcPr>
          <w:p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862" w:type="dxa"/>
          </w:tcPr>
          <w:p w:rsidR="00191A23" w:rsidRPr="0022554A" w:rsidRDefault="007C49D0" w:rsidP="0022554A">
            <w:pPr>
              <w:tabs>
                <w:tab w:val="left" w:pos="5400"/>
              </w:tabs>
              <w:rPr>
                <w:color w:val="000000"/>
                <w:sz w:val="20"/>
              </w:rPr>
            </w:pPr>
            <w:r>
              <w:rPr>
                <w:color w:val="000000"/>
                <w:sz w:val="20"/>
              </w:rPr>
              <w:t>11</w:t>
            </w:r>
          </w:p>
        </w:tc>
        <w:tc>
          <w:tcPr>
            <w:tcW w:w="4230" w:type="dxa"/>
          </w:tcPr>
          <w:p w:rsidR="00191A23" w:rsidRPr="0022554A" w:rsidRDefault="007C49D0" w:rsidP="007C49D0">
            <w:pPr>
              <w:tabs>
                <w:tab w:val="left" w:pos="5400"/>
              </w:tabs>
              <w:rPr>
                <w:color w:val="000000"/>
                <w:sz w:val="20"/>
              </w:rPr>
            </w:pPr>
            <w:r>
              <w:rPr>
                <w:color w:val="000000"/>
                <w:sz w:val="20"/>
              </w:rPr>
              <w:t>Acknowledge limitat</w:t>
            </w:r>
            <w:r w:rsidRPr="007C49D0">
              <w:rPr>
                <w:sz w:val="20"/>
              </w:rPr>
              <w:t xml:space="preserve">ions: </w:t>
            </w:r>
            <w:r w:rsidRPr="007C49D0">
              <w:rPr>
                <w:sz w:val="20"/>
              </w:rPr>
              <w:t>single-</w:t>
            </w:r>
            <w:proofErr w:type="spellStart"/>
            <w:r w:rsidRPr="007C49D0">
              <w:rPr>
                <w:sz w:val="20"/>
              </w:rPr>
              <w:t>center</w:t>
            </w:r>
            <w:proofErr w:type="spellEnd"/>
            <w:r w:rsidRPr="007C49D0">
              <w:rPr>
                <w:sz w:val="20"/>
              </w:rPr>
              <w:t>, observational nature of the study</w:t>
            </w:r>
            <w:r>
              <w:rPr>
                <w:sz w:val="20"/>
              </w:rPr>
              <w:t>;</w:t>
            </w:r>
            <w:r w:rsidRPr="007C49D0">
              <w:rPr>
                <w:sz w:val="20"/>
              </w:rPr>
              <w:t xml:space="preserve"> inability to control for multiple simultaneous interventions due to rapid escalation of therapy giving the emergent nature of RSE</w:t>
            </w:r>
            <w:r>
              <w:rPr>
                <w:sz w:val="20"/>
              </w:rPr>
              <w:t xml:space="preserve">; </w:t>
            </w:r>
            <w:r w:rsidRPr="007C49D0">
              <w:rPr>
                <w:sz w:val="20"/>
              </w:rPr>
              <w:t>no comparison group nor adequate sample size to demonstrate statistical significance</w:t>
            </w:r>
          </w:p>
        </w:tc>
      </w:tr>
      <w:tr w:rsidR="00191A23" w:rsidRPr="0022554A" w:rsidTr="004E43B9">
        <w:tc>
          <w:tcPr>
            <w:tcW w:w="1951" w:type="dxa"/>
          </w:tcPr>
          <w:p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191A23" w:rsidRPr="0022554A" w:rsidRDefault="00191A23" w:rsidP="0022554A">
            <w:pPr>
              <w:tabs>
                <w:tab w:val="left" w:pos="5400"/>
              </w:tabs>
              <w:jc w:val="center"/>
              <w:rPr>
                <w:sz w:val="20"/>
              </w:rPr>
            </w:pPr>
            <w:r w:rsidRPr="0022554A">
              <w:rPr>
                <w:sz w:val="20"/>
              </w:rPr>
              <w:t>10</w:t>
            </w:r>
          </w:p>
        </w:tc>
        <w:tc>
          <w:tcPr>
            <w:tcW w:w="7333" w:type="dxa"/>
          </w:tcPr>
          <w:p w:rsidR="00191A23" w:rsidRPr="0022554A" w:rsidRDefault="00191A23" w:rsidP="0022554A">
            <w:pPr>
              <w:tabs>
                <w:tab w:val="left" w:pos="5400"/>
              </w:tabs>
              <w:rPr>
                <w:sz w:val="20"/>
              </w:rPr>
            </w:pPr>
            <w:r w:rsidRPr="0022554A">
              <w:rPr>
                <w:sz w:val="20"/>
              </w:rPr>
              <w:t>Explain how the study size was arrived at</w:t>
            </w:r>
          </w:p>
        </w:tc>
        <w:tc>
          <w:tcPr>
            <w:tcW w:w="862" w:type="dxa"/>
          </w:tcPr>
          <w:p w:rsidR="00191A23" w:rsidRPr="0022554A" w:rsidRDefault="007C49D0" w:rsidP="0022554A">
            <w:pPr>
              <w:tabs>
                <w:tab w:val="left" w:pos="5400"/>
              </w:tabs>
              <w:rPr>
                <w:sz w:val="20"/>
              </w:rPr>
            </w:pPr>
            <w:r>
              <w:rPr>
                <w:sz w:val="20"/>
              </w:rPr>
              <w:t>4</w:t>
            </w:r>
          </w:p>
        </w:tc>
        <w:tc>
          <w:tcPr>
            <w:tcW w:w="4230" w:type="dxa"/>
          </w:tcPr>
          <w:p w:rsidR="00191A23" w:rsidRPr="0022554A" w:rsidRDefault="007C49D0" w:rsidP="0022554A">
            <w:pPr>
              <w:tabs>
                <w:tab w:val="left" w:pos="5400"/>
              </w:tabs>
              <w:rPr>
                <w:sz w:val="20"/>
              </w:rPr>
            </w:pPr>
            <w:r>
              <w:rPr>
                <w:sz w:val="20"/>
              </w:rPr>
              <w:t xml:space="preserve">All patients meeting inclusion/exclusion criteria from the time this practice was first started to current date. </w:t>
            </w: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rsidR="00191A23" w:rsidRPr="0022554A" w:rsidRDefault="0010778A" w:rsidP="00191A23">
            <w:pPr>
              <w:tabs>
                <w:tab w:val="left" w:pos="5400"/>
              </w:tabs>
              <w:rPr>
                <w:sz w:val="20"/>
              </w:rPr>
            </w:pPr>
            <w:r>
              <w:rPr>
                <w:sz w:val="20"/>
              </w:rPr>
              <w:t>6</w:t>
            </w:r>
          </w:p>
        </w:tc>
        <w:tc>
          <w:tcPr>
            <w:tcW w:w="3118" w:type="dxa"/>
          </w:tcPr>
          <w:p w:rsidR="00191A23" w:rsidRPr="0022554A" w:rsidRDefault="0010778A" w:rsidP="00191A23">
            <w:pPr>
              <w:tabs>
                <w:tab w:val="left" w:pos="5400"/>
              </w:tabs>
              <w:rPr>
                <w:sz w:val="20"/>
              </w:rPr>
            </w:pPr>
            <w:r w:rsidRPr="0010778A">
              <w:rPr>
                <w:sz w:val="20"/>
              </w:rPr>
              <w:t>Statistics are presented as median (25-75% interquartile range) or mean ± standard deviation.</w:t>
            </w:r>
          </w:p>
        </w:tc>
      </w:tr>
      <w:tr w:rsidR="00191A23" w:rsidRPr="0022554A" w:rsidTr="00517788">
        <w:tc>
          <w:tcPr>
            <w:tcW w:w="1521" w:type="dxa"/>
            <w:vMerge w:val="restart"/>
          </w:tcPr>
          <w:p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rsidR="00191A23" w:rsidRPr="0022554A" w:rsidRDefault="008F04E2" w:rsidP="00191A23">
            <w:pPr>
              <w:tabs>
                <w:tab w:val="left" w:pos="5400"/>
              </w:tabs>
              <w:rPr>
                <w:sz w:val="20"/>
              </w:rPr>
            </w:pPr>
            <w:r>
              <w:rPr>
                <w:sz w:val="20"/>
              </w:rPr>
              <w:t>6</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rsidR="00191A23" w:rsidRDefault="008F04E2" w:rsidP="00191A23">
            <w:pPr>
              <w:tabs>
                <w:tab w:val="left" w:pos="5400"/>
              </w:tabs>
              <w:rPr>
                <w:sz w:val="20"/>
              </w:rPr>
            </w:pPr>
            <w:r>
              <w:rPr>
                <w:sz w:val="20"/>
              </w:rPr>
              <w:t>6</w:t>
            </w:r>
          </w:p>
          <w:p w:rsidR="00A352F7" w:rsidRPr="0022554A" w:rsidRDefault="00A352F7" w:rsidP="00191A23">
            <w:pPr>
              <w:tabs>
                <w:tab w:val="left" w:pos="5400"/>
              </w:tabs>
              <w:rPr>
                <w:sz w:val="20"/>
              </w:rPr>
            </w:pPr>
            <w:r>
              <w:rPr>
                <w:sz w:val="20"/>
              </w:rPr>
              <w:t>Table 2</w:t>
            </w:r>
          </w:p>
        </w:tc>
        <w:tc>
          <w:tcPr>
            <w:tcW w:w="3118" w:type="dxa"/>
          </w:tcPr>
          <w:p w:rsidR="00191A23" w:rsidRPr="0022554A" w:rsidRDefault="008F04E2" w:rsidP="00191A23">
            <w:pPr>
              <w:tabs>
                <w:tab w:val="left" w:pos="5400"/>
              </w:tabs>
              <w:rPr>
                <w:sz w:val="20"/>
              </w:rPr>
            </w:pPr>
            <w:r w:rsidRPr="008F04E2">
              <w:rPr>
                <w:sz w:val="20"/>
              </w:rPr>
              <w:t>Comparisons between responders and non-responders for time and dose variables were compared using a Wilcoxon-Mann-Whitney test.</w:t>
            </w:r>
            <w:r>
              <w:rPr>
                <w:sz w:val="20"/>
              </w:rPr>
              <w:t xml:space="preserve"> </w:t>
            </w:r>
            <w:r w:rsidRPr="008F04E2">
              <w:rPr>
                <w:sz w:val="20"/>
              </w:rPr>
              <w:t xml:space="preserve">A Bayesian regression model was used to explore the difference in time from seizure onset to ketamine initiation for responders and non-responders using the </w:t>
            </w:r>
            <w:proofErr w:type="spellStart"/>
            <w:r w:rsidRPr="008F04E2">
              <w:rPr>
                <w:sz w:val="20"/>
              </w:rPr>
              <w:t>brms</w:t>
            </w:r>
            <w:proofErr w:type="spellEnd"/>
            <w:r w:rsidRPr="008F04E2">
              <w:rPr>
                <w:sz w:val="20"/>
              </w:rPr>
              <w:t xml:space="preserve"> program with default priors</w:t>
            </w:r>
            <w:r>
              <w:rPr>
                <w:sz w:val="20"/>
              </w:rPr>
              <w:t>.</w:t>
            </w:r>
          </w:p>
        </w:tc>
      </w:tr>
      <w:tr w:rsidR="00191A23" w:rsidRPr="0022554A" w:rsidTr="00517788">
        <w:tc>
          <w:tcPr>
            <w:tcW w:w="1521"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sidR="00191A23" w:rsidRPr="0022554A" w:rsidRDefault="008F04E2" w:rsidP="00191A23">
            <w:pPr>
              <w:tabs>
                <w:tab w:val="left" w:pos="5400"/>
              </w:tabs>
              <w:rPr>
                <w:sz w:val="20"/>
              </w:rPr>
            </w:pPr>
            <w:r>
              <w:rPr>
                <w:sz w:val="20"/>
              </w:rPr>
              <w:t>N/A</w:t>
            </w:r>
          </w:p>
        </w:tc>
        <w:tc>
          <w:tcPr>
            <w:tcW w:w="3118" w:type="dxa"/>
          </w:tcPr>
          <w:p w:rsidR="00191A23" w:rsidRPr="0022554A" w:rsidRDefault="008F04E2" w:rsidP="00191A23">
            <w:pPr>
              <w:tabs>
                <w:tab w:val="left" w:pos="5400"/>
              </w:tabs>
              <w:rPr>
                <w:sz w:val="20"/>
              </w:rPr>
            </w:pPr>
            <w:r>
              <w:rPr>
                <w:sz w:val="20"/>
              </w:rPr>
              <w:t>N/A</w:t>
            </w:r>
          </w:p>
        </w:tc>
      </w:tr>
      <w:tr w:rsidR="00191A23" w:rsidRPr="0022554A" w:rsidTr="00517788">
        <w:tc>
          <w:tcPr>
            <w:tcW w:w="1521"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rsidR="00191A23" w:rsidRPr="0022554A" w:rsidRDefault="008F04E2" w:rsidP="00191A23">
            <w:pPr>
              <w:tabs>
                <w:tab w:val="left" w:pos="5400"/>
              </w:tabs>
              <w:rPr>
                <w:sz w:val="20"/>
              </w:rPr>
            </w:pPr>
            <w:r>
              <w:rPr>
                <w:sz w:val="20"/>
              </w:rPr>
              <w:t>N/A</w:t>
            </w:r>
          </w:p>
        </w:tc>
        <w:tc>
          <w:tcPr>
            <w:tcW w:w="3118" w:type="dxa"/>
          </w:tcPr>
          <w:p w:rsidR="00191A23" w:rsidRPr="0022554A" w:rsidRDefault="008F04E2" w:rsidP="00191A23">
            <w:pPr>
              <w:tabs>
                <w:tab w:val="left" w:pos="5400"/>
              </w:tabs>
              <w:rPr>
                <w:sz w:val="20"/>
              </w:rPr>
            </w:pPr>
            <w:r>
              <w:rPr>
                <w:sz w:val="20"/>
              </w:rPr>
              <w:t>N/A</w:t>
            </w:r>
          </w:p>
        </w:tc>
      </w:tr>
      <w:tr w:rsidR="00191A23" w:rsidRPr="0022554A" w:rsidTr="00517788">
        <w:tc>
          <w:tcPr>
            <w:tcW w:w="1521"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rsidR="00191A23" w:rsidRPr="0022554A" w:rsidRDefault="008F04E2" w:rsidP="00191A23">
            <w:pPr>
              <w:tabs>
                <w:tab w:val="left" w:pos="5400"/>
              </w:tabs>
              <w:rPr>
                <w:sz w:val="20"/>
              </w:rPr>
            </w:pPr>
            <w:r>
              <w:rPr>
                <w:sz w:val="20"/>
              </w:rPr>
              <w:t>N/A</w:t>
            </w:r>
          </w:p>
        </w:tc>
        <w:tc>
          <w:tcPr>
            <w:tcW w:w="3118" w:type="dxa"/>
          </w:tcPr>
          <w:p w:rsidR="00191A23" w:rsidRPr="0022554A" w:rsidRDefault="008F04E2" w:rsidP="00191A23">
            <w:pPr>
              <w:tabs>
                <w:tab w:val="left" w:pos="5400"/>
              </w:tabs>
              <w:rPr>
                <w:sz w:val="20"/>
              </w:rPr>
            </w:pPr>
            <w:r>
              <w:rPr>
                <w:sz w:val="20"/>
              </w:rPr>
              <w:t>N/A</w:t>
            </w: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rsidR="00191A23" w:rsidRDefault="00A352F7" w:rsidP="00191A23">
            <w:pPr>
              <w:tabs>
                <w:tab w:val="left" w:pos="5400"/>
              </w:tabs>
              <w:rPr>
                <w:sz w:val="20"/>
              </w:rPr>
            </w:pPr>
            <w:r>
              <w:rPr>
                <w:sz w:val="20"/>
              </w:rPr>
              <w:t>6</w:t>
            </w:r>
          </w:p>
        </w:tc>
        <w:tc>
          <w:tcPr>
            <w:tcW w:w="3118" w:type="dxa"/>
          </w:tcPr>
          <w:p w:rsidR="00191A23" w:rsidRDefault="00A352F7" w:rsidP="00191A23">
            <w:pPr>
              <w:tabs>
                <w:tab w:val="left" w:pos="5400"/>
              </w:tabs>
              <w:rPr>
                <w:sz w:val="20"/>
              </w:rPr>
            </w:pPr>
            <w:r w:rsidRPr="00A352F7">
              <w:rPr>
                <w:sz w:val="20"/>
              </w:rPr>
              <w:t>We screened 110 patients who received ketamine for status epilepticus and identified 29 that met inclusion criteria. One patient was excluded as care was deemed futile prior to initiating ketamine</w:t>
            </w:r>
            <w:r w:rsidRPr="00A352F7">
              <w:rPr>
                <w:sz w:val="20"/>
              </w:rPr>
              <w:t>.</w:t>
            </w:r>
          </w:p>
        </w:tc>
      </w:tr>
      <w:tr w:rsidR="00191A23" w:rsidRPr="0022554A" w:rsidTr="00517788">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rsidR="00191A23" w:rsidRDefault="00A352F7" w:rsidP="00191A23">
            <w:pPr>
              <w:tabs>
                <w:tab w:val="left" w:pos="5400"/>
              </w:tabs>
              <w:rPr>
                <w:sz w:val="20"/>
              </w:rPr>
            </w:pPr>
            <w:r>
              <w:rPr>
                <w:sz w:val="20"/>
              </w:rPr>
              <w:t>N/A</w:t>
            </w:r>
          </w:p>
        </w:tc>
        <w:tc>
          <w:tcPr>
            <w:tcW w:w="3118" w:type="dxa"/>
          </w:tcPr>
          <w:p w:rsidR="00191A23" w:rsidRDefault="00A352F7" w:rsidP="00191A23">
            <w:pPr>
              <w:tabs>
                <w:tab w:val="left" w:pos="5400"/>
              </w:tabs>
              <w:rPr>
                <w:sz w:val="20"/>
              </w:rPr>
            </w:pPr>
            <w:r>
              <w:rPr>
                <w:sz w:val="20"/>
              </w:rPr>
              <w:t>N/A</w:t>
            </w:r>
          </w:p>
        </w:tc>
      </w:tr>
      <w:tr w:rsidR="00191A23" w:rsidRPr="0022554A" w:rsidTr="00517788">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rsidR="00191A23" w:rsidRDefault="00A352F7" w:rsidP="00191A23">
            <w:pPr>
              <w:tabs>
                <w:tab w:val="left" w:pos="5400"/>
              </w:tabs>
              <w:rPr>
                <w:sz w:val="20"/>
              </w:rPr>
            </w:pPr>
            <w:r>
              <w:rPr>
                <w:sz w:val="20"/>
              </w:rPr>
              <w:t>Figure 1</w:t>
            </w:r>
          </w:p>
        </w:tc>
        <w:tc>
          <w:tcPr>
            <w:tcW w:w="3118" w:type="dxa"/>
          </w:tcPr>
          <w:p w:rsidR="00191A23" w:rsidRDefault="00A352F7" w:rsidP="00191A23">
            <w:pPr>
              <w:tabs>
                <w:tab w:val="left" w:pos="5400"/>
              </w:tabs>
              <w:rPr>
                <w:sz w:val="20"/>
              </w:rPr>
            </w:pPr>
            <w:r>
              <w:rPr>
                <w:sz w:val="20"/>
              </w:rPr>
              <w:t>Figure 1</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rsidR="00191A23" w:rsidRDefault="00B279F3" w:rsidP="00191A23">
            <w:pPr>
              <w:tabs>
                <w:tab w:val="left" w:pos="5400"/>
              </w:tabs>
              <w:rPr>
                <w:sz w:val="20"/>
              </w:rPr>
            </w:pPr>
            <w:r>
              <w:rPr>
                <w:sz w:val="20"/>
              </w:rPr>
              <w:t>6-7</w:t>
            </w:r>
          </w:p>
          <w:p w:rsidR="00B279F3" w:rsidRDefault="00B279F3" w:rsidP="00191A23">
            <w:pPr>
              <w:tabs>
                <w:tab w:val="left" w:pos="5400"/>
              </w:tabs>
              <w:rPr>
                <w:sz w:val="20"/>
              </w:rPr>
            </w:pPr>
            <w:r>
              <w:rPr>
                <w:sz w:val="20"/>
              </w:rPr>
              <w:t>Table 1</w:t>
            </w:r>
          </w:p>
        </w:tc>
        <w:tc>
          <w:tcPr>
            <w:tcW w:w="3118" w:type="dxa"/>
          </w:tcPr>
          <w:p w:rsidR="00191A23" w:rsidRPr="00B279F3" w:rsidRDefault="00B279F3" w:rsidP="00B279F3">
            <w:pPr>
              <w:tabs>
                <w:tab w:val="left" w:pos="5400"/>
              </w:tabs>
              <w:rPr>
                <w:szCs w:val="24"/>
              </w:rPr>
            </w:pPr>
            <w:r w:rsidRPr="00B279F3">
              <w:rPr>
                <w:sz w:val="20"/>
              </w:rPr>
              <w:t xml:space="preserve">Fifteen patients (52.6%) had an epilepsy history and the majority </w:t>
            </w:r>
            <w:r w:rsidRPr="00B279F3">
              <w:rPr>
                <w:sz w:val="20"/>
              </w:rPr>
              <w:lastRenderedPageBreak/>
              <w:t xml:space="preserve">(82.1%) had structural seizure </w:t>
            </w:r>
            <w:proofErr w:type="spellStart"/>
            <w:r w:rsidRPr="00B279F3">
              <w:rPr>
                <w:sz w:val="20"/>
              </w:rPr>
              <w:t>etiology</w:t>
            </w:r>
            <w:proofErr w:type="spellEnd"/>
            <w:r w:rsidRPr="00B279F3">
              <w:rPr>
                <w:sz w:val="20"/>
              </w:rPr>
              <w:t xml:space="preserve">, primarily due to ischemic stroke, intracerebral </w:t>
            </w:r>
            <w:proofErr w:type="spellStart"/>
            <w:r w:rsidRPr="00B279F3">
              <w:rPr>
                <w:sz w:val="20"/>
              </w:rPr>
              <w:t>hemorrhage</w:t>
            </w:r>
            <w:proofErr w:type="spellEnd"/>
            <w:r w:rsidRPr="00B279F3">
              <w:rPr>
                <w:sz w:val="20"/>
              </w:rPr>
              <w:t xml:space="preserve">, or brain </w:t>
            </w:r>
            <w:proofErr w:type="spellStart"/>
            <w:r w:rsidRPr="00B279F3">
              <w:rPr>
                <w:sz w:val="20"/>
              </w:rPr>
              <w:t>tumor</w:t>
            </w:r>
            <w:proofErr w:type="spellEnd"/>
            <w:r w:rsidRPr="00B279F3">
              <w:rPr>
                <w:sz w:val="20"/>
              </w:rPr>
              <w:t xml:space="preserve">. </w:t>
            </w:r>
          </w:p>
        </w:tc>
      </w:tr>
      <w:tr w:rsidR="00191A23" w:rsidRPr="0022554A" w:rsidTr="00517788">
        <w:tc>
          <w:tcPr>
            <w:tcW w:w="0" w:type="auto"/>
            <w:vMerge/>
          </w:tcPr>
          <w:p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rsidR="00191A23" w:rsidRDefault="00B279F3" w:rsidP="00191A23">
            <w:pPr>
              <w:tabs>
                <w:tab w:val="left" w:pos="5400"/>
              </w:tabs>
              <w:rPr>
                <w:sz w:val="20"/>
              </w:rPr>
            </w:pPr>
            <w:r>
              <w:rPr>
                <w:sz w:val="20"/>
              </w:rPr>
              <w:t>N/A</w:t>
            </w:r>
          </w:p>
        </w:tc>
        <w:tc>
          <w:tcPr>
            <w:tcW w:w="3118" w:type="dxa"/>
          </w:tcPr>
          <w:p w:rsidR="00191A23" w:rsidRDefault="00B279F3" w:rsidP="00191A23">
            <w:pPr>
              <w:tabs>
                <w:tab w:val="left" w:pos="5400"/>
              </w:tabs>
              <w:rPr>
                <w:sz w:val="20"/>
              </w:rPr>
            </w:pPr>
            <w:r>
              <w:rPr>
                <w:sz w:val="20"/>
              </w:rPr>
              <w:t>N/A</w:t>
            </w:r>
          </w:p>
        </w:tc>
      </w:tr>
      <w:tr w:rsidR="00191A23" w:rsidRPr="0022554A" w:rsidTr="00517788">
        <w:tc>
          <w:tcPr>
            <w:tcW w:w="0" w:type="auto"/>
            <w:vMerge/>
          </w:tcPr>
          <w:p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rsidR="00191A23" w:rsidRDefault="00B279F3" w:rsidP="00191A23">
            <w:pPr>
              <w:tabs>
                <w:tab w:val="left" w:pos="5400"/>
              </w:tabs>
              <w:rPr>
                <w:sz w:val="20"/>
              </w:rPr>
            </w:pPr>
            <w:r>
              <w:rPr>
                <w:sz w:val="20"/>
              </w:rPr>
              <w:t>N/A</w:t>
            </w:r>
          </w:p>
        </w:tc>
        <w:tc>
          <w:tcPr>
            <w:tcW w:w="3118" w:type="dxa"/>
          </w:tcPr>
          <w:p w:rsidR="00191A23" w:rsidRDefault="00B279F3" w:rsidP="00191A23">
            <w:pPr>
              <w:tabs>
                <w:tab w:val="left" w:pos="5400"/>
              </w:tabs>
              <w:rPr>
                <w:sz w:val="20"/>
              </w:rPr>
            </w:pPr>
            <w:r>
              <w:rPr>
                <w:sz w:val="20"/>
              </w:rPr>
              <w:t>N/A</w:t>
            </w: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sidR="00191A23" w:rsidRPr="00B279F3" w:rsidRDefault="00B279F3" w:rsidP="00191A23">
            <w:pPr>
              <w:tabs>
                <w:tab w:val="left" w:pos="5400"/>
              </w:tabs>
              <w:rPr>
                <w:sz w:val="20"/>
              </w:rPr>
            </w:pPr>
            <w:r w:rsidRPr="00B279F3">
              <w:rPr>
                <w:sz w:val="20"/>
              </w:rPr>
              <w:t>7</w:t>
            </w:r>
          </w:p>
        </w:tc>
        <w:tc>
          <w:tcPr>
            <w:tcW w:w="3118" w:type="dxa"/>
          </w:tcPr>
          <w:p w:rsidR="00191A23" w:rsidRDefault="00B279F3" w:rsidP="00B279F3">
            <w:pPr>
              <w:tabs>
                <w:tab w:val="left" w:pos="5400"/>
              </w:tabs>
              <w:rPr>
                <w:sz w:val="20"/>
              </w:rPr>
            </w:pPr>
            <w:r w:rsidRPr="00B279F3">
              <w:rPr>
                <w:sz w:val="20"/>
              </w:rPr>
              <w:t xml:space="preserve">20 (71.4%) patients were assessed to be ketamine responders. </w:t>
            </w:r>
          </w:p>
          <w:p w:rsidR="00B279F3" w:rsidRPr="00B279F3" w:rsidRDefault="00B279F3" w:rsidP="00B279F3">
            <w:pPr>
              <w:tabs>
                <w:tab w:val="left" w:pos="5400"/>
              </w:tabs>
              <w:rPr>
                <w:sz w:val="20"/>
              </w:rPr>
            </w:pPr>
            <w:r w:rsidRPr="00B279F3">
              <w:rPr>
                <w:sz w:val="20"/>
              </w:rPr>
              <w:t>Overall, hypotension occurred in 12 patients within the total 28-patient cohort (42.9%).</w:t>
            </w: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sidR="00191A23" w:rsidRPr="0022554A" w:rsidRDefault="00B279F3" w:rsidP="00191A23">
            <w:pPr>
              <w:tabs>
                <w:tab w:val="left" w:pos="5400"/>
              </w:tabs>
              <w:rPr>
                <w:i/>
                <w:sz w:val="20"/>
              </w:rPr>
            </w:pPr>
            <w:r>
              <w:rPr>
                <w:sz w:val="20"/>
              </w:rPr>
              <w:t>N/A</w:t>
            </w:r>
          </w:p>
        </w:tc>
        <w:tc>
          <w:tcPr>
            <w:tcW w:w="3118" w:type="dxa"/>
          </w:tcPr>
          <w:p w:rsidR="00191A23" w:rsidRPr="0022554A" w:rsidRDefault="00B279F3" w:rsidP="00191A23">
            <w:pPr>
              <w:tabs>
                <w:tab w:val="left" w:pos="5400"/>
              </w:tabs>
              <w:rPr>
                <w:i/>
                <w:sz w:val="20"/>
              </w:rPr>
            </w:pPr>
            <w:r>
              <w:rPr>
                <w:sz w:val="20"/>
              </w:rPr>
              <w:t>N/A</w:t>
            </w: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rsidR="00191A23" w:rsidRDefault="00B279F3" w:rsidP="00191A23">
            <w:pPr>
              <w:tabs>
                <w:tab w:val="left" w:pos="5400"/>
              </w:tabs>
              <w:rPr>
                <w:i/>
                <w:sz w:val="20"/>
              </w:rPr>
            </w:pPr>
            <w:r>
              <w:rPr>
                <w:sz w:val="20"/>
              </w:rPr>
              <w:t>N/A</w:t>
            </w:r>
          </w:p>
        </w:tc>
        <w:tc>
          <w:tcPr>
            <w:tcW w:w="3118" w:type="dxa"/>
          </w:tcPr>
          <w:p w:rsidR="00191A23" w:rsidRDefault="00B279F3" w:rsidP="00191A23">
            <w:pPr>
              <w:tabs>
                <w:tab w:val="left" w:pos="5400"/>
              </w:tabs>
              <w:rPr>
                <w:i/>
                <w:sz w:val="20"/>
              </w:rPr>
            </w:pPr>
            <w:r>
              <w:rPr>
                <w:sz w:val="20"/>
              </w:rPr>
              <w:t>N/A</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rsidR="00191A23" w:rsidRPr="0022554A" w:rsidRDefault="004D6918" w:rsidP="00191A23">
            <w:pPr>
              <w:tabs>
                <w:tab w:val="left" w:pos="5400"/>
              </w:tabs>
              <w:rPr>
                <w:sz w:val="20"/>
              </w:rPr>
            </w:pPr>
            <w:r>
              <w:rPr>
                <w:sz w:val="20"/>
              </w:rPr>
              <w:t>N/A</w:t>
            </w:r>
          </w:p>
        </w:tc>
        <w:tc>
          <w:tcPr>
            <w:tcW w:w="3118" w:type="dxa"/>
          </w:tcPr>
          <w:p w:rsidR="00191A23" w:rsidRPr="0022554A" w:rsidRDefault="004D6918" w:rsidP="00191A23">
            <w:pPr>
              <w:tabs>
                <w:tab w:val="left" w:pos="5400"/>
              </w:tabs>
              <w:rPr>
                <w:sz w:val="20"/>
              </w:rPr>
            </w:pPr>
            <w:r>
              <w:rPr>
                <w:sz w:val="20"/>
              </w:rPr>
              <w:t>N/A</w:t>
            </w:r>
          </w:p>
        </w:tc>
      </w:tr>
      <w:tr w:rsidR="00191A23" w:rsidRPr="0022554A" w:rsidTr="00517788">
        <w:tc>
          <w:tcPr>
            <w:tcW w:w="0" w:type="auto"/>
            <w:vMerge/>
          </w:tcPr>
          <w:p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rsidR="00191A23" w:rsidRPr="0022554A" w:rsidRDefault="004D6918" w:rsidP="004D6918">
            <w:pPr>
              <w:tabs>
                <w:tab w:val="left" w:pos="5400"/>
              </w:tabs>
              <w:rPr>
                <w:sz w:val="20"/>
              </w:rPr>
            </w:pPr>
            <w:r>
              <w:rPr>
                <w:sz w:val="20"/>
              </w:rPr>
              <w:t>7-8</w:t>
            </w:r>
          </w:p>
        </w:tc>
        <w:tc>
          <w:tcPr>
            <w:tcW w:w="3118" w:type="dxa"/>
          </w:tcPr>
          <w:p w:rsidR="00191A23" w:rsidRPr="0022554A" w:rsidRDefault="004D6918" w:rsidP="00191A23">
            <w:pPr>
              <w:tabs>
                <w:tab w:val="left" w:pos="5400"/>
              </w:tabs>
              <w:rPr>
                <w:sz w:val="20"/>
              </w:rPr>
            </w:pPr>
            <w:r w:rsidRPr="004D6918">
              <w:rPr>
                <w:sz w:val="20"/>
              </w:rPr>
              <w:t>T</w:t>
            </w:r>
            <w:r w:rsidRPr="004D6918">
              <w:rPr>
                <w:sz w:val="20"/>
              </w:rPr>
              <w:t xml:space="preserve">ime from ketamine initiation to seizure cessation was shorter for responders compared to non-responders (7.3 ± 9.2 vs. 35.5 ± 24.7, p=0.001). While not statistically significant, responders were started on ketamine approximately 16 hours sooner that non-responders (19.6 ± 18 vs. 36 ± 44.5, p=0.78). No significant difference was identified in the maximum ketamine infusion rate (15.7 ± 7.9 vs. 15.3 ± 7.4, p=0.91) or duration (39.9 ± 17.1 vs. 39.5 ± 18.7, p=0.96) between those </w:t>
            </w:r>
            <w:r w:rsidRPr="004D6918">
              <w:rPr>
                <w:sz w:val="20"/>
              </w:rPr>
              <w:lastRenderedPageBreak/>
              <w:t>experiencing hypotension and those who did not.</w:t>
            </w:r>
          </w:p>
        </w:tc>
      </w:tr>
      <w:tr w:rsidR="00191A23" w:rsidRPr="0022554A" w:rsidTr="00517788">
        <w:tc>
          <w:tcPr>
            <w:tcW w:w="0" w:type="auto"/>
            <w:vMerge/>
          </w:tcPr>
          <w:p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rsidR="00191A23" w:rsidRPr="0022554A" w:rsidRDefault="004D6918" w:rsidP="00191A23">
            <w:pPr>
              <w:tabs>
                <w:tab w:val="left" w:pos="5400"/>
              </w:tabs>
              <w:rPr>
                <w:sz w:val="20"/>
              </w:rPr>
            </w:pPr>
            <w:r>
              <w:rPr>
                <w:sz w:val="20"/>
              </w:rPr>
              <w:t>N/A</w:t>
            </w:r>
          </w:p>
        </w:tc>
        <w:tc>
          <w:tcPr>
            <w:tcW w:w="3118" w:type="dxa"/>
          </w:tcPr>
          <w:p w:rsidR="00191A23" w:rsidRPr="0022554A" w:rsidRDefault="004D6918" w:rsidP="00191A23">
            <w:pPr>
              <w:tabs>
                <w:tab w:val="left" w:pos="5400"/>
              </w:tabs>
              <w:rPr>
                <w:sz w:val="20"/>
              </w:rPr>
            </w:pPr>
            <w:r>
              <w:rPr>
                <w:sz w:val="20"/>
              </w:rPr>
              <w:t>N/A</w:t>
            </w: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772F2" w:rsidRPr="0022554A" w:rsidTr="001772F2">
        <w:trPr>
          <w:trHeight w:val="4949"/>
        </w:trPr>
        <w:tc>
          <w:tcPr>
            <w:tcW w:w="0" w:type="auto"/>
          </w:tcPr>
          <w:bookmarkEnd w:id="80"/>
          <w:bookmarkEnd w:id="81"/>
          <w:p w:rsidR="001772F2" w:rsidRPr="0022554A" w:rsidRDefault="001772F2" w:rsidP="001772F2">
            <w:pPr>
              <w:tabs>
                <w:tab w:val="left" w:pos="5400"/>
              </w:tabs>
              <w:rPr>
                <w:bCs/>
                <w:sz w:val="20"/>
              </w:rPr>
            </w:pPr>
            <w:r w:rsidRPr="0022554A">
              <w:rPr>
                <w:bCs/>
                <w:sz w:val="20"/>
              </w:rPr>
              <w:lastRenderedPageBreak/>
              <w:t>Other analyses</w:t>
            </w:r>
          </w:p>
        </w:tc>
        <w:tc>
          <w:tcPr>
            <w:tcW w:w="0" w:type="auto"/>
          </w:tcPr>
          <w:p w:rsidR="001772F2" w:rsidRPr="0022554A" w:rsidRDefault="001772F2" w:rsidP="001772F2">
            <w:pPr>
              <w:tabs>
                <w:tab w:val="left" w:pos="5400"/>
              </w:tabs>
              <w:jc w:val="center"/>
              <w:rPr>
                <w:sz w:val="20"/>
              </w:rPr>
            </w:pPr>
            <w:r w:rsidRPr="0022554A">
              <w:rPr>
                <w:sz w:val="20"/>
              </w:rPr>
              <w:t>17</w:t>
            </w:r>
          </w:p>
        </w:tc>
        <w:tc>
          <w:tcPr>
            <w:tcW w:w="8687" w:type="dxa"/>
          </w:tcPr>
          <w:p w:rsidR="001772F2" w:rsidRPr="0022554A" w:rsidRDefault="001772F2" w:rsidP="001772F2">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rsidR="001772F2" w:rsidRPr="0022554A" w:rsidRDefault="001772F2" w:rsidP="001772F2">
            <w:pPr>
              <w:tabs>
                <w:tab w:val="left" w:pos="5400"/>
              </w:tabs>
              <w:rPr>
                <w:sz w:val="20"/>
              </w:rPr>
            </w:pPr>
            <w:r>
              <w:rPr>
                <w:sz w:val="20"/>
              </w:rPr>
              <w:t>7-8</w:t>
            </w:r>
          </w:p>
        </w:tc>
        <w:tc>
          <w:tcPr>
            <w:tcW w:w="3129" w:type="dxa"/>
          </w:tcPr>
          <w:p w:rsidR="001772F2" w:rsidRPr="0022554A" w:rsidRDefault="001772F2" w:rsidP="001772F2">
            <w:pPr>
              <w:tabs>
                <w:tab w:val="left" w:pos="5400"/>
              </w:tabs>
              <w:rPr>
                <w:sz w:val="20"/>
              </w:rPr>
            </w:pPr>
            <w:r w:rsidRPr="004D6918">
              <w:rPr>
                <w:sz w:val="20"/>
              </w:rPr>
              <w:t>Time from ketamine initiation to seizure cessation was shorter for responders compared to non-responders (7.3 ± 9.2 vs. 35.5 ± 24.7, p=0.001). While not statistically significant, responders were started on ketamine approximately 16 hours sooner that non-responders (19.6 ± 18 vs. 36 ± 44.5, p=0.78). No significant difference was identified in the maximum ketamine infusion rate (15.7 ± 7.9 vs. 15.3 ± 7.4, p=0.91) or duration (39.9 ± 17.1 vs. 39.5 ± 18.7, p=0.96) between those experiencing hypotension and those who did not.</w:t>
            </w:r>
            <w:r w:rsidRPr="001772F2">
              <w:rPr>
                <w:sz w:val="20"/>
              </w:rPr>
              <w:t xml:space="preserve"> </w:t>
            </w:r>
            <w:r w:rsidRPr="001772F2">
              <w:rPr>
                <w:sz w:val="20"/>
              </w:rPr>
              <w:t>By Bayesian regression, the probability that responders received ketamine five or more hours earlier than non-responders was 0.80</w:t>
            </w:r>
            <w:r>
              <w:rPr>
                <w:sz w:val="20"/>
              </w:rPr>
              <w:t>.</w:t>
            </w:r>
          </w:p>
        </w:tc>
      </w:tr>
      <w:tr w:rsidR="001772F2" w:rsidRPr="0022554A" w:rsidTr="00191A23">
        <w:tc>
          <w:tcPr>
            <w:tcW w:w="14992" w:type="dxa"/>
            <w:gridSpan w:val="5"/>
          </w:tcPr>
          <w:p w:rsidR="001772F2" w:rsidRPr="0022554A" w:rsidRDefault="001772F2" w:rsidP="001772F2">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772F2" w:rsidRPr="0022554A" w:rsidTr="00517788">
        <w:tc>
          <w:tcPr>
            <w:tcW w:w="0" w:type="auto"/>
          </w:tcPr>
          <w:p w:rsidR="001772F2" w:rsidRPr="0022554A" w:rsidRDefault="001772F2" w:rsidP="001772F2">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1772F2" w:rsidRPr="0022554A" w:rsidRDefault="001772F2" w:rsidP="001772F2">
            <w:pPr>
              <w:tabs>
                <w:tab w:val="left" w:pos="5400"/>
              </w:tabs>
              <w:jc w:val="center"/>
              <w:rPr>
                <w:sz w:val="20"/>
              </w:rPr>
            </w:pPr>
            <w:r w:rsidRPr="0022554A">
              <w:rPr>
                <w:sz w:val="20"/>
              </w:rPr>
              <w:t>18</w:t>
            </w:r>
          </w:p>
        </w:tc>
        <w:tc>
          <w:tcPr>
            <w:tcW w:w="8687" w:type="dxa"/>
          </w:tcPr>
          <w:p w:rsidR="001772F2" w:rsidRPr="0022554A" w:rsidRDefault="001772F2" w:rsidP="001772F2">
            <w:pPr>
              <w:tabs>
                <w:tab w:val="left" w:pos="5400"/>
              </w:tabs>
              <w:rPr>
                <w:sz w:val="20"/>
              </w:rPr>
            </w:pPr>
            <w:r w:rsidRPr="0022554A">
              <w:rPr>
                <w:sz w:val="20"/>
              </w:rPr>
              <w:t>Summarise key results with reference to study objectives</w:t>
            </w:r>
          </w:p>
        </w:tc>
        <w:tc>
          <w:tcPr>
            <w:tcW w:w="1265" w:type="dxa"/>
          </w:tcPr>
          <w:p w:rsidR="001772F2" w:rsidRPr="0022554A" w:rsidRDefault="001772F2" w:rsidP="001772F2">
            <w:pPr>
              <w:tabs>
                <w:tab w:val="left" w:pos="5400"/>
              </w:tabs>
              <w:rPr>
                <w:sz w:val="20"/>
              </w:rPr>
            </w:pPr>
            <w:r>
              <w:rPr>
                <w:sz w:val="20"/>
              </w:rPr>
              <w:t>9-11</w:t>
            </w:r>
          </w:p>
        </w:tc>
        <w:tc>
          <w:tcPr>
            <w:tcW w:w="3129" w:type="dxa"/>
          </w:tcPr>
          <w:p w:rsidR="001772F2" w:rsidRPr="0022554A" w:rsidRDefault="001772F2" w:rsidP="001772F2">
            <w:pPr>
              <w:tabs>
                <w:tab w:val="left" w:pos="5400"/>
              </w:tabs>
              <w:rPr>
                <w:sz w:val="20"/>
              </w:rPr>
            </w:pPr>
            <w:r w:rsidRPr="001772F2">
              <w:rPr>
                <w:sz w:val="20"/>
              </w:rPr>
              <w:t xml:space="preserve">Ketamine initiation resulted in successful seizure termination within 24 hours without need for intubation and additional </w:t>
            </w:r>
            <w:proofErr w:type="spellStart"/>
            <w:r w:rsidRPr="001772F2">
              <w:rPr>
                <w:sz w:val="20"/>
              </w:rPr>
              <w:t>anesthetic</w:t>
            </w:r>
            <w:proofErr w:type="spellEnd"/>
            <w:r w:rsidRPr="001772F2">
              <w:rPr>
                <w:sz w:val="20"/>
              </w:rPr>
              <w:t xml:space="preserve"> use </w:t>
            </w:r>
            <w:proofErr w:type="gramStart"/>
            <w:r w:rsidRPr="001772F2">
              <w:rPr>
                <w:sz w:val="20"/>
              </w:rPr>
              <w:t>in</w:t>
            </w:r>
            <w:proofErr w:type="gramEnd"/>
            <w:r w:rsidRPr="001772F2">
              <w:rPr>
                <w:sz w:val="20"/>
              </w:rPr>
              <w:t xml:space="preserve"> the majority of patients (71.4%). Our study demonstrated that hypotension was more likely than hypertension in this population not receiving other continuous </w:t>
            </w:r>
            <w:r w:rsidRPr="001772F2">
              <w:rPr>
                <w:sz w:val="20"/>
              </w:rPr>
              <w:lastRenderedPageBreak/>
              <w:t xml:space="preserve">infusion </w:t>
            </w:r>
            <w:proofErr w:type="spellStart"/>
            <w:r w:rsidRPr="001772F2">
              <w:rPr>
                <w:sz w:val="20"/>
              </w:rPr>
              <w:t>anesthetics</w:t>
            </w:r>
            <w:proofErr w:type="spellEnd"/>
            <w:r w:rsidRPr="001772F2">
              <w:rPr>
                <w:sz w:val="20"/>
              </w:rPr>
              <w:t>; however, vasopressor initiation was low at 4.5% when ketamine was used alone.</w:t>
            </w:r>
          </w:p>
        </w:tc>
      </w:tr>
      <w:tr w:rsidR="001772F2" w:rsidRPr="0022554A" w:rsidTr="00517788">
        <w:tc>
          <w:tcPr>
            <w:tcW w:w="0" w:type="auto"/>
          </w:tcPr>
          <w:p w:rsidR="001772F2" w:rsidRPr="0022554A" w:rsidRDefault="001772F2" w:rsidP="001772F2">
            <w:pPr>
              <w:tabs>
                <w:tab w:val="left" w:pos="5400"/>
              </w:tabs>
              <w:rPr>
                <w:bCs/>
                <w:sz w:val="20"/>
              </w:rPr>
            </w:pPr>
            <w:bookmarkStart w:id="86" w:name="italic46" w:colFirst="0" w:colLast="0"/>
            <w:bookmarkStart w:id="87" w:name="bold47" w:colFirst="0" w:colLast="0"/>
            <w:bookmarkEnd w:id="84"/>
            <w:bookmarkEnd w:id="85"/>
            <w:r w:rsidRPr="0022554A">
              <w:rPr>
                <w:bCs/>
                <w:sz w:val="20"/>
              </w:rPr>
              <w:lastRenderedPageBreak/>
              <w:t>Limitations</w:t>
            </w:r>
          </w:p>
        </w:tc>
        <w:tc>
          <w:tcPr>
            <w:tcW w:w="0" w:type="auto"/>
          </w:tcPr>
          <w:p w:rsidR="001772F2" w:rsidRPr="0022554A" w:rsidRDefault="001772F2" w:rsidP="001772F2">
            <w:pPr>
              <w:tabs>
                <w:tab w:val="left" w:pos="5400"/>
              </w:tabs>
              <w:jc w:val="center"/>
              <w:rPr>
                <w:sz w:val="20"/>
              </w:rPr>
            </w:pPr>
            <w:r w:rsidRPr="0022554A">
              <w:rPr>
                <w:sz w:val="20"/>
              </w:rPr>
              <w:t>19</w:t>
            </w:r>
          </w:p>
        </w:tc>
        <w:tc>
          <w:tcPr>
            <w:tcW w:w="8687" w:type="dxa"/>
          </w:tcPr>
          <w:p w:rsidR="001772F2" w:rsidRPr="0022554A" w:rsidRDefault="001772F2" w:rsidP="001772F2">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rsidR="001772F2" w:rsidRPr="0022554A" w:rsidRDefault="001772F2" w:rsidP="001772F2">
            <w:pPr>
              <w:tabs>
                <w:tab w:val="left" w:pos="5400"/>
              </w:tabs>
              <w:rPr>
                <w:sz w:val="20"/>
              </w:rPr>
            </w:pPr>
            <w:r>
              <w:rPr>
                <w:sz w:val="20"/>
              </w:rPr>
              <w:t>11</w:t>
            </w:r>
          </w:p>
        </w:tc>
        <w:tc>
          <w:tcPr>
            <w:tcW w:w="3129" w:type="dxa"/>
          </w:tcPr>
          <w:p w:rsidR="001772F2" w:rsidRPr="0022554A" w:rsidRDefault="001772F2" w:rsidP="001772F2">
            <w:pPr>
              <w:tabs>
                <w:tab w:val="left" w:pos="5400"/>
              </w:tabs>
              <w:rPr>
                <w:sz w:val="20"/>
              </w:rPr>
            </w:pPr>
            <w:r w:rsidRPr="001772F2">
              <w:rPr>
                <w:sz w:val="20"/>
              </w:rPr>
              <w:t>Limitations include the single-</w:t>
            </w:r>
            <w:proofErr w:type="spellStart"/>
            <w:r w:rsidRPr="001772F2">
              <w:rPr>
                <w:sz w:val="20"/>
              </w:rPr>
              <w:t>center</w:t>
            </w:r>
            <w:proofErr w:type="spellEnd"/>
            <w:r w:rsidRPr="001772F2">
              <w:rPr>
                <w:sz w:val="20"/>
              </w:rPr>
              <w:t>, observational nature of the study and inability to control for multiple simultaneous interventions due to rapid escalation of therapy giving the emergent nature of RSE. There was also no comparison group nor adequate sample size to demonstrate statistical significance.</w:t>
            </w:r>
          </w:p>
        </w:tc>
      </w:tr>
      <w:tr w:rsidR="001772F2" w:rsidRPr="0022554A" w:rsidTr="00517788">
        <w:tc>
          <w:tcPr>
            <w:tcW w:w="0" w:type="auto"/>
          </w:tcPr>
          <w:p w:rsidR="001772F2" w:rsidRPr="0022554A" w:rsidRDefault="001772F2" w:rsidP="001772F2">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1772F2" w:rsidRPr="0022554A" w:rsidRDefault="001772F2" w:rsidP="001772F2">
            <w:pPr>
              <w:tabs>
                <w:tab w:val="left" w:pos="5400"/>
              </w:tabs>
              <w:jc w:val="center"/>
              <w:rPr>
                <w:sz w:val="20"/>
              </w:rPr>
            </w:pPr>
            <w:r w:rsidRPr="0022554A">
              <w:rPr>
                <w:sz w:val="20"/>
              </w:rPr>
              <w:t>20</w:t>
            </w:r>
          </w:p>
        </w:tc>
        <w:tc>
          <w:tcPr>
            <w:tcW w:w="8687" w:type="dxa"/>
          </w:tcPr>
          <w:p w:rsidR="001772F2" w:rsidRPr="0022554A" w:rsidRDefault="001772F2" w:rsidP="001772F2">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1772F2" w:rsidRPr="0022554A" w:rsidRDefault="005116D1" w:rsidP="001772F2">
            <w:pPr>
              <w:tabs>
                <w:tab w:val="left" w:pos="5400"/>
              </w:tabs>
              <w:rPr>
                <w:sz w:val="20"/>
              </w:rPr>
            </w:pPr>
            <w:r>
              <w:rPr>
                <w:sz w:val="20"/>
              </w:rPr>
              <w:t>12</w:t>
            </w:r>
          </w:p>
        </w:tc>
        <w:tc>
          <w:tcPr>
            <w:tcW w:w="3129" w:type="dxa"/>
          </w:tcPr>
          <w:p w:rsidR="001772F2" w:rsidRPr="005116D1" w:rsidRDefault="005116D1" w:rsidP="005116D1">
            <w:pPr>
              <w:tabs>
                <w:tab w:val="left" w:pos="5400"/>
              </w:tabs>
              <w:rPr>
                <w:szCs w:val="24"/>
              </w:rPr>
            </w:pPr>
            <w:bookmarkStart w:id="90" w:name="_GoBack"/>
            <w:r w:rsidRPr="005116D1">
              <w:rPr>
                <w:sz w:val="20"/>
              </w:rPr>
              <w:t>This case series of RSE patients demonstrates the safe and effective use of continuous ketamine infusions with a response rate of 71.4%. This practice of early use of a ketamine infusion may potentially reduce the morbidity associated with intubation and mechanical ventilation. Adverse effects were minimal and manageable without the need to adjust or interrupt ketamine.</w:t>
            </w:r>
            <w:r>
              <w:rPr>
                <w:szCs w:val="24"/>
              </w:rPr>
              <w:t xml:space="preserve"> </w:t>
            </w:r>
            <w:bookmarkEnd w:id="90"/>
          </w:p>
        </w:tc>
      </w:tr>
      <w:tr w:rsidR="001772F2" w:rsidRPr="0022554A" w:rsidTr="00517788">
        <w:tc>
          <w:tcPr>
            <w:tcW w:w="0" w:type="auto"/>
          </w:tcPr>
          <w:p w:rsidR="001772F2" w:rsidRPr="0022554A" w:rsidRDefault="001772F2" w:rsidP="001772F2">
            <w:pPr>
              <w:tabs>
                <w:tab w:val="left" w:pos="5400"/>
              </w:tabs>
              <w:rPr>
                <w:bCs/>
                <w:sz w:val="20"/>
              </w:rPr>
            </w:pPr>
            <w:bookmarkStart w:id="91" w:name="italic48" w:colFirst="0" w:colLast="0"/>
            <w:bookmarkStart w:id="92" w:name="bold49" w:colFirst="0" w:colLast="0"/>
            <w:bookmarkEnd w:id="88"/>
            <w:bookmarkEnd w:id="89"/>
            <w:r w:rsidRPr="0022554A">
              <w:rPr>
                <w:bCs/>
                <w:sz w:val="20"/>
              </w:rPr>
              <w:t>Generalisability</w:t>
            </w:r>
          </w:p>
        </w:tc>
        <w:tc>
          <w:tcPr>
            <w:tcW w:w="0" w:type="auto"/>
          </w:tcPr>
          <w:p w:rsidR="001772F2" w:rsidRPr="0022554A" w:rsidRDefault="001772F2" w:rsidP="001772F2">
            <w:pPr>
              <w:tabs>
                <w:tab w:val="left" w:pos="5400"/>
              </w:tabs>
              <w:jc w:val="center"/>
              <w:rPr>
                <w:sz w:val="20"/>
              </w:rPr>
            </w:pPr>
            <w:r w:rsidRPr="0022554A">
              <w:rPr>
                <w:sz w:val="20"/>
              </w:rPr>
              <w:t>21</w:t>
            </w:r>
          </w:p>
        </w:tc>
        <w:tc>
          <w:tcPr>
            <w:tcW w:w="8687" w:type="dxa"/>
          </w:tcPr>
          <w:p w:rsidR="001772F2" w:rsidRPr="0022554A" w:rsidRDefault="001772F2" w:rsidP="001772F2">
            <w:pPr>
              <w:tabs>
                <w:tab w:val="left" w:pos="5400"/>
              </w:tabs>
              <w:rPr>
                <w:sz w:val="20"/>
              </w:rPr>
            </w:pPr>
            <w:r w:rsidRPr="0022554A">
              <w:rPr>
                <w:sz w:val="20"/>
              </w:rPr>
              <w:t>Discuss the generalisability (external validity) of the study results</w:t>
            </w:r>
          </w:p>
        </w:tc>
        <w:tc>
          <w:tcPr>
            <w:tcW w:w="1265" w:type="dxa"/>
          </w:tcPr>
          <w:p w:rsidR="001772F2" w:rsidRPr="0022554A" w:rsidRDefault="000875D1" w:rsidP="001772F2">
            <w:pPr>
              <w:tabs>
                <w:tab w:val="left" w:pos="5400"/>
              </w:tabs>
              <w:rPr>
                <w:sz w:val="20"/>
              </w:rPr>
            </w:pPr>
            <w:r>
              <w:rPr>
                <w:sz w:val="20"/>
              </w:rPr>
              <w:t>12</w:t>
            </w:r>
          </w:p>
        </w:tc>
        <w:tc>
          <w:tcPr>
            <w:tcW w:w="3129" w:type="dxa"/>
          </w:tcPr>
          <w:p w:rsidR="001772F2" w:rsidRPr="0022554A" w:rsidRDefault="000875D1" w:rsidP="001772F2">
            <w:pPr>
              <w:tabs>
                <w:tab w:val="left" w:pos="5400"/>
              </w:tabs>
              <w:rPr>
                <w:sz w:val="20"/>
              </w:rPr>
            </w:pPr>
            <w:r w:rsidRPr="000875D1">
              <w:rPr>
                <w:sz w:val="20"/>
              </w:rPr>
              <w:t xml:space="preserve">This can be used to support the feasibility of future trials with ketamine monotherapy and earlier use in the status epilepticus treatment protocol. </w:t>
            </w:r>
          </w:p>
        </w:tc>
      </w:tr>
      <w:tr w:rsidR="001772F2" w:rsidRPr="0022554A" w:rsidTr="00517788">
        <w:tc>
          <w:tcPr>
            <w:tcW w:w="1911" w:type="dxa"/>
            <w:gridSpan w:val="2"/>
          </w:tcPr>
          <w:p w:rsidR="001772F2" w:rsidRPr="0022554A" w:rsidRDefault="001772F2" w:rsidP="001772F2">
            <w:pPr>
              <w:pStyle w:val="TableSubHead"/>
              <w:tabs>
                <w:tab w:val="left" w:pos="5400"/>
              </w:tabs>
              <w:rPr>
                <w:sz w:val="20"/>
              </w:rPr>
            </w:pPr>
            <w:bookmarkStart w:id="93" w:name="italic49"/>
            <w:bookmarkStart w:id="94" w:name="bold50"/>
            <w:bookmarkEnd w:id="91"/>
            <w:bookmarkEnd w:id="92"/>
            <w:r w:rsidRPr="0022554A">
              <w:rPr>
                <w:sz w:val="20"/>
              </w:rPr>
              <w:t>Other information</w:t>
            </w:r>
          </w:p>
        </w:tc>
        <w:bookmarkEnd w:id="93"/>
        <w:bookmarkEnd w:id="94"/>
        <w:tc>
          <w:tcPr>
            <w:tcW w:w="13081" w:type="dxa"/>
            <w:gridSpan w:val="3"/>
          </w:tcPr>
          <w:p w:rsidR="001772F2" w:rsidRPr="0022554A" w:rsidRDefault="001772F2" w:rsidP="001772F2">
            <w:pPr>
              <w:pStyle w:val="TableSubHead"/>
              <w:tabs>
                <w:tab w:val="left" w:pos="5400"/>
              </w:tabs>
              <w:rPr>
                <w:sz w:val="20"/>
              </w:rPr>
            </w:pPr>
          </w:p>
        </w:tc>
      </w:tr>
      <w:tr w:rsidR="001772F2" w:rsidRPr="0022554A" w:rsidTr="00517788">
        <w:tc>
          <w:tcPr>
            <w:tcW w:w="0" w:type="auto"/>
          </w:tcPr>
          <w:p w:rsidR="001772F2" w:rsidRPr="0022554A" w:rsidRDefault="001772F2" w:rsidP="001772F2">
            <w:pPr>
              <w:tabs>
                <w:tab w:val="left" w:pos="5400"/>
              </w:tabs>
              <w:rPr>
                <w:bCs/>
                <w:sz w:val="20"/>
              </w:rPr>
            </w:pPr>
            <w:bookmarkStart w:id="95" w:name="italic50" w:colFirst="0" w:colLast="0"/>
            <w:bookmarkStart w:id="96" w:name="bold51" w:colFirst="0" w:colLast="0"/>
            <w:r w:rsidRPr="0022554A">
              <w:rPr>
                <w:bCs/>
                <w:sz w:val="20"/>
              </w:rPr>
              <w:lastRenderedPageBreak/>
              <w:t>Funding</w:t>
            </w:r>
          </w:p>
        </w:tc>
        <w:tc>
          <w:tcPr>
            <w:tcW w:w="0" w:type="auto"/>
          </w:tcPr>
          <w:p w:rsidR="001772F2" w:rsidRPr="0022554A" w:rsidRDefault="001772F2" w:rsidP="001772F2">
            <w:pPr>
              <w:tabs>
                <w:tab w:val="left" w:pos="5400"/>
              </w:tabs>
              <w:jc w:val="center"/>
              <w:rPr>
                <w:sz w:val="20"/>
              </w:rPr>
            </w:pPr>
            <w:r w:rsidRPr="0022554A">
              <w:rPr>
                <w:sz w:val="20"/>
              </w:rPr>
              <w:t>22</w:t>
            </w:r>
          </w:p>
        </w:tc>
        <w:tc>
          <w:tcPr>
            <w:tcW w:w="8687" w:type="dxa"/>
          </w:tcPr>
          <w:p w:rsidR="001772F2" w:rsidRPr="0022554A" w:rsidRDefault="001772F2" w:rsidP="001772F2">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1772F2" w:rsidRPr="0022554A" w:rsidRDefault="007515AF" w:rsidP="001772F2">
            <w:pPr>
              <w:tabs>
                <w:tab w:val="left" w:pos="5400"/>
              </w:tabs>
              <w:rPr>
                <w:sz w:val="20"/>
              </w:rPr>
            </w:pPr>
            <w:r>
              <w:rPr>
                <w:sz w:val="20"/>
              </w:rPr>
              <w:t>N/A</w:t>
            </w:r>
          </w:p>
        </w:tc>
        <w:tc>
          <w:tcPr>
            <w:tcW w:w="3129" w:type="dxa"/>
          </w:tcPr>
          <w:p w:rsidR="001772F2" w:rsidRPr="0022554A" w:rsidRDefault="007515AF" w:rsidP="001772F2">
            <w:pPr>
              <w:tabs>
                <w:tab w:val="left" w:pos="5400"/>
              </w:tabs>
              <w:rPr>
                <w:sz w:val="20"/>
              </w:rPr>
            </w:pPr>
            <w:r>
              <w:rPr>
                <w:sz w:val="20"/>
              </w:rPr>
              <w:t>N/A</w:t>
            </w:r>
          </w:p>
        </w:tc>
      </w:tr>
      <w:bookmarkEnd w:id="95"/>
      <w:bookmarkEnd w:id="96"/>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F00" w:rsidRDefault="00087F00">
      <w:r>
        <w:separator/>
      </w:r>
    </w:p>
  </w:endnote>
  <w:endnote w:type="continuationSeparator" w:id="0">
    <w:p w:rsidR="00087F00" w:rsidRDefault="00087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16D1">
      <w:rPr>
        <w:rStyle w:val="PageNumber"/>
        <w:noProof/>
      </w:rPr>
      <w:t>9</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F00" w:rsidRDefault="00087F00">
      <w:r>
        <w:separator/>
      </w:r>
    </w:p>
  </w:footnote>
  <w:footnote w:type="continuationSeparator" w:id="0">
    <w:p w:rsidR="00087F00" w:rsidRDefault="00087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875D1"/>
    <w:rsid w:val="00087F00"/>
    <w:rsid w:val="00093E3A"/>
    <w:rsid w:val="000B6FD4"/>
    <w:rsid w:val="000D1B10"/>
    <w:rsid w:val="000E3193"/>
    <w:rsid w:val="000E691B"/>
    <w:rsid w:val="000F26ED"/>
    <w:rsid w:val="0010778A"/>
    <w:rsid w:val="00110BFB"/>
    <w:rsid w:val="00134AAC"/>
    <w:rsid w:val="001772F2"/>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D6918"/>
    <w:rsid w:val="004E1263"/>
    <w:rsid w:val="004E43B9"/>
    <w:rsid w:val="005044A6"/>
    <w:rsid w:val="005116D1"/>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03607"/>
    <w:rsid w:val="00711D81"/>
    <w:rsid w:val="0074576C"/>
    <w:rsid w:val="007515AF"/>
    <w:rsid w:val="00754BA5"/>
    <w:rsid w:val="007562C3"/>
    <w:rsid w:val="007778CB"/>
    <w:rsid w:val="007C49D0"/>
    <w:rsid w:val="007C72F6"/>
    <w:rsid w:val="007F7FA0"/>
    <w:rsid w:val="00816966"/>
    <w:rsid w:val="00817D26"/>
    <w:rsid w:val="00821CD4"/>
    <w:rsid w:val="008423A7"/>
    <w:rsid w:val="008440CC"/>
    <w:rsid w:val="0089107E"/>
    <w:rsid w:val="00891604"/>
    <w:rsid w:val="008D225B"/>
    <w:rsid w:val="008F04E2"/>
    <w:rsid w:val="00921BF8"/>
    <w:rsid w:val="009367F9"/>
    <w:rsid w:val="009642BE"/>
    <w:rsid w:val="00976EE1"/>
    <w:rsid w:val="009872CC"/>
    <w:rsid w:val="009B10F1"/>
    <w:rsid w:val="009B368D"/>
    <w:rsid w:val="009C24D4"/>
    <w:rsid w:val="009E0429"/>
    <w:rsid w:val="009F5211"/>
    <w:rsid w:val="00A13C96"/>
    <w:rsid w:val="00A352F7"/>
    <w:rsid w:val="00A42352"/>
    <w:rsid w:val="00A527E4"/>
    <w:rsid w:val="00A5640D"/>
    <w:rsid w:val="00A729D6"/>
    <w:rsid w:val="00A938BF"/>
    <w:rsid w:val="00AB7BC4"/>
    <w:rsid w:val="00AE23EB"/>
    <w:rsid w:val="00AE2C57"/>
    <w:rsid w:val="00AF4615"/>
    <w:rsid w:val="00B279F3"/>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178DE"/>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E6C00EF"/>
  <w15:docId w15:val="{45A817CE-F915-4CA8-8BC3-3304979C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36</TotalTime>
  <Pages>9</Pages>
  <Words>1772</Words>
  <Characters>10101</Characters>
  <Application>Microsoft Office Word</Application>
  <DocSecurity>0</DocSecurity>
  <Lines>84</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Lauren Kimmons</cp:lastModifiedBy>
  <cp:revision>16</cp:revision>
  <cp:lastPrinted>2014-09-01T08:36:00Z</cp:lastPrinted>
  <dcterms:created xsi:type="dcterms:W3CDTF">2023-05-03T21:04:00Z</dcterms:created>
  <dcterms:modified xsi:type="dcterms:W3CDTF">2023-05-03T21:50:00Z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