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1F7F3" w14:textId="77777777" w:rsidR="0051242E" w:rsidRPr="004C5048" w:rsidRDefault="0051242E" w:rsidP="0051242E">
      <w:pPr>
        <w:spacing w:line="360" w:lineRule="auto"/>
        <w:rPr>
          <w:rFonts w:ascii="Times New Roman" w:hAnsi="Times New Roman" w:cs="Times New Roman"/>
          <w:b/>
          <w:bCs/>
          <w:color w:val="000000" w:themeColor="text1"/>
          <w:sz w:val="20"/>
          <w:szCs w:val="20"/>
        </w:rPr>
      </w:pPr>
      <w:r w:rsidRPr="004C5048">
        <w:rPr>
          <w:rFonts w:ascii="Times New Roman" w:hAnsi="Times New Roman" w:cs="Times New Roman"/>
          <w:b/>
          <w:bCs/>
          <w:color w:val="000000" w:themeColor="text1"/>
          <w:sz w:val="20"/>
          <w:szCs w:val="20"/>
        </w:rPr>
        <w:t>Development of the ESS questionnaire</w:t>
      </w:r>
    </w:p>
    <w:p w14:paraId="6631FB25" w14:textId="3A9F8A28" w:rsidR="0051242E" w:rsidRPr="004C5048" w:rsidRDefault="0051242E" w:rsidP="0051242E">
      <w:pPr>
        <w:spacing w:line="360" w:lineRule="auto"/>
        <w:ind w:firstLine="418"/>
        <w:jc w:val="left"/>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 xml:space="preserve">The basic concept of the ESS questionnaire was to use an emoji sticker to express the characteristics and degrees of symptoms expressed in relation to the sentences in the PRO-CTCAE </w:t>
      </w:r>
      <w:r w:rsidRPr="004C5048">
        <w:rPr>
          <w:rFonts w:ascii="Times New Roman" w:hAnsi="Times New Roman" w:cs="Times New Roman" w:hint="eastAsia"/>
          <w:color w:val="000000" w:themeColor="text1"/>
          <w:sz w:val="20"/>
          <w:szCs w:val="20"/>
        </w:rPr>
        <w:t xml:space="preserve"> </w:t>
      </w:r>
      <w:r w:rsidRPr="004C5048">
        <w:rPr>
          <w:rFonts w:ascii="Times New Roman" w:hAnsi="Times New Roman" w:cs="Times New Roman"/>
          <w:color w:val="000000" w:themeColor="text1"/>
          <w:sz w:val="20"/>
          <w:szCs w:val="20"/>
        </w:rPr>
        <w:t>questionnaire</w:t>
      </w:r>
      <w:r w:rsidR="00156B2B" w:rsidRPr="004C5048">
        <w:rPr>
          <w:rFonts w:ascii="Times New Roman" w:hAnsi="Times New Roman" w:cs="Times New Roman"/>
          <w:color w:val="000000" w:themeColor="text1"/>
          <w:sz w:val="20"/>
          <w:szCs w:val="20"/>
        </w:rPr>
        <w:t xml:space="preserve"> </w:t>
      </w:r>
      <w:r w:rsidR="0037690A">
        <w:rPr>
          <w:rFonts w:ascii="Times New Roman" w:hAnsi="Times New Roman" w:cs="Times New Roman"/>
          <w:color w:val="000000" w:themeColor="text1"/>
          <w:sz w:val="20"/>
          <w:szCs w:val="20"/>
        </w:rPr>
        <w:fldChar w:fldCharType="begin"/>
      </w:r>
      <w:r w:rsidR="0037690A">
        <w:rPr>
          <w:rFonts w:ascii="Times New Roman" w:hAnsi="Times New Roman" w:cs="Times New Roman"/>
          <w:color w:val="000000" w:themeColor="text1"/>
          <w:sz w:val="20"/>
          <w:szCs w:val="20"/>
        </w:rPr>
        <w:instrText xml:space="preserve"> ADDIN ZOTERO_ITEM CSL_CITATION {"citationID":"QblhHPLL","properties":{"formattedCitation":"[1]","plainCitation":"[1]","noteIndex":0},"citationItems":[{"id":945,"uris":["http://zotero.org/users/7490994/items/G6PLUFZH"],"itemData":{"id":945,"type":"article-journal","title":"Institute. UNC. Patient-Reported Outcomes version of the Common Terminology Criteria for Adverse Events(PRO-CTCAETM) Measurement System. Retrieved July 10, 2019, from https://healthcaredelivery.cancer.gov/pro-ctcae/"}}],"schema":"https://github.com/citation-style-language/schema/raw/master/csl-citation.json"} </w:instrText>
      </w:r>
      <w:r w:rsidR="0037690A">
        <w:rPr>
          <w:rFonts w:ascii="Times New Roman" w:hAnsi="Times New Roman" w:cs="Times New Roman"/>
          <w:color w:val="000000" w:themeColor="text1"/>
          <w:sz w:val="20"/>
          <w:szCs w:val="20"/>
        </w:rPr>
        <w:fldChar w:fldCharType="separate"/>
      </w:r>
      <w:r w:rsidR="0037690A" w:rsidRPr="0037690A">
        <w:rPr>
          <w:rFonts w:ascii="Times New Roman" w:hAnsi="Times New Roman" w:cs="Times New Roman"/>
          <w:sz w:val="20"/>
        </w:rPr>
        <w:t>[1]</w:t>
      </w:r>
      <w:r w:rsidR="0037690A">
        <w:rPr>
          <w:rFonts w:ascii="Times New Roman" w:hAnsi="Times New Roman" w:cs="Times New Roman"/>
          <w:color w:val="000000" w:themeColor="text1"/>
          <w:sz w:val="20"/>
          <w:szCs w:val="20"/>
        </w:rPr>
        <w:fldChar w:fldCharType="end"/>
      </w:r>
      <w:r w:rsidRPr="004C5048">
        <w:rPr>
          <w:rFonts w:ascii="Times New Roman" w:hAnsi="Times New Roman" w:cs="Times New Roman"/>
          <w:color w:val="000000" w:themeColor="text1"/>
          <w:sz w:val="20"/>
          <w:szCs w:val="20"/>
        </w:rPr>
        <w:t xml:space="preserve">. </w:t>
      </w:r>
      <w:r w:rsidRPr="004C5048">
        <w:rPr>
          <w:rFonts w:ascii="Times New Roman" w:hAnsi="Times New Roman" w:cs="Times New Roman" w:hint="eastAsia"/>
          <w:color w:val="000000" w:themeColor="text1"/>
          <w:sz w:val="20"/>
          <w:szCs w:val="20"/>
        </w:rPr>
        <w:t>PR</w:t>
      </w:r>
      <w:r w:rsidRPr="004C5048">
        <w:rPr>
          <w:rFonts w:ascii="Times New Roman" w:hAnsi="Times New Roman" w:cs="Times New Roman"/>
          <w:color w:val="000000" w:themeColor="text1"/>
          <w:sz w:val="20"/>
          <w:szCs w:val="20"/>
        </w:rPr>
        <w:t>O</w:t>
      </w:r>
      <w:r w:rsidRPr="004C5048">
        <w:rPr>
          <w:rFonts w:ascii="Times New Roman" w:hAnsi="Times New Roman" w:cs="Times New Roman" w:hint="eastAsia"/>
          <w:color w:val="000000" w:themeColor="text1"/>
          <w:sz w:val="20"/>
          <w:szCs w:val="20"/>
        </w:rPr>
        <w:t>-</w:t>
      </w:r>
      <w:r w:rsidRPr="004C5048">
        <w:rPr>
          <w:rFonts w:ascii="Times New Roman" w:hAnsi="Times New Roman" w:cs="Times New Roman"/>
          <w:color w:val="000000" w:themeColor="text1"/>
          <w:sz w:val="20"/>
          <w:szCs w:val="20"/>
        </w:rPr>
        <w:t xml:space="preserve">CTCAE is </w:t>
      </w:r>
      <w:r w:rsidRPr="004C5048">
        <w:rPr>
          <w:rFonts w:ascii="Times New Roman" w:hAnsi="Times New Roman" w:cs="Times New Roman"/>
          <w:color w:val="000000" w:themeColor="text1"/>
          <w:kern w:val="0"/>
          <w:sz w:val="20"/>
          <w:szCs w:val="20"/>
        </w:rPr>
        <w:t>a library of items through which patients can report their adverse event symptoms on their own during oncology clinical trials.</w:t>
      </w:r>
      <w:r w:rsidRPr="004C5048" w:rsidDel="00E961E4">
        <w:rPr>
          <w:rFonts w:ascii="Times New Roman" w:hAnsi="Times New Roman" w:cs="Times New Roman"/>
          <w:color w:val="000000" w:themeColor="text1"/>
          <w:kern w:val="0"/>
          <w:sz w:val="20"/>
          <w:szCs w:val="20"/>
        </w:rPr>
        <w:t xml:space="preserve"> </w:t>
      </w:r>
      <w:r w:rsidRPr="004C5048">
        <w:rPr>
          <w:rFonts w:ascii="Times New Roman" w:hAnsi="Times New Roman" w:cs="Times New Roman"/>
          <w:color w:val="000000" w:themeColor="text1"/>
          <w:kern w:val="0"/>
          <w:sz w:val="20"/>
          <w:szCs w:val="20"/>
        </w:rPr>
        <w:t xml:space="preserve">In the PRO-CTCAE item library, 124 individual items indicate 78 symptomatic adverse events </w:t>
      </w:r>
      <w:r w:rsidRPr="004C5048">
        <w:rPr>
          <w:rFonts w:ascii="Times New Roman" w:hAnsi="Times New Roman" w:cs="Times New Roman"/>
          <w:color w:val="000000" w:themeColor="text1"/>
          <w:sz w:val="20"/>
          <w:szCs w:val="20"/>
        </w:rPr>
        <w:t>on a 5-point Likert scale.</w:t>
      </w:r>
      <w:r w:rsidRPr="004C5048">
        <w:rPr>
          <w:rFonts w:ascii="Times New Roman" w:hAnsi="Times New Roman" w:cs="Times New Roman"/>
          <w:color w:val="000000" w:themeColor="text1"/>
          <w:kern w:val="0"/>
          <w:sz w:val="20"/>
          <w:szCs w:val="20"/>
        </w:rPr>
        <w:t xml:space="preserve"> The library was</w:t>
      </w:r>
      <w:r w:rsidRPr="004C5048">
        <w:rPr>
          <w:rFonts w:ascii="Times New Roman" w:hAnsi="Times New Roman" w:cs="Times New Roman"/>
          <w:color w:val="000000" w:themeColor="text1"/>
          <w:sz w:val="20"/>
          <w:szCs w:val="20"/>
        </w:rPr>
        <w:t xml:space="preserve"> translated into several languages: the Japanese version was developed and linguistically vali</w:t>
      </w:r>
      <w:r w:rsidRPr="00FD170D">
        <w:rPr>
          <w:rFonts w:ascii="Times New Roman" w:hAnsi="Times New Roman" w:cs="Times New Roman"/>
          <w:color w:val="000000" w:themeColor="text1"/>
          <w:sz w:val="20"/>
          <w:szCs w:val="20"/>
        </w:rPr>
        <w:t>dated in 2017</w:t>
      </w:r>
      <w:r w:rsidR="00FD170D" w:rsidRPr="00FD170D">
        <w:rPr>
          <w:rFonts w:ascii="Times New Roman" w:hAnsi="Times New Roman" w:cs="Times New Roman"/>
          <w:color w:val="000000" w:themeColor="text1"/>
          <w:sz w:val="20"/>
          <w:szCs w:val="20"/>
        </w:rPr>
        <w:t xml:space="preserve"> </w:t>
      </w:r>
      <w:r w:rsidR="00FD170D" w:rsidRPr="00FD170D">
        <w:rPr>
          <w:rFonts w:ascii="Times New Roman" w:hAnsi="Times New Roman" w:cs="Times New Roman"/>
          <w:color w:val="000000" w:themeColor="text1"/>
          <w:sz w:val="20"/>
          <w:szCs w:val="20"/>
        </w:rPr>
        <w:fldChar w:fldCharType="begin"/>
      </w:r>
      <w:r w:rsidR="0037690A">
        <w:rPr>
          <w:rFonts w:ascii="Times New Roman" w:hAnsi="Times New Roman" w:cs="Times New Roman"/>
          <w:color w:val="000000" w:themeColor="text1"/>
          <w:sz w:val="20"/>
          <w:szCs w:val="20"/>
        </w:rPr>
        <w:instrText xml:space="preserve"> ADDIN ZOTERO_ITEM CSL_CITATION {"citationID":"4N7iCIGQ","properties":{"formattedCitation":"[2, 3]","plainCitation":"[2, 3]","noteIndex":0},"citationItems":[{"id":862,"uris":["http://zotero.org/users/7490994/items/TFNE9S8H"],"itemData":{"id":862,"type":"article-journal","abstract":"Background: The US National Cancer Institute (NCI) has developed the Patient-Reported Outcomes version of the Common Terminology Criteria for Adverse Events (PRO-CTCAE) to capture patients’ self-reported symptomatic adverse events in cancer clinical trials. The aim of this study was to develop and linguistically validate a Japanese translation of PRO-CTCAE. Forward- and back-translations were produced, and an independent review was performed by the Japan Clinical Oncology Group (JCOG) Executive Committee and the US NCI. We then conducted cognitive interviews with 21 patients undergoing cancer treatment. Participants were asked to complete the PRO-CTCAE and were interviewed using semi-structured scripts and predetermined probes to investigate whether any items were difficult to understand or answer. The interviews were recorded and transcribed, and a thematic analysis was performed. The data were split into two categories: 1) remarks on the items and 2) remarks on the questionnaire in general.\nResults: Twenty-one cancer patients undergoing chemotherapy or hormone therapy were interviewed at the University of Tokyo Hospital and the Kansai Medical University Hirakata Hospital during 2011 and 2012. Thirty-three PRO-CTCAE items were evaluated as “difficult to understand,” and 65 items were evaluated as “difficult to answer” by at least one respondent. However, on further investigation, only 24 remarks were categorized as “comprehension difficulties” or “clarity” issues. Most of these remarks concerned patients’ difficulties with rating their experience of individual symptomatic events.\nConclusions: The study provides preliminary evidence supporting the linguistic validity of the Japanese version of PRO-CTCAE. Further cognitive interviewing is warranted for PRO-CTCAE items relating to sexuality and anxiety and for response options on severity attribute items.","container-title":"Journal of Patient-Reported Outcomes","DOI":"10.1186/s41687-017-0012-7","ISSN":"2509-8020","issue":"1","journalAbbreviation":"J Patient Rep Outcomes","language":"en","page":"8","source":"DOI.org (Crossref)","title":"Japanese translation and linguistic validation of the US National Cancer Institute’s Patient-Reported Outcomes version of the Common Terminology Criteria for Adverse Events (PRO-CTCAE)","volume":"1","author":[{"family":"Miyaji","given":"Tempei"},{"family":"Iioka","given":"Yukiko"},{"family":"Kuroda","given":"Yujiro"},{"family":"Yamamoto","given":"Daigo"},{"family":"Iwase","given":"Satoru"},{"family":"Goto","given":"Yasushi"},{"family":"Tsuboi","given":"Masahiro"},{"family":"Odagiri","given":"Hiroki"},{"family":"Tsubota","given":"Yu"},{"family":"Kawaguchi","given":"Takashi"},{"family":"Sakata","given":"Naoko"},{"family":"Basch","given":"Ethan"},{"family":"Yamaguchi","given":"Takuhiro"}],"issued":{"date-parts":[["2017",12]]}}},{"id":944,"uris":["http://zotero.org/users/7490994/items/JM9SD6VE"],"itemData":{"id":944,"type":"article-journal","title":"Group JCO. NCI-PRO-CTCAETM ITEMS-Japanese Item Library Version1.0. Retrieved July 10, 2019, from http://healthcaredelivery.cancer.gov/pro-ctcae/pro-ctcae_Japanese.pdf."}}],"schema":"https://github.com/citation-style-language/schema/raw/master/csl-citation.json"} </w:instrText>
      </w:r>
      <w:r w:rsidR="00FD170D" w:rsidRPr="00FD170D">
        <w:rPr>
          <w:rFonts w:ascii="Times New Roman" w:hAnsi="Times New Roman" w:cs="Times New Roman"/>
          <w:color w:val="000000" w:themeColor="text1"/>
          <w:sz w:val="20"/>
          <w:szCs w:val="20"/>
        </w:rPr>
        <w:fldChar w:fldCharType="separate"/>
      </w:r>
      <w:r w:rsidR="0037690A" w:rsidRPr="0037690A">
        <w:rPr>
          <w:rFonts w:ascii="Times New Roman" w:hAnsi="Times New Roman" w:cs="Times New Roman"/>
          <w:sz w:val="20"/>
        </w:rPr>
        <w:t>[2, 3]</w:t>
      </w:r>
      <w:r w:rsidR="00FD170D" w:rsidRPr="00FD170D">
        <w:rPr>
          <w:rFonts w:ascii="Times New Roman" w:hAnsi="Times New Roman" w:cs="Times New Roman"/>
          <w:color w:val="000000" w:themeColor="text1"/>
          <w:sz w:val="20"/>
          <w:szCs w:val="20"/>
        </w:rPr>
        <w:fldChar w:fldCharType="end"/>
      </w:r>
      <w:r w:rsidRPr="00FD170D">
        <w:rPr>
          <w:rFonts w:ascii="Times New Roman" w:hAnsi="Times New Roman" w:cs="Times New Roman"/>
          <w:color w:val="000000" w:themeColor="text1"/>
          <w:sz w:val="20"/>
          <w:szCs w:val="20"/>
        </w:rPr>
        <w:t xml:space="preserve">. </w:t>
      </w:r>
      <w:r w:rsidRPr="00FD170D">
        <w:rPr>
          <w:rFonts w:ascii="Times New Roman" w:hAnsi="Times New Roman" w:cs="Times New Roman"/>
          <w:color w:val="000000" w:themeColor="text1"/>
          <w:kern w:val="0"/>
          <w:sz w:val="20"/>
          <w:szCs w:val="20"/>
        </w:rPr>
        <w:t>Three B</w:t>
      </w:r>
      <w:r w:rsidRPr="004C5048">
        <w:rPr>
          <w:rFonts w:ascii="Times New Roman" w:hAnsi="Times New Roman" w:cs="Times New Roman"/>
          <w:color w:val="000000" w:themeColor="text1"/>
          <w:kern w:val="0"/>
          <w:sz w:val="20"/>
          <w:szCs w:val="20"/>
        </w:rPr>
        <w:t xml:space="preserve">C specialists and three experts identified the adverse event symptoms to investigate in the ESS. Additionally, 18 common adverse event symptoms in patients with BC (i.e., Decreased appetite, Nausea, Vomiting, Constipation, Diarrhea, Shortness of breath, Swelling, Rash, Hair loss, Numbness &amp; tingling, General pain, Joint pain, Insomnia, Fatigue, Anxious, Vaginal discharge, Vaginal dryness, and Hot flashes) were selected from the 78 symptomatic adverse events listed in the PRO-CTCAE item library. </w:t>
      </w:r>
    </w:p>
    <w:p w14:paraId="14D51E13" w14:textId="7A913DE6" w:rsidR="0051242E" w:rsidRDefault="0051242E" w:rsidP="0051242E">
      <w:pPr>
        <w:spacing w:line="360" w:lineRule="auto"/>
        <w:ind w:firstLine="418"/>
        <w:jc w:val="left"/>
        <w:rPr>
          <w:rFonts w:ascii="Times New Roman" w:hAnsi="Times New Roman" w:cs="Times New Roman"/>
          <w:color w:val="000000" w:themeColor="text1"/>
          <w:sz w:val="20"/>
          <w:szCs w:val="20"/>
        </w:rPr>
      </w:pPr>
      <w:r w:rsidRPr="004C5048">
        <w:rPr>
          <w:rFonts w:ascii="Times New Roman" w:hAnsi="Times New Roman" w:cs="Times New Roman"/>
          <w:color w:val="000000" w:themeColor="text1"/>
          <w:kern w:val="0"/>
          <w:sz w:val="20"/>
          <w:szCs w:val="20"/>
        </w:rPr>
        <w:t>In the first step, a team of three BC treatment specialists, one illustrator, one general female</w:t>
      </w:r>
      <w:r w:rsidRPr="004C5048">
        <w:rPr>
          <w:rFonts w:ascii="Times New Roman" w:hAnsi="Times New Roman" w:cs="Times New Roman" w:hint="eastAsia"/>
          <w:color w:val="000000" w:themeColor="text1"/>
          <w:kern w:val="0"/>
          <w:sz w:val="20"/>
          <w:szCs w:val="20"/>
        </w:rPr>
        <w:t xml:space="preserve"> </w:t>
      </w:r>
      <w:r w:rsidRPr="004C5048">
        <w:rPr>
          <w:rFonts w:ascii="Times New Roman" w:hAnsi="Times New Roman" w:cs="Times New Roman"/>
          <w:color w:val="000000" w:themeColor="text1"/>
          <w:kern w:val="0"/>
          <w:sz w:val="20"/>
          <w:szCs w:val="20"/>
        </w:rPr>
        <w:t xml:space="preserve">who is not medical staff, one clinical statistician, and one nurse created the draft version of the ESS comprising </w:t>
      </w:r>
      <w:r w:rsidRPr="004C5048">
        <w:rPr>
          <w:rFonts w:ascii="Times New Roman" w:hAnsi="Times New Roman" w:cs="Times New Roman"/>
          <w:color w:val="000000" w:themeColor="text1"/>
          <w:sz w:val="20"/>
          <w:szCs w:val="20"/>
        </w:rPr>
        <w:t>emoji stickers without letters</w:t>
      </w:r>
      <w:r w:rsidRPr="004C5048">
        <w:rPr>
          <w:rFonts w:ascii="Times New Roman" w:hAnsi="Times New Roman" w:cs="Times New Roman"/>
          <w:color w:val="000000" w:themeColor="text1"/>
          <w:kern w:val="0"/>
          <w:sz w:val="20"/>
          <w:szCs w:val="20"/>
        </w:rPr>
        <w:t>.</w:t>
      </w:r>
      <w:r w:rsidRPr="004C5048">
        <w:rPr>
          <w:rFonts w:ascii="Times New Roman" w:hAnsi="Times New Roman" w:cs="Times New Roman"/>
          <w:color w:val="000000" w:themeColor="text1"/>
          <w:sz w:val="20"/>
          <w:szCs w:val="20"/>
        </w:rPr>
        <w:t xml:space="preserve"> In the second step, a pilot test was performed by using the draft version in an interview, which comprised the following questions: 1) Do emoji stickers adequately represent your symptoms? 2) Are the differences in the degree of severity for each emoji sticker appropriate? and 3) What is your impression on the emoji stickers? Five patients with BC were interviewed. Among the five patients, one expressed difficulty understanding the differences in the 2nd to 4th degrees of several emoji stickers. Therefore, we added short descriptions of symptom degrees for each emoji Sticker, creating ESS version 1.0 (Figure </w:t>
      </w:r>
      <w:r w:rsidR="00FE6A40" w:rsidRPr="004C5048">
        <w:rPr>
          <w:rFonts w:ascii="Times New Roman" w:hAnsi="Times New Roman" w:cs="Times New Roman"/>
          <w:color w:val="000000" w:themeColor="text1"/>
          <w:sz w:val="20"/>
          <w:szCs w:val="20"/>
        </w:rPr>
        <w:t>4</w:t>
      </w:r>
      <w:r w:rsidRPr="004C5048">
        <w:rPr>
          <w:rFonts w:ascii="Times New Roman" w:hAnsi="Times New Roman" w:cs="Times New Roman"/>
          <w:color w:val="000000" w:themeColor="text1"/>
          <w:sz w:val="20"/>
          <w:szCs w:val="20"/>
        </w:rPr>
        <w:t xml:space="preserve"> and S</w:t>
      </w:r>
      <w:r w:rsidR="009D50EB" w:rsidRPr="004C5048">
        <w:rPr>
          <w:rFonts w:ascii="Times New Roman" w:hAnsi="Times New Roman" w:cs="Times New Roman"/>
          <w:color w:val="000000" w:themeColor="text1"/>
          <w:sz w:val="20"/>
          <w:szCs w:val="20"/>
        </w:rPr>
        <w:t>12</w:t>
      </w:r>
      <w:r w:rsidRPr="004C5048">
        <w:rPr>
          <w:rFonts w:ascii="Times New Roman" w:hAnsi="Times New Roman" w:cs="Times New Roman"/>
          <w:color w:val="000000" w:themeColor="text1"/>
          <w:sz w:val="20"/>
          <w:szCs w:val="20"/>
        </w:rPr>
        <w:t>).</w:t>
      </w:r>
    </w:p>
    <w:p w14:paraId="3EE4D6AE" w14:textId="77777777" w:rsidR="00FD170D" w:rsidRDefault="00FD170D" w:rsidP="0051242E">
      <w:pPr>
        <w:spacing w:line="360" w:lineRule="auto"/>
        <w:ind w:firstLine="418"/>
        <w:jc w:val="left"/>
        <w:rPr>
          <w:rFonts w:ascii="Times New Roman" w:hAnsi="Times New Roman" w:cs="Times New Roman"/>
          <w:color w:val="000000" w:themeColor="text1"/>
          <w:sz w:val="20"/>
          <w:szCs w:val="20"/>
        </w:rPr>
      </w:pPr>
    </w:p>
    <w:p w14:paraId="010EBC71" w14:textId="67B55ED0" w:rsidR="00FD170D" w:rsidRDefault="00FD170D" w:rsidP="00FD170D">
      <w:pPr>
        <w:pStyle w:val="ab"/>
        <w:spacing w:line="360" w:lineRule="auto"/>
        <w:rPr>
          <w:rFonts w:ascii="Times New Roman" w:hAnsi="Times New Roman" w:cs="Times New Roman"/>
          <w:szCs w:val="21"/>
        </w:rPr>
      </w:pPr>
      <w:r w:rsidRPr="00BE5D7F">
        <w:rPr>
          <w:rFonts w:ascii="Times New Roman" w:hAnsi="Times New Roman" w:cs="Times New Roman"/>
          <w:szCs w:val="21"/>
        </w:rPr>
        <w:t xml:space="preserve">27. </w:t>
      </w:r>
      <w:r w:rsidRPr="00BE5D7F">
        <w:rPr>
          <w:rFonts w:ascii="Times New Roman" w:hAnsi="Times New Roman" w:cs="Times New Roman"/>
          <w:szCs w:val="21"/>
        </w:rPr>
        <w:tab/>
        <w:t xml:space="preserve">Group JCO. NCI-PRO-CTCAETM ITEMS-Japanese Item Library Version1.0. Retrieved July 10, 2019, from </w:t>
      </w:r>
      <w:hyperlink r:id="rId6" w:history="1">
        <w:r w:rsidRPr="00511602">
          <w:rPr>
            <w:rStyle w:val="ac"/>
            <w:rFonts w:ascii="Times New Roman" w:hAnsi="Times New Roman" w:cs="Times New Roman"/>
            <w:szCs w:val="21"/>
          </w:rPr>
          <w:t>http://healthcaredelivery.cancer.gov/pro-ctcae/pro-ctcae_Japanese.pdf</w:t>
        </w:r>
      </w:hyperlink>
      <w:r w:rsidRPr="00BE5D7F">
        <w:rPr>
          <w:rFonts w:ascii="Times New Roman" w:hAnsi="Times New Roman" w:cs="Times New Roman"/>
          <w:szCs w:val="21"/>
        </w:rPr>
        <w:t xml:space="preserve">. </w:t>
      </w:r>
    </w:p>
    <w:p w14:paraId="48387831" w14:textId="77777777" w:rsidR="00FD170D" w:rsidRDefault="00FD170D" w:rsidP="00FD170D"/>
    <w:p w14:paraId="63963506" w14:textId="77777777" w:rsidR="00FD170D" w:rsidRPr="0037690A" w:rsidRDefault="00FD170D" w:rsidP="0037690A">
      <w:pPr>
        <w:pStyle w:val="ae"/>
        <w:rPr>
          <w:b/>
          <w:bCs/>
        </w:rPr>
      </w:pPr>
      <w:r w:rsidRPr="0037690A">
        <w:rPr>
          <w:b/>
          <w:bCs/>
        </w:rPr>
        <w:t>References</w:t>
      </w:r>
    </w:p>
    <w:p w14:paraId="298DC1CF" w14:textId="77777777" w:rsidR="0037690A" w:rsidRPr="0037690A" w:rsidRDefault="0037690A" w:rsidP="0037690A">
      <w:pPr>
        <w:pStyle w:val="ae"/>
        <w:rPr>
          <w:rFonts w:ascii="游明朝" w:eastAsia="游明朝" w:hAnsi="游明朝"/>
        </w:rPr>
      </w:pPr>
      <w:r w:rsidRPr="0037690A">
        <w:fldChar w:fldCharType="begin"/>
      </w:r>
      <w:r w:rsidRPr="0037690A">
        <w:instrText xml:space="preserve"> ADDIN ZOTERO_BIBL {"uncited":[],"omitted":[],"custom":[]} CSL_BIBLIOGRAPHY </w:instrText>
      </w:r>
      <w:r w:rsidRPr="0037690A">
        <w:fldChar w:fldCharType="separate"/>
      </w:r>
      <w:r w:rsidRPr="0037690A">
        <w:rPr>
          <w:rFonts w:ascii="游明朝" w:eastAsia="游明朝" w:hAnsi="游明朝"/>
        </w:rPr>
        <w:t xml:space="preserve">1. </w:t>
      </w:r>
      <w:r w:rsidRPr="0037690A">
        <w:rPr>
          <w:rFonts w:ascii="游明朝" w:eastAsia="游明朝" w:hAnsi="游明朝"/>
        </w:rPr>
        <w:tab/>
        <w:t xml:space="preserve">Institute. UNC. Patient-Reported Outcomes version of the Common Terminology Criteria for Adverse </w:t>
      </w:r>
      <w:proofErr w:type="gramStart"/>
      <w:r w:rsidRPr="0037690A">
        <w:rPr>
          <w:rFonts w:ascii="游明朝" w:eastAsia="游明朝" w:hAnsi="游明朝"/>
        </w:rPr>
        <w:t>Events(</w:t>
      </w:r>
      <w:proofErr w:type="gramEnd"/>
      <w:r w:rsidRPr="0037690A">
        <w:rPr>
          <w:rFonts w:ascii="游明朝" w:eastAsia="游明朝" w:hAnsi="游明朝"/>
        </w:rPr>
        <w:t>PRO-CTCAETM) Measurement System. Retrieved July 10, 2019, from https://healthcaredelivery.cancer.gov/pro-ctcae/</w:t>
      </w:r>
    </w:p>
    <w:p w14:paraId="3E50E676" w14:textId="77777777" w:rsidR="0037690A" w:rsidRPr="0037690A" w:rsidRDefault="0037690A" w:rsidP="0037690A">
      <w:pPr>
        <w:pStyle w:val="ae"/>
        <w:rPr>
          <w:rFonts w:ascii="游明朝" w:eastAsia="游明朝" w:hAnsi="游明朝"/>
        </w:rPr>
      </w:pPr>
      <w:r w:rsidRPr="0037690A">
        <w:rPr>
          <w:rFonts w:ascii="游明朝" w:eastAsia="游明朝" w:hAnsi="游明朝"/>
        </w:rPr>
        <w:t xml:space="preserve">2. </w:t>
      </w:r>
      <w:r w:rsidRPr="0037690A">
        <w:rPr>
          <w:rFonts w:ascii="游明朝" w:eastAsia="游明朝" w:hAnsi="游明朝"/>
        </w:rPr>
        <w:tab/>
        <w:t xml:space="preserve">Miyaji T, </w:t>
      </w:r>
      <w:proofErr w:type="spellStart"/>
      <w:r w:rsidRPr="0037690A">
        <w:rPr>
          <w:rFonts w:ascii="游明朝" w:eastAsia="游明朝" w:hAnsi="游明朝"/>
        </w:rPr>
        <w:t>Iioka</w:t>
      </w:r>
      <w:proofErr w:type="spellEnd"/>
      <w:r w:rsidRPr="0037690A">
        <w:rPr>
          <w:rFonts w:ascii="游明朝" w:eastAsia="游明朝" w:hAnsi="游明朝"/>
        </w:rPr>
        <w:t xml:space="preserve"> Y, Kuroda Y, et al (2017) Japanese translation and linguistic validation of the US National Cancer Institute’s Patient-Reported Outcomes version of the Common Terminology Criteria for Adverse Events (PRO-CTCAE). J Patient-Rep Outcomes 1:8. https://doi.org/10.1186/s41687-017-0012-7</w:t>
      </w:r>
    </w:p>
    <w:p w14:paraId="40A6028D" w14:textId="77777777" w:rsidR="0037690A" w:rsidRPr="0037690A" w:rsidRDefault="0037690A" w:rsidP="0037690A">
      <w:pPr>
        <w:pStyle w:val="ae"/>
        <w:rPr>
          <w:rFonts w:ascii="游明朝" w:eastAsia="游明朝" w:hAnsi="游明朝"/>
        </w:rPr>
      </w:pPr>
      <w:r w:rsidRPr="0037690A">
        <w:rPr>
          <w:rFonts w:ascii="游明朝" w:eastAsia="游明朝" w:hAnsi="游明朝"/>
        </w:rPr>
        <w:t xml:space="preserve">3. </w:t>
      </w:r>
      <w:r w:rsidRPr="0037690A">
        <w:rPr>
          <w:rFonts w:ascii="游明朝" w:eastAsia="游明朝" w:hAnsi="游明朝"/>
        </w:rPr>
        <w:tab/>
        <w:t>Group JCO. NCI-PRO-CTCAETM ITEMS-Japanese Item Library Version1.0. Retrieved July 10, 2019, from http://healthcaredelivery.cancer.gov/pro-ctcae/pro-ctcae_Japanese.pdf.</w:t>
      </w:r>
    </w:p>
    <w:p w14:paraId="793A595D" w14:textId="1727CE98" w:rsidR="00FD170D" w:rsidRPr="00FD170D" w:rsidRDefault="0037690A" w:rsidP="0037690A">
      <w:pPr>
        <w:pStyle w:val="ae"/>
      </w:pPr>
      <w:r w:rsidRPr="0037690A">
        <w:fldChar w:fldCharType="end"/>
      </w:r>
    </w:p>
    <w:p w14:paraId="3B5BB6CB" w14:textId="77777777" w:rsidR="00FD170D" w:rsidRPr="00FD170D" w:rsidRDefault="00FD170D" w:rsidP="0051242E">
      <w:pPr>
        <w:spacing w:line="360" w:lineRule="auto"/>
        <w:ind w:firstLine="418"/>
        <w:jc w:val="left"/>
        <w:rPr>
          <w:rFonts w:ascii="Times New Roman" w:hAnsi="Times New Roman" w:cs="Times New Roman"/>
          <w:color w:val="000000" w:themeColor="text1"/>
          <w:sz w:val="20"/>
          <w:szCs w:val="20"/>
        </w:rPr>
      </w:pPr>
    </w:p>
    <w:p w14:paraId="7CA77E84" w14:textId="77777777" w:rsidR="00E82208" w:rsidRPr="004C5048" w:rsidRDefault="00E82208">
      <w:pPr>
        <w:widowControl/>
        <w:jc w:val="left"/>
        <w:rPr>
          <w:rFonts w:ascii="Times New Roman" w:hAnsi="Times New Roman" w:cs="Times New Roman"/>
          <w:b/>
          <w:bCs/>
          <w:color w:val="000000" w:themeColor="text1"/>
          <w:sz w:val="20"/>
          <w:szCs w:val="20"/>
        </w:rPr>
      </w:pPr>
      <w:r w:rsidRPr="004C5048">
        <w:rPr>
          <w:rFonts w:ascii="Times New Roman" w:hAnsi="Times New Roman" w:cs="Times New Roman"/>
          <w:b/>
          <w:bCs/>
          <w:color w:val="000000" w:themeColor="text1"/>
          <w:sz w:val="20"/>
          <w:szCs w:val="20"/>
        </w:rPr>
        <w:br w:type="page"/>
      </w:r>
    </w:p>
    <w:p w14:paraId="1187E7E5" w14:textId="3A37759B" w:rsidR="0051242E" w:rsidRPr="004C5048" w:rsidRDefault="00A3673A" w:rsidP="0051242E">
      <w:pPr>
        <w:spacing w:line="360" w:lineRule="auto"/>
        <w:jc w:val="left"/>
        <w:rPr>
          <w:rFonts w:ascii="Times New Roman" w:hAnsi="Times New Roman" w:cs="Times New Roman"/>
          <w:b/>
          <w:bCs/>
          <w:color w:val="000000" w:themeColor="text1"/>
          <w:sz w:val="20"/>
          <w:szCs w:val="20"/>
        </w:rPr>
      </w:pPr>
      <w:r w:rsidRPr="004C5048">
        <w:rPr>
          <w:rFonts w:ascii="Times New Roman" w:hAnsi="Times New Roman" w:cs="Times New Roman"/>
          <w:b/>
          <w:bCs/>
          <w:color w:val="000000" w:themeColor="text1"/>
          <w:sz w:val="20"/>
          <w:szCs w:val="20"/>
        </w:rPr>
        <w:lastRenderedPageBreak/>
        <w:t>T</w:t>
      </w:r>
      <w:r w:rsidR="0051242E" w:rsidRPr="004C5048">
        <w:rPr>
          <w:rFonts w:ascii="Times New Roman" w:hAnsi="Times New Roman" w:cs="Times New Roman"/>
          <w:b/>
          <w:bCs/>
          <w:color w:val="000000" w:themeColor="text1"/>
          <w:sz w:val="20"/>
          <w:szCs w:val="20"/>
        </w:rPr>
        <w:t>he questions</w:t>
      </w:r>
      <w:r w:rsidRPr="004C5048">
        <w:rPr>
          <w:rFonts w:ascii="Times New Roman" w:hAnsi="Times New Roman" w:cs="Times New Roman"/>
          <w:b/>
          <w:bCs/>
          <w:color w:val="000000" w:themeColor="text1"/>
          <w:sz w:val="20"/>
          <w:szCs w:val="20"/>
        </w:rPr>
        <w:t xml:space="preserve"> in the interview</w:t>
      </w:r>
    </w:p>
    <w:p w14:paraId="1BC2367D" w14:textId="77777777" w:rsidR="00A3673A" w:rsidRPr="004C5048" w:rsidRDefault="00A3673A" w:rsidP="00A3673A">
      <w:pPr>
        <w:spacing w:line="360" w:lineRule="auto"/>
        <w:ind w:firstLine="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Q1. Was there any ESS that you found difficult to understand? (comprehensibility)</w:t>
      </w:r>
    </w:p>
    <w:p w14:paraId="04B1156F" w14:textId="77777777" w:rsidR="00A3673A" w:rsidRPr="004C5048" w:rsidRDefault="00A3673A" w:rsidP="00A3673A">
      <w:pPr>
        <w:spacing w:line="360" w:lineRule="auto"/>
        <w:ind w:firstLine="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Q2. Was there any ESS that you felt needed an additional explanation? (comprehensibility)</w:t>
      </w:r>
    </w:p>
    <w:p w14:paraId="188FE365" w14:textId="77777777" w:rsidR="00A3673A" w:rsidRPr="004C5048" w:rsidRDefault="00A3673A" w:rsidP="00A3673A">
      <w:pPr>
        <w:spacing w:line="360" w:lineRule="auto"/>
        <w:ind w:firstLine="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Q3. Was there any other symptom that you want to report to your healthcare professional? (comprehensiveness)</w:t>
      </w:r>
    </w:p>
    <w:p w14:paraId="631369A3" w14:textId="77777777" w:rsidR="00A3673A" w:rsidRPr="004C5048" w:rsidRDefault="00A3673A" w:rsidP="00A3673A">
      <w:pPr>
        <w:spacing w:line="360" w:lineRule="auto"/>
        <w:ind w:firstLine="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Q4. Which was easier to answer, the ESS or PRO-CTCAE questionnaire? (</w:t>
      </w:r>
      <w:proofErr w:type="gramStart"/>
      <w:r w:rsidRPr="004C5048">
        <w:rPr>
          <w:rFonts w:ascii="Times New Roman" w:hAnsi="Times New Roman" w:cs="Times New Roman"/>
          <w:color w:val="000000" w:themeColor="text1"/>
          <w:sz w:val="20"/>
          <w:szCs w:val="20"/>
        </w:rPr>
        <w:t>response</w:t>
      </w:r>
      <w:proofErr w:type="gramEnd"/>
      <w:r w:rsidRPr="004C5048">
        <w:rPr>
          <w:rFonts w:ascii="Times New Roman" w:hAnsi="Times New Roman" w:cs="Times New Roman"/>
          <w:color w:val="000000" w:themeColor="text1"/>
          <w:sz w:val="20"/>
          <w:szCs w:val="20"/>
        </w:rPr>
        <w:t xml:space="preserve"> burden)</w:t>
      </w:r>
    </w:p>
    <w:p w14:paraId="7AC88B25" w14:textId="77777777" w:rsidR="00A3673A" w:rsidRPr="004C5048" w:rsidRDefault="00A3673A" w:rsidP="00A3673A">
      <w:pPr>
        <w:spacing w:line="360" w:lineRule="auto"/>
        <w:ind w:firstLine="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Q5. Did you feel disgust, discomfort, or shame while using the ESS? (impression)</w:t>
      </w:r>
    </w:p>
    <w:p w14:paraId="5CCECABA" w14:textId="77777777" w:rsidR="00E82208" w:rsidRPr="004C5048" w:rsidRDefault="00E82208">
      <w:pPr>
        <w:widowControl/>
        <w:jc w:val="left"/>
        <w:rPr>
          <w:rFonts w:ascii="Times New Roman" w:hAnsi="Times New Roman" w:cs="Times New Roman"/>
          <w:b/>
          <w:bCs/>
          <w:color w:val="000000" w:themeColor="text1"/>
          <w:sz w:val="20"/>
          <w:szCs w:val="20"/>
        </w:rPr>
      </w:pPr>
      <w:r w:rsidRPr="004C5048">
        <w:rPr>
          <w:rFonts w:ascii="Times New Roman" w:hAnsi="Times New Roman" w:cs="Times New Roman"/>
          <w:b/>
          <w:bCs/>
          <w:color w:val="000000" w:themeColor="text1"/>
          <w:sz w:val="20"/>
          <w:szCs w:val="20"/>
        </w:rPr>
        <w:br w:type="page"/>
      </w:r>
    </w:p>
    <w:p w14:paraId="220D432E" w14:textId="40AD8B89" w:rsidR="0051242E" w:rsidRPr="004C5048" w:rsidRDefault="0051242E" w:rsidP="0051242E">
      <w:pPr>
        <w:spacing w:line="360" w:lineRule="auto"/>
        <w:jc w:val="left"/>
        <w:rPr>
          <w:rFonts w:ascii="Times New Roman" w:hAnsi="Times New Roman" w:cs="Times New Roman"/>
          <w:b/>
          <w:bCs/>
          <w:color w:val="000000" w:themeColor="text1"/>
          <w:sz w:val="20"/>
          <w:szCs w:val="20"/>
        </w:rPr>
      </w:pPr>
      <w:r w:rsidRPr="004C5048">
        <w:rPr>
          <w:rFonts w:ascii="Times New Roman" w:hAnsi="Times New Roman" w:cs="Times New Roman"/>
          <w:b/>
          <w:bCs/>
          <w:color w:val="000000" w:themeColor="text1"/>
          <w:sz w:val="20"/>
          <w:szCs w:val="20"/>
        </w:rPr>
        <w:lastRenderedPageBreak/>
        <w:t>The survey schedules in cohort study 2</w:t>
      </w:r>
    </w:p>
    <w:p w14:paraId="3F24FB49" w14:textId="77777777" w:rsidR="0051242E" w:rsidRPr="004C5048" w:rsidRDefault="0051242E" w:rsidP="0051242E">
      <w:pPr>
        <w:spacing w:line="360" w:lineRule="auto"/>
        <w:ind w:left="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 xml:space="preserve">ⅰ) Anthracycline cohort: A total of three surveys (T1: before the first administration, T2: day </w:t>
      </w:r>
      <w:r w:rsidRPr="004C5048">
        <w:rPr>
          <w:rFonts w:ascii="Times New Roman" w:hAnsi="Times New Roman" w:cs="Times New Roman" w:hint="eastAsia"/>
          <w:color w:val="000000" w:themeColor="text1"/>
          <w:sz w:val="20"/>
          <w:szCs w:val="20"/>
        </w:rPr>
        <w:t>8</w:t>
      </w:r>
      <w:r w:rsidRPr="004C5048">
        <w:rPr>
          <w:rFonts w:ascii="Times New Roman" w:hAnsi="Times New Roman" w:cs="Times New Roman"/>
          <w:color w:val="000000" w:themeColor="text1"/>
          <w:sz w:val="20"/>
          <w:szCs w:val="20"/>
        </w:rPr>
        <w:t xml:space="preserve"> of the first administration, and T3: day 15 of the first administration) were conducted. </w:t>
      </w:r>
      <w:r w:rsidRPr="004C5048">
        <w:rPr>
          <w:rFonts w:ascii="Times New Roman" w:hAnsi="Times New Roman" w:cs="Times New Roman" w:hint="eastAsia"/>
          <w:color w:val="000000" w:themeColor="text1"/>
          <w:sz w:val="20"/>
          <w:szCs w:val="20"/>
        </w:rPr>
        <w:t>D</w:t>
      </w:r>
      <w:r w:rsidRPr="004C5048">
        <w:rPr>
          <w:rFonts w:ascii="Times New Roman" w:hAnsi="Times New Roman" w:cs="Times New Roman"/>
          <w:color w:val="000000" w:themeColor="text1"/>
          <w:sz w:val="20"/>
          <w:szCs w:val="20"/>
        </w:rPr>
        <w:t xml:space="preserve">ecreased appetite, nausea and vomiting caused by Anthracycline are likely to get worse from day1 to day8 and these symptoms are likely to improve from day 9 to day15. Hair loss caused by Anthracycline is likely to appear around day15 and get worse.  </w:t>
      </w:r>
    </w:p>
    <w:p w14:paraId="08C8F59E" w14:textId="77777777" w:rsidR="0051242E" w:rsidRPr="004C5048" w:rsidRDefault="0051242E" w:rsidP="0051242E">
      <w:pPr>
        <w:spacing w:line="360" w:lineRule="auto"/>
        <w:ind w:left="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 xml:space="preserve">ⅱ) Docetaxel cohort: A total of three surveys (T1: before the first administration, T2: day 1 of the second administration, and T3: day 1 </w:t>
      </w:r>
      <w:r w:rsidRPr="004C5048">
        <w:rPr>
          <w:rFonts w:ascii="Times New Roman" w:hAnsi="Times New Roman" w:cs="Times New Roman" w:hint="eastAsia"/>
          <w:color w:val="000000" w:themeColor="text1"/>
          <w:sz w:val="20"/>
          <w:szCs w:val="20"/>
        </w:rPr>
        <w:t>o</w:t>
      </w:r>
      <w:r w:rsidRPr="004C5048">
        <w:rPr>
          <w:rFonts w:ascii="Times New Roman" w:hAnsi="Times New Roman" w:cs="Times New Roman"/>
          <w:color w:val="000000" w:themeColor="text1"/>
          <w:sz w:val="20"/>
          <w:szCs w:val="20"/>
        </w:rPr>
        <w:t>f the fourth administration) were conducted. Both from T1 to T2, and from T1 to T3, swelling is likely to get worse. Because docetaxel-induced edema is more likely to appear with each dose.</w:t>
      </w:r>
    </w:p>
    <w:p w14:paraId="20835690" w14:textId="77777777" w:rsidR="0051242E" w:rsidRPr="004C5048" w:rsidRDefault="0051242E" w:rsidP="0051242E">
      <w:pPr>
        <w:spacing w:line="360" w:lineRule="auto"/>
        <w:ind w:left="400"/>
        <w:rPr>
          <w:rFonts w:ascii="Times New Roman" w:hAnsi="Times New Roman" w:cs="Times New Roman"/>
          <w:color w:val="000000" w:themeColor="text1"/>
          <w:sz w:val="20"/>
          <w:szCs w:val="20"/>
        </w:rPr>
      </w:pPr>
      <w:r w:rsidRPr="004C5048">
        <w:rPr>
          <w:rFonts w:ascii="Times New Roman" w:hAnsi="Times New Roman" w:cs="Times New Roman"/>
          <w:color w:val="000000" w:themeColor="text1"/>
          <w:sz w:val="20"/>
          <w:szCs w:val="20"/>
        </w:rPr>
        <w:t>ⅲ) Paclitaxel cohort: A total of three surveys (T1: before the first administration, T2: day1 of the sixth administration, and T3: day1 of the 12</w:t>
      </w:r>
      <w:r w:rsidRPr="004C5048">
        <w:rPr>
          <w:rFonts w:ascii="Times New Roman" w:hAnsi="Times New Roman" w:cs="Times New Roman"/>
          <w:color w:val="000000" w:themeColor="text1"/>
          <w:sz w:val="20"/>
          <w:szCs w:val="20"/>
          <w:vertAlign w:val="superscript"/>
        </w:rPr>
        <w:t>th</w:t>
      </w:r>
      <w:r w:rsidRPr="004C5048">
        <w:rPr>
          <w:rFonts w:ascii="Times New Roman" w:hAnsi="Times New Roman" w:cs="Times New Roman"/>
          <w:color w:val="000000" w:themeColor="text1"/>
          <w:sz w:val="20"/>
          <w:szCs w:val="20"/>
        </w:rPr>
        <w:t xml:space="preserve"> administration) were conducted. Both from T1 to T2, and from T1 to T3, numbness &amp; tingling which is represented as paclitaxel-induced peripheral neuropathy likely to get worse. Because paclitaxel-induced peripheral neuropathy is more likely to occur with each </w:t>
      </w:r>
      <w:proofErr w:type="spellStart"/>
      <w:proofErr w:type="gramStart"/>
      <w:r w:rsidRPr="004C5048">
        <w:rPr>
          <w:rFonts w:ascii="Times New Roman" w:hAnsi="Times New Roman" w:cs="Times New Roman"/>
          <w:color w:val="000000" w:themeColor="text1"/>
          <w:sz w:val="20"/>
          <w:szCs w:val="20"/>
        </w:rPr>
        <w:t>dose.ⅳ</w:t>
      </w:r>
      <w:proofErr w:type="spellEnd"/>
      <w:proofErr w:type="gramEnd"/>
      <w:r w:rsidRPr="004C5048">
        <w:rPr>
          <w:rFonts w:ascii="Times New Roman" w:hAnsi="Times New Roman" w:cs="Times New Roman"/>
          <w:color w:val="000000" w:themeColor="text1"/>
          <w:sz w:val="20"/>
          <w:szCs w:val="20"/>
        </w:rPr>
        <w:t>) Endocrine (tamoxifen and an aromatase inhibitor) cohort: A total of two surveys (T1: before the first oral administration and T2: 2 months and ±2 weeks after the first administration) were conducted. Because endocrine-induced joint pain and hot flushes tended to appear within the first few months of administration.</w:t>
      </w:r>
    </w:p>
    <w:p w14:paraId="267C9A6D" w14:textId="4545CE6F" w:rsidR="0051242E" w:rsidRPr="004C5048" w:rsidRDefault="0051242E" w:rsidP="0051242E">
      <w:pPr>
        <w:spacing w:line="360" w:lineRule="auto"/>
        <w:jc w:val="left"/>
        <w:rPr>
          <w:rFonts w:ascii="Times New Roman" w:hAnsi="Times New Roman" w:cs="Times New Roman"/>
          <w:sz w:val="20"/>
          <w:szCs w:val="20"/>
        </w:rPr>
      </w:pPr>
      <w:r w:rsidRPr="004C5048">
        <w:rPr>
          <w:rFonts w:ascii="Times New Roman" w:hAnsi="Times New Roman" w:cs="Times New Roman"/>
          <w:sz w:val="20"/>
          <w:szCs w:val="20"/>
        </w:rPr>
        <w:t xml:space="preserve">　</w:t>
      </w:r>
    </w:p>
    <w:p w14:paraId="76145C9C" w14:textId="77777777" w:rsidR="000F3E2C" w:rsidRPr="004C5048" w:rsidRDefault="000F3E2C">
      <w:pPr>
        <w:rPr>
          <w:sz w:val="20"/>
          <w:szCs w:val="20"/>
        </w:rPr>
      </w:pPr>
    </w:p>
    <w:sectPr w:rsidR="000F3E2C" w:rsidRPr="004C504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FA22F" w14:textId="77777777" w:rsidR="008E43FB" w:rsidRDefault="008E43FB" w:rsidP="0051242E">
      <w:r>
        <w:separator/>
      </w:r>
    </w:p>
  </w:endnote>
  <w:endnote w:type="continuationSeparator" w:id="0">
    <w:p w14:paraId="352F74C9" w14:textId="77777777" w:rsidR="008E43FB" w:rsidRDefault="008E43FB" w:rsidP="00512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56AA7" w14:textId="77777777" w:rsidR="008E43FB" w:rsidRDefault="008E43FB" w:rsidP="0051242E">
      <w:r>
        <w:separator/>
      </w:r>
    </w:p>
  </w:footnote>
  <w:footnote w:type="continuationSeparator" w:id="0">
    <w:p w14:paraId="71753383" w14:textId="77777777" w:rsidR="008E43FB" w:rsidRDefault="008E43FB" w:rsidP="005124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F1A"/>
    <w:rsid w:val="000F3E2C"/>
    <w:rsid w:val="00156B2B"/>
    <w:rsid w:val="00294633"/>
    <w:rsid w:val="00313F1A"/>
    <w:rsid w:val="003723CB"/>
    <w:rsid w:val="0037690A"/>
    <w:rsid w:val="00376FE8"/>
    <w:rsid w:val="004C5048"/>
    <w:rsid w:val="0051242E"/>
    <w:rsid w:val="006B52C9"/>
    <w:rsid w:val="008406D8"/>
    <w:rsid w:val="008C319B"/>
    <w:rsid w:val="008E43FB"/>
    <w:rsid w:val="009D50EB"/>
    <w:rsid w:val="00A3673A"/>
    <w:rsid w:val="00C63447"/>
    <w:rsid w:val="00E82208"/>
    <w:rsid w:val="00F43491"/>
    <w:rsid w:val="00FA79AD"/>
    <w:rsid w:val="00FD170D"/>
    <w:rsid w:val="00FE6A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B14042"/>
  <w15:chartTrackingRefBased/>
  <w15:docId w15:val="{166C6D1D-5C0C-4EC4-A929-9DF8E609E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242E"/>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242E"/>
    <w:pPr>
      <w:tabs>
        <w:tab w:val="center" w:pos="4252"/>
        <w:tab w:val="right" w:pos="8504"/>
      </w:tabs>
      <w:snapToGrid w:val="0"/>
    </w:pPr>
  </w:style>
  <w:style w:type="character" w:customStyle="1" w:styleId="a4">
    <w:name w:val="ヘッダー (文字)"/>
    <w:basedOn w:val="a0"/>
    <w:link w:val="a3"/>
    <w:uiPriority w:val="99"/>
    <w:rsid w:val="0051242E"/>
  </w:style>
  <w:style w:type="paragraph" w:styleId="a5">
    <w:name w:val="footer"/>
    <w:basedOn w:val="a"/>
    <w:link w:val="a6"/>
    <w:uiPriority w:val="99"/>
    <w:unhideWhenUsed/>
    <w:rsid w:val="0051242E"/>
    <w:pPr>
      <w:tabs>
        <w:tab w:val="center" w:pos="4252"/>
        <w:tab w:val="right" w:pos="8504"/>
      </w:tabs>
      <w:snapToGrid w:val="0"/>
    </w:pPr>
  </w:style>
  <w:style w:type="character" w:customStyle="1" w:styleId="a6">
    <w:name w:val="フッター (文字)"/>
    <w:basedOn w:val="a0"/>
    <w:link w:val="a5"/>
    <w:uiPriority w:val="99"/>
    <w:rsid w:val="0051242E"/>
  </w:style>
  <w:style w:type="character" w:styleId="a7">
    <w:name w:val="annotation reference"/>
    <w:basedOn w:val="a0"/>
    <w:uiPriority w:val="99"/>
    <w:semiHidden/>
    <w:unhideWhenUsed/>
    <w:rsid w:val="0051242E"/>
    <w:rPr>
      <w:sz w:val="18"/>
      <w:szCs w:val="18"/>
    </w:rPr>
  </w:style>
  <w:style w:type="paragraph" w:styleId="a8">
    <w:name w:val="annotation text"/>
    <w:basedOn w:val="a"/>
    <w:link w:val="a9"/>
    <w:uiPriority w:val="99"/>
    <w:unhideWhenUsed/>
    <w:rsid w:val="0051242E"/>
    <w:pPr>
      <w:jc w:val="left"/>
    </w:pPr>
    <w:rPr>
      <w:rFonts w:ascii="Times New Roman" w:hAnsi="Times New Roman"/>
      <w:sz w:val="24"/>
    </w:rPr>
  </w:style>
  <w:style w:type="character" w:customStyle="1" w:styleId="a9">
    <w:name w:val="コメント文字列 (文字)"/>
    <w:basedOn w:val="a0"/>
    <w:link w:val="a8"/>
    <w:uiPriority w:val="99"/>
    <w:rsid w:val="0051242E"/>
    <w:rPr>
      <w:rFonts w:ascii="Times New Roman" w:hAnsi="Times New Roman"/>
      <w:sz w:val="24"/>
    </w:rPr>
  </w:style>
  <w:style w:type="paragraph" w:styleId="aa">
    <w:name w:val="Revision"/>
    <w:hidden/>
    <w:uiPriority w:val="99"/>
    <w:semiHidden/>
    <w:rsid w:val="003723CB"/>
  </w:style>
  <w:style w:type="paragraph" w:styleId="ab">
    <w:name w:val="Bibliography"/>
    <w:basedOn w:val="a"/>
    <w:next w:val="a"/>
    <w:uiPriority w:val="37"/>
    <w:unhideWhenUsed/>
    <w:rsid w:val="00FD170D"/>
    <w:pPr>
      <w:tabs>
        <w:tab w:val="left" w:pos="384"/>
      </w:tabs>
      <w:spacing w:after="240"/>
      <w:ind w:left="384" w:hanging="384"/>
    </w:pPr>
  </w:style>
  <w:style w:type="character" w:styleId="ac">
    <w:name w:val="Hyperlink"/>
    <w:basedOn w:val="a0"/>
    <w:uiPriority w:val="99"/>
    <w:unhideWhenUsed/>
    <w:rsid w:val="00FD170D"/>
    <w:rPr>
      <w:color w:val="0563C1" w:themeColor="hyperlink"/>
      <w:u w:val="single"/>
    </w:rPr>
  </w:style>
  <w:style w:type="character" w:styleId="ad">
    <w:name w:val="Unresolved Mention"/>
    <w:basedOn w:val="a0"/>
    <w:uiPriority w:val="99"/>
    <w:semiHidden/>
    <w:unhideWhenUsed/>
    <w:rsid w:val="00FD170D"/>
    <w:rPr>
      <w:color w:val="605E5C"/>
      <w:shd w:val="clear" w:color="auto" w:fill="E1DFDD"/>
    </w:rPr>
  </w:style>
  <w:style w:type="paragraph" w:customStyle="1" w:styleId="EndNoteBibliography">
    <w:name w:val="EndNote Bibliography"/>
    <w:basedOn w:val="a"/>
    <w:link w:val="EndNoteBibliography0"/>
    <w:rsid w:val="00FD170D"/>
    <w:rPr>
      <w:rFonts w:ascii="Times New Roman" w:eastAsia="游明朝" w:hAnsi="Times New Roman" w:cs="Times New Roman"/>
      <w:noProof/>
      <w:sz w:val="20"/>
    </w:rPr>
  </w:style>
  <w:style w:type="character" w:customStyle="1" w:styleId="EndNoteBibliography0">
    <w:name w:val="EndNote Bibliography (文字)"/>
    <w:basedOn w:val="a0"/>
    <w:link w:val="EndNoteBibliography"/>
    <w:rsid w:val="00FD170D"/>
    <w:rPr>
      <w:rFonts w:ascii="Times New Roman" w:eastAsia="游明朝" w:hAnsi="Times New Roman" w:cs="Times New Roman"/>
      <w:noProof/>
      <w:sz w:val="20"/>
    </w:rPr>
  </w:style>
  <w:style w:type="paragraph" w:styleId="ae">
    <w:name w:val="No Spacing"/>
    <w:uiPriority w:val="1"/>
    <w:qFormat/>
    <w:rsid w:val="0037690A"/>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ealthcaredelivery.cancer.gov/pro-ctcae/pro-ctcae_Japanese.pdf"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1373</Words>
  <Characters>7828</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iwamoto takayuki</dc:creator>
  <cp:keywords/>
  <dc:description/>
  <cp:lastModifiedBy>iwamoto takayuki</cp:lastModifiedBy>
  <cp:revision>11</cp:revision>
  <dcterms:created xsi:type="dcterms:W3CDTF">2022-10-03T11:59:00Z</dcterms:created>
  <dcterms:modified xsi:type="dcterms:W3CDTF">2023-05-01T23:45:00Z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04cba71d7190ca28c91dc20a686bc57759cdd95395817f4fa13579757a88fd5e</vt:lpwstr>
  </property>
  <property fmtid="{D5CDD505-2E9C-101B-9397-08002B2CF9AE}" pid="3" name="ZOTERO_PREF_1">
    <vt:lpwstr>&lt;data data-version="3" zotero-version="6.0.26"&gt;&lt;session id="QO6gMQQm"/&gt;&lt;style id="http://www.zotero.org/styles/breast-cancer-research-and-treatment" hasBibliography="1" bibliographyStyleHasBeenSet="1"/&gt;&lt;prefs&gt;&lt;pref name="fieldType" value="Field"/&gt;&lt;pref na</vt:lpwstr>
  </property>
  <property fmtid="{D5CDD505-2E9C-101B-9397-08002B2CF9AE}" pid="4" name="ZOTERO_PREF_2">
    <vt:lpwstr>me="automaticJournalAbbreviations" value="true"/&gt;&lt;/prefs&gt;&lt;/data&gt;</vt:lpwstr>
  </property>
</Properties>
</file>