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0CE68DC" w14:textId="77777777" w:rsidR="00884BBF" w:rsidRPr="00034400" w:rsidRDefault="00884BBF" w:rsidP="00884BBF">
      <w:pPr>
        <w:spacing w:line="360" w:lineRule="auto"/>
        <w:jc w:val="both"/>
        <w:rPr>
          <w:rFonts w:ascii="Times New Roman" w:hAnsi="Times New Roman" w:cs="Times New Roman"/>
          <w:b/>
          <w:bCs/>
          <w:sz w:val="24"/>
          <w:szCs w:val="24"/>
        </w:rPr>
      </w:pPr>
      <w:r w:rsidRPr="00E5045F">
        <w:rPr>
          <w:rFonts w:ascii="Times New Roman" w:hAnsi="Times New Roman" w:cs="Times New Roman"/>
          <w:b/>
          <w:bCs/>
          <w:sz w:val="24"/>
          <w:szCs w:val="24"/>
        </w:rPr>
        <w:t>EXTENDED DATA</w:t>
      </w:r>
    </w:p>
    <w:p w14:paraId="19999F62" w14:textId="77777777" w:rsidR="00884BBF" w:rsidRDefault="00884BBF" w:rsidP="00884BBF">
      <w:pPr>
        <w:spacing w:line="360" w:lineRule="auto"/>
        <w:jc w:val="both"/>
        <w:rPr>
          <w:rFonts w:ascii="Times New Roman" w:hAnsi="Times New Roman" w:cs="Times New Roman"/>
          <w:sz w:val="24"/>
          <w:szCs w:val="24"/>
        </w:rPr>
      </w:pPr>
    </w:p>
    <w:p w14:paraId="358435D0" w14:textId="77777777" w:rsidR="00884BBF" w:rsidRDefault="00884BBF" w:rsidP="00884BBF">
      <w:pPr>
        <w:spacing w:line="360" w:lineRule="auto"/>
        <w:jc w:val="both"/>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4026D992" wp14:editId="2D759C8B">
            <wp:extent cx="5958840" cy="3984682"/>
            <wp:effectExtent l="0" t="0" r="381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966975" cy="3990122"/>
                    </a:xfrm>
                    <a:prstGeom prst="rect">
                      <a:avLst/>
                    </a:prstGeom>
                    <a:noFill/>
                  </pic:spPr>
                </pic:pic>
              </a:graphicData>
            </a:graphic>
          </wp:inline>
        </w:drawing>
      </w:r>
    </w:p>
    <w:p w14:paraId="2C1143C8" w14:textId="77777777" w:rsidR="00884BBF" w:rsidRDefault="00884BBF" w:rsidP="00884BBF">
      <w:pPr>
        <w:spacing w:line="360" w:lineRule="auto"/>
        <w:jc w:val="both"/>
        <w:rPr>
          <w:rFonts w:ascii="Times New Roman" w:hAnsi="Times New Roman" w:cs="Times New Roman"/>
          <w:sz w:val="24"/>
          <w:szCs w:val="24"/>
        </w:rPr>
      </w:pPr>
      <w:r w:rsidRPr="001A3B70">
        <w:rPr>
          <w:rFonts w:ascii="Times New Roman" w:hAnsi="Times New Roman" w:cs="Times New Roman"/>
          <w:b/>
          <w:bCs/>
          <w:sz w:val="24"/>
          <w:szCs w:val="24"/>
        </w:rPr>
        <w:t>Extended Data Fig. 1</w:t>
      </w:r>
      <w:r>
        <w:rPr>
          <w:rFonts w:ascii="Times New Roman" w:hAnsi="Times New Roman" w:cs="Times New Roman"/>
          <w:b/>
          <w:bCs/>
          <w:sz w:val="24"/>
          <w:szCs w:val="24"/>
        </w:rPr>
        <w:t>|</w:t>
      </w:r>
      <w:r w:rsidRPr="001A3B70">
        <w:rPr>
          <w:rFonts w:ascii="Times New Roman" w:hAnsi="Times New Roman" w:cs="Times New Roman"/>
          <w:b/>
          <w:bCs/>
          <w:sz w:val="24"/>
          <w:szCs w:val="24"/>
        </w:rPr>
        <w:t xml:space="preserve"> Cereblon-dependancy of CK1</w:t>
      </w:r>
      <w:r w:rsidRPr="004C686B">
        <w:rPr>
          <w:rFonts w:ascii="Symbol" w:hAnsi="Symbol" w:cs="Times New Roman"/>
          <w:b/>
          <w:bCs/>
          <w:sz w:val="24"/>
          <w:szCs w:val="24"/>
        </w:rPr>
        <w:t>a</w:t>
      </w:r>
      <w:r w:rsidRPr="001A3B70">
        <w:rPr>
          <w:rFonts w:ascii="Times New Roman" w:hAnsi="Times New Roman" w:cs="Times New Roman"/>
          <w:b/>
          <w:bCs/>
          <w:sz w:val="24"/>
          <w:szCs w:val="24"/>
        </w:rPr>
        <w:t xml:space="preserve"> degrader cytotoxicity in MOLM-13 cell line. a.</w:t>
      </w:r>
      <w:r>
        <w:rPr>
          <w:rFonts w:ascii="Times New Roman" w:hAnsi="Times New Roman" w:cs="Times New Roman"/>
          <w:sz w:val="24"/>
          <w:szCs w:val="24"/>
        </w:rPr>
        <w:t xml:space="preserve"> E</w:t>
      </w:r>
      <w:r w:rsidRPr="001A3B70">
        <w:rPr>
          <w:rFonts w:ascii="Times New Roman" w:hAnsi="Times New Roman" w:cs="Times New Roman"/>
          <w:sz w:val="24"/>
          <w:szCs w:val="24"/>
        </w:rPr>
        <w:t xml:space="preserve">ffect of </w:t>
      </w:r>
      <w:r>
        <w:rPr>
          <w:rFonts w:ascii="Times New Roman" w:hAnsi="Times New Roman" w:cs="Times New Roman"/>
          <w:sz w:val="24"/>
          <w:szCs w:val="24"/>
        </w:rPr>
        <w:t>SJ7095</w:t>
      </w:r>
      <w:r w:rsidRPr="001A3B70">
        <w:rPr>
          <w:rFonts w:ascii="Times New Roman" w:hAnsi="Times New Roman" w:cs="Times New Roman"/>
          <w:sz w:val="24"/>
          <w:szCs w:val="24"/>
        </w:rPr>
        <w:t xml:space="preserve"> on MOLM-13 viability in the absence and presence of lenalidomide (40 μM)</w:t>
      </w:r>
      <w:r>
        <w:rPr>
          <w:rFonts w:ascii="Times New Roman" w:hAnsi="Times New Roman" w:cs="Times New Roman"/>
          <w:sz w:val="24"/>
          <w:szCs w:val="24"/>
        </w:rPr>
        <w:t xml:space="preserve">. </w:t>
      </w:r>
      <w:r w:rsidRPr="00BB280F">
        <w:rPr>
          <w:rFonts w:ascii="Times New Roman" w:hAnsi="Times New Roman" w:cs="Times New Roman"/>
          <w:b/>
          <w:bCs/>
          <w:sz w:val="24"/>
          <w:szCs w:val="24"/>
        </w:rPr>
        <w:t>b.</w:t>
      </w:r>
      <w:r>
        <w:rPr>
          <w:rFonts w:ascii="Times New Roman" w:hAnsi="Times New Roman" w:cs="Times New Roman"/>
          <w:sz w:val="24"/>
          <w:szCs w:val="24"/>
        </w:rPr>
        <w:t xml:space="preserve"> E</w:t>
      </w:r>
      <w:r w:rsidRPr="001A3B70">
        <w:rPr>
          <w:rFonts w:ascii="Times New Roman" w:hAnsi="Times New Roman" w:cs="Times New Roman"/>
          <w:sz w:val="24"/>
          <w:szCs w:val="24"/>
        </w:rPr>
        <w:t xml:space="preserve">ffect of </w:t>
      </w:r>
      <w:r>
        <w:rPr>
          <w:rFonts w:ascii="Times New Roman" w:hAnsi="Times New Roman" w:cs="Times New Roman"/>
          <w:sz w:val="24"/>
          <w:szCs w:val="24"/>
        </w:rPr>
        <w:t>SJ7095</w:t>
      </w:r>
      <w:r w:rsidRPr="001A3B70">
        <w:rPr>
          <w:rFonts w:ascii="Times New Roman" w:hAnsi="Times New Roman" w:cs="Times New Roman"/>
          <w:sz w:val="24"/>
          <w:szCs w:val="24"/>
        </w:rPr>
        <w:t xml:space="preserve"> on viability of wild type and CRBN</w:t>
      </w:r>
      <w:r w:rsidRPr="004C686B">
        <w:rPr>
          <w:rFonts w:ascii="Times New Roman" w:hAnsi="Times New Roman" w:cs="Times New Roman"/>
          <w:sz w:val="24"/>
          <w:szCs w:val="24"/>
          <w:vertAlign w:val="superscript"/>
        </w:rPr>
        <w:t>–/–</w:t>
      </w:r>
      <w:r w:rsidRPr="001A3B70">
        <w:rPr>
          <w:rFonts w:ascii="Times New Roman" w:hAnsi="Times New Roman" w:cs="Times New Roman"/>
          <w:sz w:val="24"/>
          <w:szCs w:val="24"/>
        </w:rPr>
        <w:t xml:space="preserve"> MOLM-13 cells</w:t>
      </w:r>
      <w:r>
        <w:rPr>
          <w:rFonts w:ascii="Times New Roman" w:hAnsi="Times New Roman" w:cs="Times New Roman"/>
          <w:sz w:val="24"/>
          <w:szCs w:val="24"/>
        </w:rPr>
        <w:t xml:space="preserve">. </w:t>
      </w:r>
      <w:r>
        <w:rPr>
          <w:rFonts w:ascii="Times New Roman" w:hAnsi="Times New Roman" w:cs="Times New Roman"/>
          <w:b/>
          <w:bCs/>
          <w:sz w:val="24"/>
          <w:szCs w:val="24"/>
        </w:rPr>
        <w:t>c</w:t>
      </w:r>
      <w:r w:rsidRPr="00BB280F">
        <w:rPr>
          <w:rFonts w:ascii="Times New Roman" w:hAnsi="Times New Roman" w:cs="Times New Roman"/>
          <w:b/>
          <w:bCs/>
          <w:sz w:val="24"/>
          <w:szCs w:val="24"/>
        </w:rPr>
        <w:t>.</w:t>
      </w:r>
      <w:r>
        <w:rPr>
          <w:rFonts w:ascii="Times New Roman" w:hAnsi="Times New Roman" w:cs="Times New Roman"/>
          <w:sz w:val="24"/>
          <w:szCs w:val="24"/>
        </w:rPr>
        <w:t xml:space="preserve"> E</w:t>
      </w:r>
      <w:r w:rsidRPr="001A3B70">
        <w:rPr>
          <w:rFonts w:ascii="Times New Roman" w:hAnsi="Times New Roman" w:cs="Times New Roman"/>
          <w:sz w:val="24"/>
          <w:szCs w:val="24"/>
        </w:rPr>
        <w:t xml:space="preserve">ffect of </w:t>
      </w:r>
      <w:r>
        <w:rPr>
          <w:rFonts w:ascii="Times New Roman" w:hAnsi="Times New Roman" w:cs="Times New Roman"/>
          <w:sz w:val="24"/>
          <w:szCs w:val="24"/>
        </w:rPr>
        <w:t>SJ0040</w:t>
      </w:r>
      <w:r w:rsidRPr="001A3B70">
        <w:rPr>
          <w:rFonts w:ascii="Times New Roman" w:hAnsi="Times New Roman" w:cs="Times New Roman"/>
          <w:sz w:val="24"/>
          <w:szCs w:val="24"/>
        </w:rPr>
        <w:t xml:space="preserve"> on viability of wild type and CRBN</w:t>
      </w:r>
      <w:r w:rsidRPr="004C686B">
        <w:rPr>
          <w:rFonts w:ascii="Times New Roman" w:hAnsi="Times New Roman" w:cs="Times New Roman"/>
          <w:sz w:val="24"/>
          <w:szCs w:val="24"/>
          <w:vertAlign w:val="superscript"/>
        </w:rPr>
        <w:t>–/–</w:t>
      </w:r>
      <w:r w:rsidRPr="001A3B70">
        <w:rPr>
          <w:rFonts w:ascii="Times New Roman" w:hAnsi="Times New Roman" w:cs="Times New Roman"/>
          <w:sz w:val="24"/>
          <w:szCs w:val="24"/>
        </w:rPr>
        <w:t xml:space="preserve"> MOLM-13 cells</w:t>
      </w:r>
      <w:r>
        <w:rPr>
          <w:rFonts w:ascii="Times New Roman" w:hAnsi="Times New Roman" w:cs="Times New Roman"/>
          <w:sz w:val="24"/>
          <w:szCs w:val="24"/>
        </w:rPr>
        <w:t xml:space="preserve">. </w:t>
      </w:r>
      <w:r>
        <w:rPr>
          <w:rFonts w:ascii="Times New Roman" w:hAnsi="Times New Roman" w:cs="Times New Roman"/>
          <w:b/>
          <w:bCs/>
          <w:sz w:val="24"/>
          <w:szCs w:val="24"/>
        </w:rPr>
        <w:t>d</w:t>
      </w:r>
      <w:r w:rsidRPr="00BB280F">
        <w:rPr>
          <w:rFonts w:ascii="Times New Roman" w:hAnsi="Times New Roman" w:cs="Times New Roman"/>
          <w:b/>
          <w:bCs/>
          <w:sz w:val="24"/>
          <w:szCs w:val="24"/>
        </w:rPr>
        <w:t>.</w:t>
      </w:r>
      <w:r>
        <w:rPr>
          <w:rFonts w:ascii="Times New Roman" w:hAnsi="Times New Roman" w:cs="Times New Roman"/>
          <w:sz w:val="24"/>
          <w:szCs w:val="24"/>
        </w:rPr>
        <w:t xml:space="preserve"> E</w:t>
      </w:r>
      <w:r w:rsidRPr="001A3B70">
        <w:rPr>
          <w:rFonts w:ascii="Times New Roman" w:hAnsi="Times New Roman" w:cs="Times New Roman"/>
          <w:sz w:val="24"/>
          <w:szCs w:val="24"/>
        </w:rPr>
        <w:t xml:space="preserve">ffect of </w:t>
      </w:r>
      <w:r>
        <w:rPr>
          <w:rFonts w:ascii="Times New Roman" w:hAnsi="Times New Roman" w:cs="Times New Roman"/>
          <w:sz w:val="24"/>
          <w:szCs w:val="24"/>
        </w:rPr>
        <w:t>SJ3149</w:t>
      </w:r>
      <w:r w:rsidRPr="001A3B70">
        <w:rPr>
          <w:rFonts w:ascii="Times New Roman" w:hAnsi="Times New Roman" w:cs="Times New Roman"/>
          <w:sz w:val="24"/>
          <w:szCs w:val="24"/>
        </w:rPr>
        <w:t xml:space="preserve"> on viability of wild type and CRBN</w:t>
      </w:r>
      <w:r w:rsidRPr="004C686B">
        <w:rPr>
          <w:rFonts w:ascii="Times New Roman" w:hAnsi="Times New Roman" w:cs="Times New Roman"/>
          <w:sz w:val="24"/>
          <w:szCs w:val="24"/>
          <w:vertAlign w:val="superscript"/>
        </w:rPr>
        <w:t>–/–</w:t>
      </w:r>
      <w:r w:rsidRPr="001A3B70">
        <w:rPr>
          <w:rFonts w:ascii="Times New Roman" w:hAnsi="Times New Roman" w:cs="Times New Roman"/>
          <w:sz w:val="24"/>
          <w:szCs w:val="24"/>
        </w:rPr>
        <w:t xml:space="preserve"> MOLM-13 cells</w:t>
      </w:r>
      <w:r>
        <w:rPr>
          <w:rFonts w:ascii="Times New Roman" w:hAnsi="Times New Roman" w:cs="Times New Roman"/>
          <w:sz w:val="24"/>
          <w:szCs w:val="24"/>
        </w:rPr>
        <w:t>.</w:t>
      </w:r>
    </w:p>
    <w:p w14:paraId="2D62139E" w14:textId="77777777" w:rsidR="00884BBF" w:rsidRDefault="00884BBF" w:rsidP="00884BBF">
      <w:pPr>
        <w:spacing w:line="360" w:lineRule="auto"/>
        <w:jc w:val="both"/>
        <w:rPr>
          <w:rFonts w:ascii="Times New Roman" w:hAnsi="Times New Roman" w:cs="Times New Roman"/>
          <w:sz w:val="24"/>
          <w:szCs w:val="24"/>
        </w:rPr>
      </w:pPr>
    </w:p>
    <w:p w14:paraId="26976493" w14:textId="77777777" w:rsidR="00884BBF" w:rsidRDefault="00884BBF" w:rsidP="00884BBF">
      <w:pPr>
        <w:spacing w:line="360" w:lineRule="auto"/>
        <w:jc w:val="both"/>
        <w:rPr>
          <w:rFonts w:ascii="Times New Roman" w:hAnsi="Times New Roman" w:cs="Times New Roman"/>
          <w:sz w:val="24"/>
          <w:szCs w:val="24"/>
        </w:rPr>
      </w:pPr>
    </w:p>
    <w:p w14:paraId="18FA1C85" w14:textId="77777777" w:rsidR="00884BBF" w:rsidRDefault="00884BBF" w:rsidP="00884BBF">
      <w:pPr>
        <w:spacing w:line="360" w:lineRule="auto"/>
        <w:jc w:val="both"/>
        <w:rPr>
          <w:rFonts w:ascii="Times New Roman" w:hAnsi="Times New Roman" w:cs="Times New Roman"/>
          <w:sz w:val="24"/>
          <w:szCs w:val="24"/>
        </w:rPr>
      </w:pPr>
    </w:p>
    <w:p w14:paraId="4E24C7DF" w14:textId="77777777" w:rsidR="00884BBF" w:rsidRDefault="00884BBF" w:rsidP="00884BBF">
      <w:pPr>
        <w:spacing w:line="360" w:lineRule="auto"/>
        <w:jc w:val="both"/>
        <w:rPr>
          <w:rFonts w:ascii="Times New Roman" w:hAnsi="Times New Roman" w:cs="Times New Roman"/>
          <w:sz w:val="24"/>
          <w:szCs w:val="24"/>
        </w:rPr>
      </w:pPr>
    </w:p>
    <w:p w14:paraId="7414A0A2" w14:textId="77777777" w:rsidR="00884BBF" w:rsidRDefault="00884BBF" w:rsidP="00884BBF">
      <w:pPr>
        <w:spacing w:line="360" w:lineRule="auto"/>
        <w:jc w:val="both"/>
        <w:rPr>
          <w:rFonts w:ascii="Times New Roman" w:hAnsi="Times New Roman" w:cs="Times New Roman"/>
          <w:sz w:val="24"/>
          <w:szCs w:val="24"/>
        </w:rPr>
      </w:pPr>
    </w:p>
    <w:p w14:paraId="566352E6" w14:textId="77777777" w:rsidR="00884BBF" w:rsidRDefault="00884BBF" w:rsidP="00884BBF">
      <w:pPr>
        <w:spacing w:line="360" w:lineRule="auto"/>
        <w:jc w:val="both"/>
        <w:rPr>
          <w:rFonts w:ascii="Times New Roman" w:hAnsi="Times New Roman" w:cs="Times New Roman"/>
          <w:sz w:val="24"/>
          <w:szCs w:val="24"/>
        </w:rPr>
      </w:pPr>
    </w:p>
    <w:p w14:paraId="3B7018B2" w14:textId="77777777" w:rsidR="00884BBF" w:rsidRDefault="00884BBF" w:rsidP="00884BBF">
      <w:pPr>
        <w:spacing w:line="360" w:lineRule="auto"/>
        <w:jc w:val="both"/>
        <w:rPr>
          <w:rFonts w:ascii="Times New Roman" w:hAnsi="Times New Roman" w:cs="Times New Roman"/>
          <w:sz w:val="24"/>
          <w:szCs w:val="24"/>
        </w:rPr>
      </w:pPr>
    </w:p>
    <w:p w14:paraId="56704805" w14:textId="77777777" w:rsidR="00884BBF" w:rsidRDefault="00884BBF" w:rsidP="00884BBF">
      <w:pPr>
        <w:spacing w:line="360" w:lineRule="auto"/>
        <w:jc w:val="both"/>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1403468F" wp14:editId="5CB6890E">
            <wp:extent cx="5863590" cy="3950004"/>
            <wp:effectExtent l="0" t="0" r="381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870879" cy="3954914"/>
                    </a:xfrm>
                    <a:prstGeom prst="rect">
                      <a:avLst/>
                    </a:prstGeom>
                    <a:noFill/>
                  </pic:spPr>
                </pic:pic>
              </a:graphicData>
            </a:graphic>
          </wp:inline>
        </w:drawing>
      </w:r>
    </w:p>
    <w:p w14:paraId="2C87BC1D" w14:textId="77777777" w:rsidR="00884BBF" w:rsidRDefault="00884BBF" w:rsidP="00884BBF">
      <w:pPr>
        <w:spacing w:line="360" w:lineRule="auto"/>
        <w:jc w:val="both"/>
        <w:rPr>
          <w:rFonts w:ascii="Times New Roman" w:hAnsi="Times New Roman" w:cs="Times New Roman"/>
          <w:b/>
          <w:bCs/>
          <w:sz w:val="24"/>
          <w:szCs w:val="24"/>
        </w:rPr>
      </w:pPr>
      <w:r w:rsidRPr="00765982">
        <w:rPr>
          <w:rFonts w:ascii="Times New Roman" w:hAnsi="Times New Roman" w:cs="Times New Roman"/>
          <w:b/>
          <w:bCs/>
          <w:sz w:val="24"/>
          <w:szCs w:val="24"/>
        </w:rPr>
        <w:t>Extended Data Fig. 2| TMT proteomics in MOLM-13 after incubation with SJ7095</w:t>
      </w:r>
      <w:r>
        <w:rPr>
          <w:rFonts w:ascii="Times New Roman" w:hAnsi="Times New Roman" w:cs="Times New Roman"/>
          <w:b/>
          <w:bCs/>
          <w:sz w:val="24"/>
          <w:szCs w:val="24"/>
        </w:rPr>
        <w:t xml:space="preserve"> at different concentrations and timepoints. </w:t>
      </w:r>
      <w:r w:rsidRPr="00EC07E7">
        <w:rPr>
          <w:rFonts w:ascii="Times New Roman" w:hAnsi="Times New Roman" w:cs="Times New Roman"/>
          <w:b/>
          <w:bCs/>
          <w:sz w:val="24"/>
          <w:szCs w:val="24"/>
        </w:rPr>
        <w:t>a.</w:t>
      </w:r>
      <w:r w:rsidRPr="00EC07E7">
        <w:rPr>
          <w:rFonts w:ascii="Times New Roman" w:hAnsi="Times New Roman" w:cs="Times New Roman"/>
          <w:sz w:val="24"/>
          <w:szCs w:val="24"/>
        </w:rPr>
        <w:t xml:space="preserve"> 1 µM, 4 h. </w:t>
      </w:r>
      <w:r w:rsidRPr="00EC07E7">
        <w:rPr>
          <w:rFonts w:ascii="Times New Roman" w:hAnsi="Times New Roman" w:cs="Times New Roman"/>
          <w:b/>
          <w:bCs/>
          <w:sz w:val="24"/>
          <w:szCs w:val="24"/>
        </w:rPr>
        <w:t>b.</w:t>
      </w:r>
      <w:r w:rsidRPr="00EC07E7">
        <w:rPr>
          <w:rFonts w:ascii="Times New Roman" w:hAnsi="Times New Roman" w:cs="Times New Roman"/>
          <w:sz w:val="24"/>
          <w:szCs w:val="24"/>
        </w:rPr>
        <w:t xml:space="preserve"> 1 µM, 8 h. </w:t>
      </w:r>
      <w:r w:rsidRPr="00EC07E7">
        <w:rPr>
          <w:rFonts w:ascii="Times New Roman" w:hAnsi="Times New Roman" w:cs="Times New Roman"/>
          <w:b/>
          <w:bCs/>
          <w:sz w:val="24"/>
          <w:szCs w:val="24"/>
        </w:rPr>
        <w:t>c</w:t>
      </w:r>
      <w:r>
        <w:rPr>
          <w:rFonts w:ascii="Times New Roman" w:hAnsi="Times New Roman" w:cs="Times New Roman"/>
          <w:b/>
          <w:bCs/>
          <w:sz w:val="24"/>
          <w:szCs w:val="24"/>
        </w:rPr>
        <w:t>.</w:t>
      </w:r>
      <w:r w:rsidRPr="00EC07E7">
        <w:rPr>
          <w:rFonts w:ascii="Times New Roman" w:hAnsi="Times New Roman" w:cs="Times New Roman"/>
          <w:sz w:val="24"/>
          <w:szCs w:val="24"/>
        </w:rPr>
        <w:t xml:space="preserve"> </w:t>
      </w:r>
      <w:r>
        <w:rPr>
          <w:rFonts w:ascii="Times New Roman" w:hAnsi="Times New Roman" w:cs="Times New Roman"/>
          <w:sz w:val="24"/>
          <w:szCs w:val="24"/>
        </w:rPr>
        <w:t>1</w:t>
      </w:r>
      <w:r w:rsidRPr="00EC07E7">
        <w:rPr>
          <w:rFonts w:ascii="Times New Roman" w:hAnsi="Times New Roman" w:cs="Times New Roman"/>
          <w:sz w:val="24"/>
          <w:szCs w:val="24"/>
        </w:rPr>
        <w:t xml:space="preserve"> µM, </w:t>
      </w:r>
      <w:r>
        <w:rPr>
          <w:rFonts w:ascii="Times New Roman" w:hAnsi="Times New Roman" w:cs="Times New Roman"/>
          <w:sz w:val="24"/>
          <w:szCs w:val="24"/>
        </w:rPr>
        <w:t>24</w:t>
      </w:r>
      <w:r w:rsidRPr="00EC07E7">
        <w:rPr>
          <w:rFonts w:ascii="Times New Roman" w:hAnsi="Times New Roman" w:cs="Times New Roman"/>
          <w:sz w:val="24"/>
          <w:szCs w:val="24"/>
        </w:rPr>
        <w:t xml:space="preserve"> h. </w:t>
      </w:r>
      <w:r w:rsidRPr="00EC07E7">
        <w:rPr>
          <w:rFonts w:ascii="Times New Roman" w:hAnsi="Times New Roman" w:cs="Times New Roman"/>
          <w:b/>
          <w:bCs/>
          <w:sz w:val="24"/>
          <w:szCs w:val="24"/>
        </w:rPr>
        <w:t>d.</w:t>
      </w:r>
      <w:r w:rsidRPr="00EC07E7">
        <w:rPr>
          <w:rFonts w:ascii="Times New Roman" w:hAnsi="Times New Roman" w:cs="Times New Roman"/>
          <w:sz w:val="24"/>
          <w:szCs w:val="24"/>
        </w:rPr>
        <w:t xml:space="preserve"> </w:t>
      </w:r>
      <w:r>
        <w:rPr>
          <w:rFonts w:ascii="Times New Roman" w:hAnsi="Times New Roman" w:cs="Times New Roman"/>
          <w:sz w:val="24"/>
          <w:szCs w:val="24"/>
        </w:rPr>
        <w:t>5</w:t>
      </w:r>
      <w:r w:rsidRPr="00EC07E7">
        <w:rPr>
          <w:rFonts w:ascii="Times New Roman" w:hAnsi="Times New Roman" w:cs="Times New Roman"/>
          <w:sz w:val="24"/>
          <w:szCs w:val="24"/>
        </w:rPr>
        <w:t xml:space="preserve"> µM, </w:t>
      </w:r>
      <w:r>
        <w:rPr>
          <w:rFonts w:ascii="Times New Roman" w:hAnsi="Times New Roman" w:cs="Times New Roman"/>
          <w:sz w:val="24"/>
          <w:szCs w:val="24"/>
        </w:rPr>
        <w:t>8</w:t>
      </w:r>
      <w:r w:rsidRPr="00EC07E7">
        <w:rPr>
          <w:rFonts w:ascii="Times New Roman" w:hAnsi="Times New Roman" w:cs="Times New Roman"/>
          <w:sz w:val="24"/>
          <w:szCs w:val="24"/>
        </w:rPr>
        <w:t xml:space="preserve"> h. </w:t>
      </w:r>
      <w:r w:rsidRPr="00EC07E7">
        <w:rPr>
          <w:rFonts w:ascii="Times New Roman" w:hAnsi="Times New Roman" w:cs="Times New Roman"/>
          <w:b/>
          <w:bCs/>
          <w:sz w:val="24"/>
          <w:szCs w:val="24"/>
        </w:rPr>
        <w:t>e.</w:t>
      </w:r>
      <w:r w:rsidRPr="00EC07E7">
        <w:rPr>
          <w:rFonts w:ascii="Times New Roman" w:hAnsi="Times New Roman" w:cs="Times New Roman"/>
          <w:sz w:val="24"/>
          <w:szCs w:val="24"/>
        </w:rPr>
        <w:t xml:space="preserve"> 1</w:t>
      </w:r>
      <w:r>
        <w:rPr>
          <w:rFonts w:ascii="Times New Roman" w:hAnsi="Times New Roman" w:cs="Times New Roman"/>
          <w:sz w:val="24"/>
          <w:szCs w:val="24"/>
        </w:rPr>
        <w:t>0</w:t>
      </w:r>
      <w:r w:rsidRPr="00EC07E7">
        <w:rPr>
          <w:rFonts w:ascii="Times New Roman" w:hAnsi="Times New Roman" w:cs="Times New Roman"/>
          <w:sz w:val="24"/>
          <w:szCs w:val="24"/>
        </w:rPr>
        <w:t xml:space="preserve"> µM, 4 h.</w:t>
      </w:r>
      <w:r>
        <w:rPr>
          <w:rFonts w:ascii="Times New Roman" w:hAnsi="Times New Roman" w:cs="Times New Roman"/>
          <w:sz w:val="24"/>
          <w:szCs w:val="24"/>
        </w:rPr>
        <w:t xml:space="preserve">  </w:t>
      </w:r>
      <w:r w:rsidRPr="001800D3">
        <w:rPr>
          <w:rFonts w:ascii="Times New Roman" w:hAnsi="Times New Roman" w:cs="Times New Roman"/>
          <w:sz w:val="24"/>
          <w:szCs w:val="24"/>
        </w:rPr>
        <w:t>Each treatment was run in duplicate.</w:t>
      </w:r>
    </w:p>
    <w:p w14:paraId="6E486545" w14:textId="77777777" w:rsidR="00884BBF" w:rsidRDefault="00884BBF" w:rsidP="00884BBF">
      <w:pPr>
        <w:spacing w:line="360" w:lineRule="auto"/>
        <w:jc w:val="both"/>
        <w:rPr>
          <w:rFonts w:ascii="Times New Roman" w:hAnsi="Times New Roman" w:cs="Times New Roman"/>
          <w:sz w:val="24"/>
          <w:szCs w:val="24"/>
        </w:rPr>
      </w:pPr>
    </w:p>
    <w:p w14:paraId="6A6205DE" w14:textId="77777777" w:rsidR="00884BBF" w:rsidRDefault="00884BBF" w:rsidP="00884BBF">
      <w:pPr>
        <w:spacing w:line="360" w:lineRule="auto"/>
        <w:jc w:val="both"/>
        <w:rPr>
          <w:rFonts w:ascii="Times New Roman" w:hAnsi="Times New Roman" w:cs="Times New Roman"/>
          <w:b/>
          <w:bCs/>
          <w:sz w:val="24"/>
          <w:szCs w:val="24"/>
        </w:rPr>
      </w:pPr>
    </w:p>
    <w:p w14:paraId="4D8814F3" w14:textId="77777777" w:rsidR="00884BBF" w:rsidRDefault="00884BBF" w:rsidP="00884BBF">
      <w:pPr>
        <w:spacing w:line="360" w:lineRule="auto"/>
        <w:jc w:val="both"/>
        <w:rPr>
          <w:rFonts w:ascii="Times New Roman" w:hAnsi="Times New Roman" w:cs="Times New Roman"/>
          <w:b/>
          <w:bCs/>
          <w:sz w:val="24"/>
          <w:szCs w:val="24"/>
        </w:rPr>
      </w:pPr>
    </w:p>
    <w:p w14:paraId="78989F6A" w14:textId="77777777" w:rsidR="00884BBF" w:rsidRDefault="00884BBF" w:rsidP="00884BBF">
      <w:pPr>
        <w:spacing w:line="360" w:lineRule="auto"/>
        <w:jc w:val="both"/>
        <w:rPr>
          <w:rFonts w:ascii="Times New Roman" w:hAnsi="Times New Roman" w:cs="Times New Roman"/>
          <w:b/>
          <w:bCs/>
          <w:sz w:val="24"/>
          <w:szCs w:val="24"/>
        </w:rPr>
      </w:pPr>
    </w:p>
    <w:p w14:paraId="1228B05A" w14:textId="77777777" w:rsidR="00884BBF" w:rsidRDefault="00884BBF" w:rsidP="00884BBF">
      <w:pPr>
        <w:spacing w:line="360" w:lineRule="auto"/>
        <w:jc w:val="both"/>
        <w:rPr>
          <w:rFonts w:ascii="Times New Roman" w:hAnsi="Times New Roman" w:cs="Times New Roman"/>
          <w:b/>
          <w:bCs/>
          <w:sz w:val="24"/>
          <w:szCs w:val="24"/>
        </w:rPr>
      </w:pPr>
    </w:p>
    <w:p w14:paraId="3E023680" w14:textId="77777777" w:rsidR="00884BBF" w:rsidRDefault="00884BBF" w:rsidP="00884BBF">
      <w:pPr>
        <w:spacing w:line="360" w:lineRule="auto"/>
        <w:jc w:val="both"/>
        <w:rPr>
          <w:rFonts w:ascii="Times New Roman" w:hAnsi="Times New Roman" w:cs="Times New Roman"/>
          <w:b/>
          <w:bCs/>
          <w:sz w:val="24"/>
          <w:szCs w:val="24"/>
        </w:rPr>
      </w:pPr>
    </w:p>
    <w:p w14:paraId="75F1A31D" w14:textId="77777777" w:rsidR="00884BBF" w:rsidRDefault="00884BBF" w:rsidP="00884BBF">
      <w:pPr>
        <w:spacing w:line="360" w:lineRule="auto"/>
        <w:jc w:val="both"/>
        <w:rPr>
          <w:rFonts w:ascii="Times New Roman" w:hAnsi="Times New Roman" w:cs="Times New Roman"/>
          <w:b/>
          <w:bCs/>
          <w:sz w:val="24"/>
          <w:szCs w:val="24"/>
        </w:rPr>
      </w:pPr>
    </w:p>
    <w:p w14:paraId="520B8ED6" w14:textId="77777777" w:rsidR="00884BBF" w:rsidRDefault="00884BBF" w:rsidP="00884BBF">
      <w:pPr>
        <w:spacing w:line="360" w:lineRule="auto"/>
        <w:jc w:val="both"/>
        <w:rPr>
          <w:rFonts w:ascii="Times New Roman" w:hAnsi="Times New Roman" w:cs="Times New Roman"/>
          <w:b/>
          <w:bCs/>
          <w:sz w:val="24"/>
          <w:szCs w:val="24"/>
        </w:rPr>
      </w:pPr>
    </w:p>
    <w:p w14:paraId="207398F6" w14:textId="77777777" w:rsidR="00884BBF" w:rsidRDefault="00884BBF" w:rsidP="00884BBF">
      <w:pPr>
        <w:spacing w:line="360" w:lineRule="auto"/>
        <w:jc w:val="both"/>
        <w:rPr>
          <w:rFonts w:ascii="Times New Roman" w:hAnsi="Times New Roman" w:cs="Times New Roman"/>
          <w:sz w:val="24"/>
          <w:szCs w:val="24"/>
        </w:rPr>
      </w:pPr>
    </w:p>
    <w:p w14:paraId="0DBFDA74" w14:textId="77777777" w:rsidR="00884BBF" w:rsidRDefault="00884BBF" w:rsidP="00884BBF">
      <w:pPr>
        <w:spacing w:line="360" w:lineRule="auto"/>
        <w:jc w:val="cente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61B4C543" wp14:editId="6F0079BF">
            <wp:extent cx="5257800" cy="4097116"/>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64006" cy="4101952"/>
                    </a:xfrm>
                    <a:prstGeom prst="rect">
                      <a:avLst/>
                    </a:prstGeom>
                    <a:noFill/>
                  </pic:spPr>
                </pic:pic>
              </a:graphicData>
            </a:graphic>
          </wp:inline>
        </w:drawing>
      </w:r>
    </w:p>
    <w:p w14:paraId="142C59C1" w14:textId="77777777" w:rsidR="00884BBF" w:rsidRPr="001051AD" w:rsidRDefault="00884BBF" w:rsidP="00884BBF">
      <w:pPr>
        <w:spacing w:line="360" w:lineRule="auto"/>
        <w:jc w:val="both"/>
        <w:rPr>
          <w:rFonts w:ascii="Times New Roman" w:hAnsi="Times New Roman" w:cs="Times New Roman"/>
          <w:sz w:val="24"/>
          <w:szCs w:val="24"/>
        </w:rPr>
      </w:pPr>
      <w:r w:rsidRPr="001A3B70">
        <w:rPr>
          <w:rFonts w:ascii="Times New Roman" w:hAnsi="Times New Roman" w:cs="Times New Roman"/>
          <w:b/>
          <w:bCs/>
          <w:sz w:val="24"/>
          <w:szCs w:val="24"/>
        </w:rPr>
        <w:t xml:space="preserve">Extended Data Fig. </w:t>
      </w:r>
      <w:r>
        <w:rPr>
          <w:rFonts w:ascii="Times New Roman" w:hAnsi="Times New Roman" w:cs="Times New Roman"/>
          <w:b/>
          <w:bCs/>
          <w:sz w:val="24"/>
          <w:szCs w:val="24"/>
        </w:rPr>
        <w:t>3|</w:t>
      </w:r>
      <w:r w:rsidRPr="001A3B70">
        <w:rPr>
          <w:rFonts w:ascii="Times New Roman" w:hAnsi="Times New Roman" w:cs="Times New Roman"/>
          <w:b/>
          <w:bCs/>
          <w:sz w:val="24"/>
          <w:szCs w:val="24"/>
        </w:rPr>
        <w:t xml:space="preserve"> </w:t>
      </w:r>
      <w:r>
        <w:rPr>
          <w:rFonts w:ascii="Times New Roman" w:hAnsi="Times New Roman" w:cs="Times New Roman"/>
          <w:b/>
          <w:bCs/>
          <w:sz w:val="24"/>
          <w:szCs w:val="24"/>
        </w:rPr>
        <w:t>MOLM-13 cells are highly dependent on CK1</w:t>
      </w:r>
      <w:r w:rsidRPr="00532BB0">
        <w:rPr>
          <w:rFonts w:ascii="Symbol" w:hAnsi="Symbol" w:cs="Times New Roman"/>
          <w:b/>
          <w:bCs/>
          <w:sz w:val="24"/>
          <w:szCs w:val="24"/>
        </w:rPr>
        <w:t>a</w:t>
      </w:r>
      <w:r>
        <w:rPr>
          <w:rFonts w:ascii="Times New Roman" w:hAnsi="Times New Roman" w:cs="Times New Roman"/>
          <w:b/>
          <w:bCs/>
          <w:sz w:val="24"/>
          <w:szCs w:val="24"/>
        </w:rPr>
        <w:t xml:space="preserve"> expression. </w:t>
      </w:r>
      <w:r w:rsidRPr="001A3B70">
        <w:rPr>
          <w:rFonts w:ascii="Times New Roman" w:hAnsi="Times New Roman" w:cs="Times New Roman"/>
          <w:b/>
          <w:bCs/>
          <w:sz w:val="24"/>
          <w:szCs w:val="24"/>
        </w:rPr>
        <w:t>a.</w:t>
      </w:r>
      <w:r>
        <w:rPr>
          <w:rFonts w:ascii="Times New Roman" w:hAnsi="Times New Roman" w:cs="Times New Roman"/>
          <w:sz w:val="24"/>
          <w:szCs w:val="24"/>
        </w:rPr>
        <w:t xml:space="preserve"> MOLM-13 cells viability measured in the CTG assay after 72 h incubation with rising concentrations of iberdomide (CC-220). </w:t>
      </w:r>
      <w:r w:rsidRPr="001809AE">
        <w:rPr>
          <w:rFonts w:ascii="Times New Roman" w:hAnsi="Times New Roman" w:cs="Times New Roman"/>
          <w:b/>
          <w:bCs/>
          <w:sz w:val="24"/>
          <w:szCs w:val="24"/>
        </w:rPr>
        <w:t>b.</w:t>
      </w:r>
      <w:r>
        <w:rPr>
          <w:rFonts w:ascii="Times New Roman" w:hAnsi="Times New Roman" w:cs="Times New Roman"/>
          <w:sz w:val="24"/>
          <w:szCs w:val="24"/>
        </w:rPr>
        <w:t xml:space="preserve"> </w:t>
      </w:r>
      <w:r w:rsidRPr="00280E0B">
        <w:rPr>
          <w:rFonts w:ascii="Times New Roman" w:hAnsi="Times New Roman" w:cs="Times New Roman"/>
          <w:sz w:val="24"/>
          <w:szCs w:val="24"/>
        </w:rPr>
        <w:t xml:space="preserve">CRISPR genomic editing of MOLM-13 </w:t>
      </w:r>
      <w:r>
        <w:rPr>
          <w:rFonts w:ascii="Times New Roman" w:hAnsi="Times New Roman" w:cs="Times New Roman"/>
          <w:sz w:val="24"/>
          <w:szCs w:val="24"/>
        </w:rPr>
        <w:t xml:space="preserve">cells </w:t>
      </w:r>
      <w:r w:rsidRPr="00280E0B">
        <w:rPr>
          <w:rFonts w:ascii="Times New Roman" w:hAnsi="Times New Roman" w:cs="Times New Roman"/>
          <w:sz w:val="24"/>
          <w:szCs w:val="24"/>
        </w:rPr>
        <w:t>using RNA guides against CK1</w:t>
      </w:r>
      <w:r w:rsidRPr="00280E0B">
        <w:rPr>
          <w:rFonts w:ascii="Symbol" w:hAnsi="Symbol" w:cs="Times New Roman"/>
          <w:sz w:val="24"/>
          <w:szCs w:val="24"/>
        </w:rPr>
        <w:t xml:space="preserve">a </w:t>
      </w:r>
      <w:r w:rsidRPr="00280E0B">
        <w:rPr>
          <w:rFonts w:ascii="Times New Roman" w:hAnsi="Times New Roman" w:cs="Times New Roman"/>
          <w:sz w:val="24"/>
          <w:szCs w:val="24"/>
        </w:rPr>
        <w:t xml:space="preserve">and </w:t>
      </w:r>
      <w:r>
        <w:rPr>
          <w:rFonts w:ascii="Times New Roman" w:hAnsi="Times New Roman" w:cs="Times New Roman"/>
          <w:sz w:val="24"/>
          <w:szCs w:val="24"/>
        </w:rPr>
        <w:t xml:space="preserve">determining </w:t>
      </w:r>
      <w:r w:rsidRPr="00280E0B">
        <w:rPr>
          <w:rFonts w:ascii="Times New Roman" w:hAnsi="Times New Roman" w:cs="Times New Roman"/>
          <w:sz w:val="24"/>
          <w:szCs w:val="24"/>
        </w:rPr>
        <w:t>the relative change of out-of-frame INDEL (define) frequency at different time points</w:t>
      </w:r>
      <w:r>
        <w:rPr>
          <w:rFonts w:ascii="Times New Roman" w:hAnsi="Times New Roman" w:cs="Times New Roman"/>
          <w:sz w:val="24"/>
          <w:szCs w:val="24"/>
        </w:rPr>
        <w:t xml:space="preserve">. </w:t>
      </w:r>
      <w:r>
        <w:rPr>
          <w:rFonts w:ascii="Times New Roman" w:hAnsi="Times New Roman" w:cs="Times New Roman"/>
          <w:b/>
          <w:bCs/>
          <w:sz w:val="24"/>
          <w:szCs w:val="24"/>
        </w:rPr>
        <w:t>c</w:t>
      </w:r>
      <w:r w:rsidRPr="00C72AA2">
        <w:rPr>
          <w:rFonts w:ascii="Times New Roman" w:hAnsi="Times New Roman" w:cs="Times New Roman"/>
          <w:b/>
          <w:bCs/>
          <w:sz w:val="24"/>
          <w:szCs w:val="24"/>
        </w:rPr>
        <w:t>.</w:t>
      </w:r>
      <w:r>
        <w:rPr>
          <w:rFonts w:ascii="Times New Roman" w:hAnsi="Times New Roman" w:cs="Times New Roman"/>
          <w:sz w:val="24"/>
          <w:szCs w:val="24"/>
        </w:rPr>
        <w:t xml:space="preserve"> </w:t>
      </w:r>
      <w:r w:rsidRPr="00280E0B">
        <w:rPr>
          <w:rFonts w:ascii="Times New Roman" w:hAnsi="Times New Roman" w:cs="Times New Roman"/>
          <w:sz w:val="24"/>
          <w:szCs w:val="24"/>
        </w:rPr>
        <w:t xml:space="preserve"> </w:t>
      </w:r>
      <w:r w:rsidRPr="003917EE">
        <w:rPr>
          <w:rFonts w:ascii="Times New Roman" w:hAnsi="Times New Roman" w:cs="Times New Roman"/>
          <w:sz w:val="24"/>
          <w:szCs w:val="24"/>
        </w:rPr>
        <w:t xml:space="preserve">GFP percentage </w:t>
      </w:r>
      <w:r>
        <w:rPr>
          <w:rFonts w:ascii="Times New Roman" w:hAnsi="Times New Roman" w:cs="Times New Roman"/>
          <w:sz w:val="24"/>
          <w:szCs w:val="24"/>
        </w:rPr>
        <w:t xml:space="preserve">measured </w:t>
      </w:r>
      <w:r w:rsidRPr="003917EE">
        <w:rPr>
          <w:rFonts w:ascii="Times New Roman" w:hAnsi="Times New Roman" w:cs="Times New Roman"/>
          <w:sz w:val="24"/>
          <w:szCs w:val="24"/>
        </w:rPr>
        <w:t xml:space="preserve">over time </w:t>
      </w:r>
      <w:r>
        <w:rPr>
          <w:rFonts w:ascii="Times New Roman" w:hAnsi="Times New Roman" w:cs="Times New Roman"/>
          <w:sz w:val="24"/>
          <w:szCs w:val="24"/>
        </w:rPr>
        <w:t xml:space="preserve">following </w:t>
      </w:r>
      <w:r w:rsidRPr="003917EE">
        <w:rPr>
          <w:rFonts w:ascii="Times New Roman" w:hAnsi="Times New Roman" w:cs="Times New Roman"/>
          <w:sz w:val="24"/>
          <w:szCs w:val="24"/>
        </w:rPr>
        <w:t>shRNA-targeted silencing of CK1</w:t>
      </w:r>
      <w:r w:rsidRPr="00C72AA2">
        <w:rPr>
          <w:rFonts w:ascii="Symbol" w:hAnsi="Symbol" w:cs="Times New Roman"/>
          <w:sz w:val="24"/>
          <w:szCs w:val="24"/>
        </w:rPr>
        <w:t>a</w:t>
      </w:r>
      <w:r>
        <w:rPr>
          <w:rFonts w:ascii="Symbol" w:hAnsi="Symbol" w:cs="Times New Roman"/>
          <w:sz w:val="24"/>
          <w:szCs w:val="24"/>
        </w:rPr>
        <w:t>.</w:t>
      </w:r>
      <w:r>
        <w:rPr>
          <w:rFonts w:ascii="Times New Roman" w:hAnsi="Times New Roman" w:cs="Times New Roman"/>
          <w:sz w:val="24"/>
          <w:szCs w:val="24"/>
        </w:rPr>
        <w:t xml:space="preserve"> </w:t>
      </w:r>
      <w:r>
        <w:rPr>
          <w:rFonts w:ascii="Times New Roman" w:hAnsi="Times New Roman" w:cs="Times New Roman"/>
          <w:b/>
          <w:bCs/>
          <w:sz w:val="24"/>
          <w:szCs w:val="24"/>
        </w:rPr>
        <w:t>d</w:t>
      </w:r>
      <w:r w:rsidRPr="001051AD">
        <w:rPr>
          <w:rFonts w:ascii="Times New Roman" w:hAnsi="Times New Roman" w:cs="Times New Roman"/>
          <w:b/>
          <w:bCs/>
          <w:sz w:val="24"/>
          <w:szCs w:val="24"/>
        </w:rPr>
        <w:t>.</w:t>
      </w:r>
      <w:r w:rsidRPr="0054244B">
        <w:t xml:space="preserve"> </w:t>
      </w:r>
      <w:r w:rsidRPr="5B38729F">
        <w:rPr>
          <w:rFonts w:ascii="Times New Roman" w:hAnsi="Times New Roman" w:cs="Times New Roman"/>
          <w:sz w:val="24"/>
          <w:szCs w:val="24"/>
        </w:rPr>
        <w:t xml:space="preserve">Representative immunoblot of CK1α expression after shRNA treatment and corresponding relative expression of 3 replicates. </w:t>
      </w:r>
    </w:p>
    <w:p w14:paraId="047BEAC7" w14:textId="77777777" w:rsidR="00884BBF" w:rsidRDefault="00884BBF" w:rsidP="00884BBF">
      <w:pPr>
        <w:spacing w:line="360" w:lineRule="auto"/>
        <w:jc w:val="both"/>
        <w:rPr>
          <w:rFonts w:ascii="Times New Roman" w:hAnsi="Times New Roman" w:cs="Times New Roman"/>
          <w:sz w:val="24"/>
          <w:szCs w:val="24"/>
        </w:rPr>
      </w:pPr>
    </w:p>
    <w:p w14:paraId="20EA8779" w14:textId="77777777" w:rsidR="00884BBF" w:rsidRDefault="00884BBF" w:rsidP="00884BBF">
      <w:pPr>
        <w:spacing w:line="360" w:lineRule="auto"/>
        <w:jc w:val="both"/>
        <w:rPr>
          <w:rFonts w:ascii="Times New Roman" w:hAnsi="Times New Roman" w:cs="Times New Roman"/>
          <w:sz w:val="24"/>
          <w:szCs w:val="24"/>
        </w:rPr>
      </w:pPr>
    </w:p>
    <w:p w14:paraId="605BE2C1" w14:textId="77777777" w:rsidR="00884BBF" w:rsidRDefault="00884BBF" w:rsidP="00884BBF">
      <w:pPr>
        <w:spacing w:line="360" w:lineRule="auto"/>
        <w:jc w:val="both"/>
        <w:rPr>
          <w:rFonts w:ascii="Times New Roman" w:hAnsi="Times New Roman" w:cs="Times New Roman"/>
          <w:sz w:val="24"/>
          <w:szCs w:val="24"/>
        </w:rPr>
      </w:pPr>
    </w:p>
    <w:p w14:paraId="4016EFFD" w14:textId="77777777" w:rsidR="00884BBF" w:rsidRDefault="00884BBF" w:rsidP="00884BBF">
      <w:pPr>
        <w:rPr>
          <w:rFonts w:ascii="Calibri" w:hAnsi="Calibri" w:cs="Calibri"/>
        </w:rPr>
      </w:pPr>
    </w:p>
    <w:p w14:paraId="4B0189A3" w14:textId="77777777" w:rsidR="00884BBF" w:rsidRDefault="00884BBF" w:rsidP="00884BBF">
      <w:pPr>
        <w:rPr>
          <w:rFonts w:ascii="Calibri" w:hAnsi="Calibri" w:cs="Calibri"/>
        </w:rPr>
      </w:pPr>
    </w:p>
    <w:p w14:paraId="150A0C0F" w14:textId="77777777" w:rsidR="00884BBF" w:rsidRDefault="00884BBF" w:rsidP="00884BBF">
      <w:pPr>
        <w:rPr>
          <w:rFonts w:ascii="Calibri" w:hAnsi="Calibri" w:cs="Calibri"/>
        </w:rPr>
      </w:pPr>
    </w:p>
    <w:p w14:paraId="3D7D46C2" w14:textId="77777777" w:rsidR="00884BBF" w:rsidRDefault="00884BBF" w:rsidP="00884BBF">
      <w:pPr>
        <w:rPr>
          <w:rFonts w:ascii="Calibri" w:hAnsi="Calibri" w:cs="Calibri"/>
        </w:rPr>
      </w:pPr>
    </w:p>
    <w:p w14:paraId="0A1059DF" w14:textId="77777777" w:rsidR="00884BBF" w:rsidRDefault="00884BBF" w:rsidP="00884BBF">
      <w:pPr>
        <w:rPr>
          <w:rFonts w:ascii="Calibri" w:hAnsi="Calibri" w:cs="Calibri"/>
        </w:rPr>
      </w:pPr>
      <w:r>
        <w:rPr>
          <w:rFonts w:ascii="Calibri" w:hAnsi="Calibri" w:cs="Calibri"/>
          <w:noProof/>
        </w:rPr>
        <w:lastRenderedPageBreak/>
        <w:drawing>
          <wp:inline distT="0" distB="0" distL="0" distR="0" wp14:anchorId="004B8F80" wp14:editId="6DCCBF65">
            <wp:extent cx="5311140" cy="4989036"/>
            <wp:effectExtent l="0" t="0" r="3810" b="254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312969" cy="4990754"/>
                    </a:xfrm>
                    <a:prstGeom prst="rect">
                      <a:avLst/>
                    </a:prstGeom>
                    <a:noFill/>
                  </pic:spPr>
                </pic:pic>
              </a:graphicData>
            </a:graphic>
          </wp:inline>
        </w:drawing>
      </w:r>
    </w:p>
    <w:p w14:paraId="305467E0" w14:textId="77777777" w:rsidR="00884BBF" w:rsidRDefault="00884BBF" w:rsidP="00884BBF">
      <w:pPr>
        <w:spacing w:line="360" w:lineRule="auto"/>
        <w:jc w:val="both"/>
        <w:rPr>
          <w:rFonts w:ascii="Calibri" w:hAnsi="Calibri" w:cs="Calibri"/>
        </w:rPr>
      </w:pPr>
      <w:r w:rsidRPr="001A3B70">
        <w:rPr>
          <w:rFonts w:ascii="Times New Roman" w:hAnsi="Times New Roman" w:cs="Times New Roman"/>
          <w:b/>
          <w:bCs/>
          <w:sz w:val="24"/>
          <w:szCs w:val="24"/>
        </w:rPr>
        <w:t xml:space="preserve">Extended Data Fig. </w:t>
      </w:r>
      <w:r>
        <w:rPr>
          <w:rFonts w:ascii="Times New Roman" w:hAnsi="Times New Roman" w:cs="Times New Roman"/>
          <w:b/>
          <w:bCs/>
          <w:sz w:val="24"/>
          <w:szCs w:val="24"/>
        </w:rPr>
        <w:t xml:space="preserve">4| </w:t>
      </w:r>
      <w:r w:rsidRPr="003C758C">
        <w:rPr>
          <w:rFonts w:ascii="Times New Roman" w:hAnsi="Times New Roman" w:cs="Times New Roman"/>
          <w:b/>
          <w:bCs/>
          <w:sz w:val="24"/>
          <w:szCs w:val="24"/>
        </w:rPr>
        <w:t>Annexin V staining data in wild type MOLM-13 and CRBN-/- MOLM-13 cells</w:t>
      </w:r>
      <w:r>
        <w:rPr>
          <w:rFonts w:ascii="Times New Roman" w:hAnsi="Times New Roman" w:cs="Times New Roman"/>
          <w:b/>
          <w:bCs/>
          <w:sz w:val="24"/>
          <w:szCs w:val="24"/>
        </w:rPr>
        <w:t xml:space="preserve"> after 24 hours incubation.</w:t>
      </w:r>
      <w:r w:rsidRPr="001A3B70">
        <w:rPr>
          <w:rFonts w:ascii="Times New Roman" w:hAnsi="Times New Roman" w:cs="Times New Roman"/>
          <w:b/>
          <w:bCs/>
          <w:sz w:val="24"/>
          <w:szCs w:val="24"/>
        </w:rPr>
        <w:t xml:space="preserve"> a.</w:t>
      </w:r>
      <w:r>
        <w:rPr>
          <w:rFonts w:ascii="Times New Roman" w:hAnsi="Times New Roman" w:cs="Times New Roman"/>
          <w:sz w:val="24"/>
          <w:szCs w:val="24"/>
        </w:rPr>
        <w:t xml:space="preserve"> </w:t>
      </w:r>
      <w:r w:rsidRPr="00D1161C">
        <w:rPr>
          <w:rFonts w:ascii="Times New Roman" w:hAnsi="Times New Roman" w:cs="Times New Roman"/>
          <w:sz w:val="24"/>
          <w:szCs w:val="24"/>
        </w:rPr>
        <w:t xml:space="preserve">Representative images of triplicate flow cytometry results for annexin V cell surface expression. The x-axis is annexin V signal and the y-axis is DAPI signal. For each plot, the lower right quadrant is early apoptosis, and the upper right quadrant is late apoptosis. </w:t>
      </w:r>
      <w:r w:rsidRPr="00D1161C">
        <w:rPr>
          <w:rFonts w:ascii="Times New Roman" w:hAnsi="Times New Roman" w:cs="Times New Roman"/>
          <w:b/>
          <w:bCs/>
          <w:sz w:val="24"/>
          <w:szCs w:val="24"/>
        </w:rPr>
        <w:t>b.</w:t>
      </w:r>
      <w:r w:rsidRPr="00D1161C">
        <w:rPr>
          <w:rFonts w:ascii="Times New Roman" w:hAnsi="Times New Roman" w:cs="Times New Roman"/>
          <w:sz w:val="24"/>
          <w:szCs w:val="24"/>
        </w:rPr>
        <w:t xml:space="preserve"> Stacked bar graph showing the mean percentage of cells in each apoptotic stage. Error bars indicate standard deviation. </w:t>
      </w:r>
      <w:r w:rsidRPr="00D1161C">
        <w:rPr>
          <w:rFonts w:ascii="Times New Roman" w:hAnsi="Times New Roman" w:cs="Times New Roman"/>
          <w:b/>
          <w:bCs/>
          <w:sz w:val="24"/>
          <w:szCs w:val="24"/>
        </w:rPr>
        <w:t>c.</w:t>
      </w:r>
      <w:r w:rsidRPr="00D1161C">
        <w:rPr>
          <w:rFonts w:ascii="Times New Roman" w:hAnsi="Times New Roman" w:cs="Times New Roman"/>
          <w:sz w:val="24"/>
          <w:szCs w:val="24"/>
        </w:rPr>
        <w:t xml:space="preserve"> Bar graph showing the mean total percent of apoptotic cells in each condition. Error bars indicate standard deviation.</w:t>
      </w:r>
    </w:p>
    <w:p w14:paraId="3121C821" w14:textId="77777777" w:rsidR="00884BBF" w:rsidRDefault="00884BBF" w:rsidP="00884BBF">
      <w:pPr>
        <w:rPr>
          <w:rFonts w:ascii="Calibri" w:hAnsi="Calibri" w:cs="Calibri"/>
        </w:rPr>
      </w:pPr>
    </w:p>
    <w:p w14:paraId="780765F6" w14:textId="77777777" w:rsidR="00884BBF" w:rsidRDefault="00884BBF" w:rsidP="00884BBF">
      <w:pPr>
        <w:rPr>
          <w:rFonts w:ascii="Calibri" w:hAnsi="Calibri" w:cs="Calibri"/>
        </w:rPr>
      </w:pPr>
    </w:p>
    <w:p w14:paraId="4EDF959D" w14:textId="77777777" w:rsidR="00884BBF" w:rsidRDefault="00884BBF" w:rsidP="00884BBF">
      <w:pPr>
        <w:rPr>
          <w:rFonts w:ascii="Calibri" w:hAnsi="Calibri" w:cs="Calibri"/>
        </w:rPr>
      </w:pPr>
    </w:p>
    <w:p w14:paraId="727B7CA0" w14:textId="77777777" w:rsidR="00884BBF" w:rsidRDefault="00884BBF" w:rsidP="00884BBF">
      <w:pPr>
        <w:rPr>
          <w:rFonts w:ascii="Calibri" w:hAnsi="Calibri" w:cs="Calibri"/>
        </w:rPr>
      </w:pPr>
    </w:p>
    <w:p w14:paraId="0669091A" w14:textId="77777777" w:rsidR="00884BBF" w:rsidRDefault="00884BBF" w:rsidP="00884BBF">
      <w:pPr>
        <w:rPr>
          <w:rFonts w:ascii="Calibri" w:hAnsi="Calibri" w:cs="Calibri"/>
        </w:rPr>
      </w:pPr>
    </w:p>
    <w:p w14:paraId="068EF168" w14:textId="77777777" w:rsidR="00884BBF" w:rsidRDefault="00884BBF" w:rsidP="00884BBF">
      <w:pPr>
        <w:rPr>
          <w:rFonts w:ascii="Calibri" w:hAnsi="Calibri" w:cs="Calibri"/>
        </w:rPr>
      </w:pPr>
      <w:r>
        <w:rPr>
          <w:rFonts w:ascii="Calibri" w:hAnsi="Calibri" w:cs="Calibri"/>
          <w:noProof/>
        </w:rPr>
        <w:lastRenderedPageBreak/>
        <w:drawing>
          <wp:inline distT="0" distB="0" distL="0" distR="0" wp14:anchorId="62D771BD" wp14:editId="7E334509">
            <wp:extent cx="5829300" cy="5311140"/>
            <wp:effectExtent l="0" t="0" r="0" b="381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829300" cy="5311140"/>
                    </a:xfrm>
                    <a:prstGeom prst="rect">
                      <a:avLst/>
                    </a:prstGeom>
                    <a:noFill/>
                  </pic:spPr>
                </pic:pic>
              </a:graphicData>
            </a:graphic>
          </wp:inline>
        </w:drawing>
      </w:r>
    </w:p>
    <w:p w14:paraId="34CFD6C8" w14:textId="77777777" w:rsidR="00884BBF" w:rsidRDefault="00884BBF" w:rsidP="00884BBF">
      <w:pPr>
        <w:spacing w:line="360" w:lineRule="auto"/>
        <w:jc w:val="both"/>
        <w:rPr>
          <w:rFonts w:ascii="Calibri" w:hAnsi="Calibri" w:cs="Calibri"/>
        </w:rPr>
      </w:pPr>
      <w:r w:rsidRPr="001A3B70">
        <w:rPr>
          <w:rFonts w:ascii="Times New Roman" w:hAnsi="Times New Roman" w:cs="Times New Roman"/>
          <w:b/>
          <w:bCs/>
          <w:sz w:val="24"/>
          <w:szCs w:val="24"/>
        </w:rPr>
        <w:t xml:space="preserve">Extended Data Fig. </w:t>
      </w:r>
      <w:r>
        <w:rPr>
          <w:rFonts w:ascii="Times New Roman" w:hAnsi="Times New Roman" w:cs="Times New Roman"/>
          <w:b/>
          <w:bCs/>
          <w:sz w:val="24"/>
          <w:szCs w:val="24"/>
        </w:rPr>
        <w:t xml:space="preserve">5| </w:t>
      </w:r>
      <w:r w:rsidRPr="003C758C">
        <w:rPr>
          <w:rFonts w:ascii="Times New Roman" w:hAnsi="Times New Roman" w:cs="Times New Roman"/>
          <w:b/>
          <w:bCs/>
          <w:sz w:val="24"/>
          <w:szCs w:val="24"/>
        </w:rPr>
        <w:t>Annexin V staining data in wild type MOLM-13 and CRBN-/- MOLM-13 cells</w:t>
      </w:r>
      <w:r>
        <w:rPr>
          <w:rFonts w:ascii="Times New Roman" w:hAnsi="Times New Roman" w:cs="Times New Roman"/>
          <w:b/>
          <w:bCs/>
          <w:sz w:val="24"/>
          <w:szCs w:val="24"/>
        </w:rPr>
        <w:t xml:space="preserve"> after 24 hours incubation.</w:t>
      </w:r>
      <w:r w:rsidRPr="001A3B70">
        <w:rPr>
          <w:rFonts w:ascii="Times New Roman" w:hAnsi="Times New Roman" w:cs="Times New Roman"/>
          <w:b/>
          <w:bCs/>
          <w:sz w:val="24"/>
          <w:szCs w:val="24"/>
        </w:rPr>
        <w:t xml:space="preserve"> a.</w:t>
      </w:r>
      <w:r>
        <w:rPr>
          <w:rFonts w:ascii="Times New Roman" w:hAnsi="Times New Roman" w:cs="Times New Roman"/>
          <w:sz w:val="24"/>
          <w:szCs w:val="24"/>
        </w:rPr>
        <w:t xml:space="preserve"> </w:t>
      </w:r>
      <w:r w:rsidRPr="00830C80">
        <w:rPr>
          <w:rFonts w:ascii="Times New Roman" w:hAnsi="Times New Roman" w:cs="Times New Roman"/>
          <w:sz w:val="24"/>
          <w:szCs w:val="24"/>
        </w:rPr>
        <w:t xml:space="preserve">Representative images of triplicate flow cytometry results for annexin V cell surface expression. The x-axis is annexin V signal and the y-axis is DAPI signal. For each plot, the lower right quadrant is early apoptosis, and the upper right quadrant is late apoptosis. </w:t>
      </w:r>
      <w:r w:rsidRPr="00830C80">
        <w:rPr>
          <w:rFonts w:ascii="Times New Roman" w:hAnsi="Times New Roman" w:cs="Times New Roman"/>
          <w:b/>
          <w:bCs/>
          <w:sz w:val="24"/>
          <w:szCs w:val="24"/>
        </w:rPr>
        <w:t>b.</w:t>
      </w:r>
      <w:r w:rsidRPr="00830C80">
        <w:rPr>
          <w:rFonts w:ascii="Times New Roman" w:hAnsi="Times New Roman" w:cs="Times New Roman"/>
          <w:sz w:val="24"/>
          <w:szCs w:val="24"/>
        </w:rPr>
        <w:t xml:space="preserve"> Stacked bar graph showing the mean percentage of cells in each apoptotic stage. Error bars indicate standard deviation. </w:t>
      </w:r>
      <w:r w:rsidRPr="00830C80">
        <w:rPr>
          <w:rFonts w:ascii="Times New Roman" w:hAnsi="Times New Roman" w:cs="Times New Roman"/>
          <w:b/>
          <w:bCs/>
          <w:sz w:val="24"/>
          <w:szCs w:val="24"/>
        </w:rPr>
        <w:t>c.</w:t>
      </w:r>
      <w:r w:rsidRPr="00830C80">
        <w:rPr>
          <w:rFonts w:ascii="Times New Roman" w:hAnsi="Times New Roman" w:cs="Times New Roman"/>
          <w:sz w:val="24"/>
          <w:szCs w:val="24"/>
        </w:rPr>
        <w:t xml:space="preserve"> Bar graph showing the mean total percent of apoptotic cells in each condition. Error bars indicate standard deviation.</w:t>
      </w:r>
    </w:p>
    <w:p w14:paraId="246F92BF" w14:textId="77777777" w:rsidR="00884BBF" w:rsidRDefault="00884BBF" w:rsidP="00884BBF">
      <w:pPr>
        <w:rPr>
          <w:rFonts w:ascii="Calibri" w:hAnsi="Calibri" w:cs="Calibri"/>
        </w:rPr>
      </w:pPr>
    </w:p>
    <w:p w14:paraId="675D65ED" w14:textId="77777777" w:rsidR="00884BBF" w:rsidRDefault="00884BBF" w:rsidP="00884BBF">
      <w:pPr>
        <w:rPr>
          <w:rFonts w:ascii="Calibri" w:hAnsi="Calibri" w:cs="Calibri"/>
        </w:rPr>
      </w:pPr>
    </w:p>
    <w:p w14:paraId="051C2C50" w14:textId="77777777" w:rsidR="00884BBF" w:rsidRDefault="00884BBF" w:rsidP="00884BBF">
      <w:pPr>
        <w:rPr>
          <w:rFonts w:ascii="Calibri" w:hAnsi="Calibri" w:cs="Calibri"/>
        </w:rPr>
      </w:pPr>
    </w:p>
    <w:p w14:paraId="24DCAC2A" w14:textId="77777777" w:rsidR="00884BBF" w:rsidRDefault="00884BBF" w:rsidP="00884BBF">
      <w:pPr>
        <w:rPr>
          <w:rFonts w:ascii="Calibri" w:hAnsi="Calibri" w:cs="Calibri"/>
        </w:rPr>
      </w:pPr>
    </w:p>
    <w:p w14:paraId="40C59C74" w14:textId="77777777" w:rsidR="00884BBF" w:rsidRDefault="00884BBF" w:rsidP="00884BBF">
      <w:pPr>
        <w:rPr>
          <w:rFonts w:ascii="Calibri" w:hAnsi="Calibri" w:cs="Calibri"/>
        </w:rPr>
      </w:pPr>
    </w:p>
    <w:p w14:paraId="780FD5C5" w14:textId="77777777" w:rsidR="00884BBF" w:rsidRDefault="00884BBF" w:rsidP="00884BBF">
      <w:pPr>
        <w:rPr>
          <w:rFonts w:ascii="Calibri" w:hAnsi="Calibri" w:cs="Calibri"/>
        </w:rPr>
      </w:pPr>
      <w:r>
        <w:rPr>
          <w:rFonts w:ascii="Calibri" w:hAnsi="Calibri" w:cs="Calibri"/>
          <w:noProof/>
        </w:rPr>
        <w:drawing>
          <wp:inline distT="0" distB="0" distL="0" distR="0" wp14:anchorId="0FEC6142" wp14:editId="7A5BE588">
            <wp:extent cx="3969173" cy="2703794"/>
            <wp:effectExtent l="0" t="0" r="0" b="1905"/>
            <wp:docPr id="16" name="Picture 16"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Diagram&#10;&#10;Description automatically generated"/>
                    <pic:cNvPicPr/>
                  </pic:nvPicPr>
                  <pic:blipFill rotWithShape="1">
                    <a:blip r:embed="rId9">
                      <a:extLst>
                        <a:ext uri="{28A0092B-C50C-407E-A947-70E740481C1C}">
                          <a14:useLocalDpi xmlns:a14="http://schemas.microsoft.com/office/drawing/2010/main" val="0"/>
                        </a:ext>
                      </a:extLst>
                    </a:blip>
                    <a:srcRect l="18676" t="11281" r="17537" b="11443"/>
                    <a:stretch/>
                  </pic:blipFill>
                  <pic:spPr bwMode="auto">
                    <a:xfrm>
                      <a:off x="0" y="0"/>
                      <a:ext cx="4068614" cy="2771533"/>
                    </a:xfrm>
                    <a:prstGeom prst="rect">
                      <a:avLst/>
                    </a:prstGeom>
                    <a:ln>
                      <a:noFill/>
                    </a:ln>
                    <a:extLst>
                      <a:ext uri="{53640926-AAD7-44D8-BBD7-CCE9431645EC}">
                        <a14:shadowObscured xmlns:a14="http://schemas.microsoft.com/office/drawing/2010/main"/>
                      </a:ext>
                    </a:extLst>
                  </pic:spPr>
                </pic:pic>
              </a:graphicData>
            </a:graphic>
          </wp:inline>
        </w:drawing>
      </w:r>
    </w:p>
    <w:p w14:paraId="1288D949" w14:textId="77777777" w:rsidR="00884BBF" w:rsidRPr="00C96794" w:rsidRDefault="00884BBF" w:rsidP="00884BBF">
      <w:pPr>
        <w:rPr>
          <w:rFonts w:ascii="Times New Roman" w:hAnsi="Times New Roman" w:cs="Times New Roman"/>
          <w:sz w:val="24"/>
          <w:szCs w:val="24"/>
        </w:rPr>
      </w:pPr>
      <w:r w:rsidRPr="00040F73">
        <w:rPr>
          <w:rFonts w:ascii="Times New Roman" w:hAnsi="Times New Roman" w:cs="Times New Roman"/>
          <w:b/>
          <w:bCs/>
          <w:sz w:val="24"/>
          <w:szCs w:val="24"/>
        </w:rPr>
        <w:t xml:space="preserve">Extended Data Fig. 6| </w:t>
      </w:r>
      <w:r w:rsidRPr="00C96794">
        <w:rPr>
          <w:rFonts w:ascii="Times New Roman" w:hAnsi="Times New Roman" w:cs="Times New Roman"/>
          <w:sz w:val="24"/>
          <w:szCs w:val="24"/>
        </w:rPr>
        <w:t>Ribbon diagram of SJ3149 (cyan sticks) at the interface of CRBN (green) and CK1</w:t>
      </w:r>
      <w:r w:rsidRPr="00C96794">
        <w:rPr>
          <w:rFonts w:ascii="Times New Roman" w:hAnsi="Times New Roman" w:cs="Times New Roman"/>
          <w:sz w:val="24"/>
          <w:szCs w:val="24"/>
          <w:lang w:val="el-GR"/>
        </w:rPr>
        <w:t>α</w:t>
      </w:r>
      <w:r w:rsidRPr="00C96794">
        <w:rPr>
          <w:rFonts w:ascii="Times New Roman" w:hAnsi="Times New Roman" w:cs="Times New Roman"/>
          <w:sz w:val="24"/>
          <w:szCs w:val="24"/>
        </w:rPr>
        <w:t xml:space="preserve"> (purple) overlaid onto 5FQD (grey). SJ3149 contacts the CK1</w:t>
      </w:r>
      <w:r w:rsidRPr="00C96794">
        <w:rPr>
          <w:rFonts w:ascii="Times New Roman" w:hAnsi="Times New Roman" w:cs="Times New Roman"/>
          <w:sz w:val="24"/>
          <w:szCs w:val="24"/>
          <w:lang w:val="el-GR"/>
        </w:rPr>
        <w:t>α</w:t>
      </w:r>
      <w:r w:rsidRPr="00C96794">
        <w:rPr>
          <w:rFonts w:ascii="Times New Roman" w:hAnsi="Times New Roman" w:cs="Times New Roman"/>
          <w:sz w:val="24"/>
          <w:szCs w:val="24"/>
        </w:rPr>
        <w:t xml:space="preserve"> “degron” loop (purple), including G40 (pink) that is essential for recruitment of CK1</w:t>
      </w:r>
      <w:r w:rsidRPr="00C96794">
        <w:rPr>
          <w:rFonts w:ascii="Times New Roman" w:hAnsi="Times New Roman" w:cs="Times New Roman"/>
          <w:sz w:val="24"/>
          <w:szCs w:val="24"/>
          <w:lang w:val="el-GR"/>
        </w:rPr>
        <w:t>α</w:t>
      </w:r>
      <w:r w:rsidRPr="00C96794">
        <w:rPr>
          <w:rFonts w:ascii="Times New Roman" w:hAnsi="Times New Roman" w:cs="Times New Roman"/>
          <w:sz w:val="24"/>
          <w:szCs w:val="24"/>
        </w:rPr>
        <w:t xml:space="preserve"> to CRBN.</w:t>
      </w:r>
    </w:p>
    <w:p w14:paraId="27047C98" w14:textId="77777777" w:rsidR="00884BBF" w:rsidRDefault="00884BBF" w:rsidP="00884BBF">
      <w:pPr>
        <w:rPr>
          <w:rFonts w:ascii="Calibri" w:hAnsi="Calibri" w:cs="Calibri"/>
        </w:rPr>
      </w:pPr>
      <w:r>
        <w:rPr>
          <w:rFonts w:ascii="Calibri" w:hAnsi="Calibri" w:cs="Calibri"/>
        </w:rPr>
        <w:br w:type="page"/>
      </w:r>
    </w:p>
    <w:p w14:paraId="722C9A19" w14:textId="77777777" w:rsidR="00884BBF" w:rsidRDefault="00884BBF" w:rsidP="00884BBF">
      <w:pPr>
        <w:rPr>
          <w:rFonts w:ascii="Calibri" w:hAnsi="Calibri" w:cs="Calibri"/>
        </w:rPr>
      </w:pPr>
    </w:p>
    <w:p w14:paraId="3420AAD7" w14:textId="77777777" w:rsidR="00884BBF" w:rsidRDefault="00884BBF" w:rsidP="00884BBF">
      <w:pPr>
        <w:spacing w:line="480" w:lineRule="auto"/>
        <w:jc w:val="both"/>
        <w:rPr>
          <w:rFonts w:ascii="Calibri" w:hAnsi="Calibri" w:cs="Calibri"/>
        </w:rPr>
      </w:pPr>
    </w:p>
    <w:p w14:paraId="6446DA63" w14:textId="77777777" w:rsidR="00884BBF" w:rsidRDefault="00884BBF" w:rsidP="00884BBF">
      <w:pPr>
        <w:spacing w:line="480" w:lineRule="auto"/>
        <w:jc w:val="both"/>
        <w:rPr>
          <w:rFonts w:ascii="Calibri" w:hAnsi="Calibri" w:cs="Calibri"/>
        </w:rPr>
      </w:pPr>
      <w:r>
        <w:rPr>
          <w:rFonts w:ascii="Calibri" w:hAnsi="Calibri" w:cs="Calibri"/>
          <w:noProof/>
        </w:rPr>
        <w:drawing>
          <wp:inline distT="0" distB="0" distL="0" distR="0" wp14:anchorId="32819A54" wp14:editId="310A4F2D">
            <wp:extent cx="7196665" cy="4048125"/>
            <wp:effectExtent l="0" t="0" r="444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7227363" cy="4065393"/>
                    </a:xfrm>
                    <a:prstGeom prst="rect">
                      <a:avLst/>
                    </a:prstGeom>
                    <a:noFill/>
                  </pic:spPr>
                </pic:pic>
              </a:graphicData>
            </a:graphic>
          </wp:inline>
        </w:drawing>
      </w:r>
    </w:p>
    <w:p w14:paraId="0D34F178" w14:textId="77777777" w:rsidR="00884BBF" w:rsidRPr="00C96794" w:rsidRDefault="00884BBF" w:rsidP="00884BBF">
      <w:pPr>
        <w:jc w:val="both"/>
        <w:rPr>
          <w:rFonts w:ascii="Calibri" w:hAnsi="Calibri" w:cs="Calibri"/>
          <w:sz w:val="24"/>
          <w:szCs w:val="24"/>
        </w:rPr>
      </w:pPr>
      <w:r w:rsidRPr="00040F73">
        <w:rPr>
          <w:rFonts w:ascii="Times New Roman" w:hAnsi="Times New Roman" w:cs="Times New Roman"/>
          <w:b/>
          <w:bCs/>
          <w:sz w:val="24"/>
          <w:szCs w:val="24"/>
        </w:rPr>
        <w:t xml:space="preserve">Extended Data Fig. 7| </w:t>
      </w:r>
      <w:r w:rsidRPr="00C96794">
        <w:rPr>
          <w:rFonts w:ascii="Calibri" w:hAnsi="Calibri" w:cs="Calibri"/>
          <w:sz w:val="24"/>
          <w:szCs w:val="24"/>
        </w:rPr>
        <w:t xml:space="preserve">Comparison of the “open” (PDB: 8CVP) and “closed” (PDB: 8D81) states of CRBN </w:t>
      </w:r>
      <w:r w:rsidRPr="00C96794">
        <w:rPr>
          <w:rFonts w:ascii="Calibri" w:hAnsi="Calibri" w:cs="Calibri"/>
          <w:sz w:val="24"/>
          <w:szCs w:val="24"/>
        </w:rPr>
        <w:fldChar w:fldCharType="begin"/>
      </w:r>
      <w:r w:rsidRPr="00C96794">
        <w:rPr>
          <w:rFonts w:ascii="Calibri" w:hAnsi="Calibri" w:cs="Calibri"/>
          <w:sz w:val="24"/>
          <w:szCs w:val="24"/>
        </w:rPr>
        <w:instrText xml:space="preserve"> ADDIN EN.CITE &lt;EndNote&gt;&lt;Cite&gt;&lt;Author&gt;Watson&lt;/Author&gt;&lt;Year&gt;2022&lt;/Year&gt;&lt;IDText&gt;Molecular glue CELMoD compounds are regulators of cereblon conformation&lt;/IDText&gt;&lt;DisplayText&gt;(4)&lt;/DisplayText&gt;&lt;record&gt;&lt;dates&gt;&lt;pub-dates&gt;&lt;date&gt;Nov 04&lt;/date&gt;&lt;/pub-dates&gt;&lt;year&gt;2022&lt;/year&gt;&lt;/dates&gt;&lt;keywords&gt;&lt;keyword&gt;Adaptor Proteins, Signal Transducing&lt;/keyword&gt;&lt;keyword&gt;Cryoelectron Microscopy&lt;/keyword&gt;&lt;keyword&gt;Thalidomide&lt;/keyword&gt;&lt;keyword&gt;Ubiquitin-Protein Ligases&lt;/keyword&gt;&lt;keyword&gt;Protein Domains&lt;/keyword&gt;&lt;keyword&gt;Allosteric Regulation&lt;/keyword&gt;&lt;/keywords&gt;&lt;urls&gt;&lt;related-urls&gt;&lt;url&gt;https://www.ncbi.nlm.nih.gov/pubmed/36378961&lt;/url&gt;&lt;/related-urls&gt;&lt;/urls&gt;&lt;isbn&gt;1095-9203&lt;/isbn&gt;&lt;custom2&gt;PMC9714526&lt;/custom2&gt;&lt;titles&gt;&lt;title&gt;Molecular glue CELMoD compounds are regulators of cereblon conformation&lt;/title&gt;&lt;secondary-title&gt;Science&lt;/secondary-title&gt;&lt;/titles&gt;&lt;pages&gt;549-553&lt;/pages&gt;&lt;number&gt;6619&lt;/number&gt;&lt;contributors&gt;&lt;authors&gt;&lt;author&gt;Watson, E. R.&lt;/author&gt;&lt;author&gt;Novick, S.&lt;/author&gt;&lt;author&gt;Matyskiela, M. E.&lt;/author&gt;&lt;author&gt;Chamberlain, P. P.&lt;/author&gt;&lt;author&gt;H de la Peña, A.&lt;/author&gt;&lt;author&gt;Zhu, J.&lt;/author&gt;&lt;author&gt;Tran, E.&lt;/author&gt;&lt;author&gt;Griffin, P. R.&lt;/author&gt;&lt;author&gt;Wertz, I. E.&lt;/author&gt;&lt;author&gt;Lander, G. C.&lt;/author&gt;&lt;/authors&gt;&lt;/contributors&gt;&lt;edition&gt;20221103&lt;/edition&gt;&lt;language&gt;eng&lt;/language&gt;&lt;added-date format="utc"&gt;1675117068&lt;/added-date&gt;&lt;ref-type name="Journal Article"&gt;17&lt;/ref-type&gt;&lt;auth-address&gt;Department of Integrative Structural and Computational Biology, Scripps Research, La Jolla, CA 92037, USA. Department of Molecular Medicine, Scripps Research, Jupiter, FL 33458, USA. UF Scripps Biomedical Research, University of Florida, Jupiter, FL 33458, USA. Bristol-Myers Squibb, San Diego, CA 92121, USA.&lt;/auth-address&gt;&lt;rec-number&gt;662&lt;/rec-number&gt;&lt;last-updated-date format="utc"&gt;1675117068&lt;/last-updated-date&gt;&lt;accession-num&gt;36378961&lt;/accession-num&gt;&lt;electronic-resource-num&gt;10.1126/science.add7574&lt;/electronic-resource-num&gt;&lt;volume&gt;378&lt;/volume&gt;&lt;/record&gt;&lt;/Cite&gt;&lt;/EndNote&gt;</w:instrText>
      </w:r>
      <w:r w:rsidRPr="00C96794">
        <w:rPr>
          <w:rFonts w:ascii="Calibri" w:hAnsi="Calibri" w:cs="Calibri"/>
          <w:sz w:val="24"/>
          <w:szCs w:val="24"/>
        </w:rPr>
        <w:fldChar w:fldCharType="separate"/>
      </w:r>
      <w:r w:rsidRPr="00C96794">
        <w:rPr>
          <w:rFonts w:ascii="Calibri" w:hAnsi="Calibri" w:cs="Calibri"/>
          <w:noProof/>
          <w:sz w:val="24"/>
          <w:szCs w:val="24"/>
        </w:rPr>
        <w:t>(4)</w:t>
      </w:r>
      <w:r w:rsidRPr="00C96794">
        <w:rPr>
          <w:rFonts w:ascii="Calibri" w:hAnsi="Calibri" w:cs="Calibri"/>
          <w:sz w:val="24"/>
          <w:szCs w:val="24"/>
        </w:rPr>
        <w:fldChar w:fldCharType="end"/>
      </w:r>
      <w:r w:rsidRPr="00C96794">
        <w:rPr>
          <w:rFonts w:ascii="Calibri" w:hAnsi="Calibri" w:cs="Calibri"/>
          <w:sz w:val="24"/>
          <w:szCs w:val="24"/>
        </w:rPr>
        <w:t xml:space="preserve"> shows that CRBN adopts a closed conformation in the CK1</w:t>
      </w:r>
      <w:r w:rsidRPr="00C96794">
        <w:rPr>
          <w:rFonts w:ascii="Calibri" w:hAnsi="Calibri" w:cs="Calibri"/>
          <w:sz w:val="24"/>
          <w:szCs w:val="24"/>
          <w:lang w:val="el-GR"/>
        </w:rPr>
        <w:t>α</w:t>
      </w:r>
      <w:r w:rsidRPr="00C96794">
        <w:rPr>
          <w:rFonts w:ascii="Calibri" w:hAnsi="Calibri" w:cs="Calibri"/>
          <w:sz w:val="24"/>
          <w:szCs w:val="24"/>
        </w:rPr>
        <w:t>+CRBN+DDB1+ligand quaternary complex. (A) Overlay of open CRBN (8CVP; grey) depicts CRBN in the “open” state with poor overlap of CRBN (green) from our model illustrating that CRBN from our model exists in the “closed” conformation. Full-length DDB1 of 8CVP (grey) overlaid with DDB1</w:t>
      </w:r>
      <w:r w:rsidRPr="00C96794">
        <w:rPr>
          <w:rFonts w:ascii="Calibri" w:hAnsi="Calibri" w:cs="Calibri"/>
          <w:sz w:val="24"/>
          <w:szCs w:val="24"/>
          <w:vertAlign w:val="superscript"/>
        </w:rPr>
        <w:t>∆BPB</w:t>
      </w:r>
      <w:r w:rsidRPr="00C96794">
        <w:rPr>
          <w:rFonts w:ascii="Calibri" w:hAnsi="Calibri" w:cs="Calibri"/>
          <w:sz w:val="24"/>
          <w:szCs w:val="24"/>
        </w:rPr>
        <w:t xml:space="preserve"> (blue) from our structure remains largely unchanged. SJ3149 (cyan sticks) shows binding to the thalidomide binding domain of CRBN (green) and interaction with the </w:t>
      </w:r>
      <w:r w:rsidRPr="00C96794">
        <w:rPr>
          <w:rFonts w:ascii="Calibri" w:hAnsi="Calibri" w:cs="Calibri"/>
          <w:sz w:val="24"/>
          <w:szCs w:val="24"/>
          <w:lang w:val="el-GR"/>
        </w:rPr>
        <w:t>β</w:t>
      </w:r>
      <w:r w:rsidRPr="00C96794">
        <w:rPr>
          <w:rFonts w:ascii="Calibri" w:hAnsi="Calibri" w:cs="Calibri"/>
          <w:sz w:val="24"/>
          <w:szCs w:val="24"/>
        </w:rPr>
        <w:t>-hairpin “sensor loop”. The benzisoxazol of SJ3149 is solvent exposed. Black dashes indicate domain boundaries; CK1</w:t>
      </w:r>
      <w:r w:rsidRPr="00C96794">
        <w:rPr>
          <w:rFonts w:ascii="Calibri" w:hAnsi="Calibri" w:cs="Calibri"/>
          <w:sz w:val="24"/>
          <w:szCs w:val="24"/>
          <w:lang w:val="el-GR"/>
        </w:rPr>
        <w:t>α</w:t>
      </w:r>
      <w:r w:rsidRPr="00C96794">
        <w:rPr>
          <w:rFonts w:ascii="Calibri" w:hAnsi="Calibri" w:cs="Calibri"/>
          <w:sz w:val="24"/>
          <w:szCs w:val="24"/>
        </w:rPr>
        <w:t xml:space="preserve"> was excluded for clarity. (B) The structural overlap of the domains of “closed” CRBN (8D81; grey) with CRBN</w:t>
      </w:r>
      <w:r w:rsidRPr="00C96794">
        <w:rPr>
          <w:rFonts w:ascii="Calibri" w:hAnsi="Calibri" w:cs="Calibri"/>
          <w:sz w:val="24"/>
          <w:szCs w:val="24"/>
          <w:vertAlign w:val="superscript"/>
        </w:rPr>
        <w:t>∆1-40</w:t>
      </w:r>
      <w:r w:rsidRPr="00C96794">
        <w:rPr>
          <w:rFonts w:ascii="Calibri" w:hAnsi="Calibri" w:cs="Calibri"/>
          <w:sz w:val="24"/>
          <w:szCs w:val="24"/>
        </w:rPr>
        <w:t xml:space="preserve"> (green) and DDB1</w:t>
      </w:r>
      <w:r w:rsidRPr="00C96794">
        <w:rPr>
          <w:rFonts w:ascii="Calibri" w:hAnsi="Calibri" w:cs="Calibri"/>
          <w:sz w:val="24"/>
          <w:szCs w:val="24"/>
          <w:vertAlign w:val="superscript"/>
        </w:rPr>
        <w:t>∆BPB</w:t>
      </w:r>
      <w:r w:rsidRPr="00C96794">
        <w:rPr>
          <w:rFonts w:ascii="Calibri" w:hAnsi="Calibri" w:cs="Calibri"/>
          <w:sz w:val="24"/>
          <w:szCs w:val="24"/>
        </w:rPr>
        <w:t xml:space="preserve"> (blue) shows that CRBN is in the “closed” state.</w:t>
      </w:r>
    </w:p>
    <w:p w14:paraId="4320327B" w14:textId="77777777" w:rsidR="00884BBF" w:rsidRDefault="00884BBF" w:rsidP="00884BBF">
      <w:pPr>
        <w:rPr>
          <w:rFonts w:ascii="Calibri" w:hAnsi="Calibri" w:cs="Calibri"/>
        </w:rPr>
      </w:pPr>
      <w:r>
        <w:rPr>
          <w:rFonts w:ascii="Calibri" w:hAnsi="Calibri" w:cs="Calibri"/>
        </w:rPr>
        <w:br w:type="page"/>
      </w:r>
    </w:p>
    <w:p w14:paraId="453D60C4" w14:textId="77777777" w:rsidR="00884BBF" w:rsidRDefault="00884BBF" w:rsidP="00884BBF">
      <w:pPr>
        <w:rPr>
          <w:rFonts w:ascii="Calibri" w:hAnsi="Calibri" w:cs="Calibri"/>
          <w:b/>
          <w:bCs/>
        </w:rPr>
      </w:pPr>
    </w:p>
    <w:p w14:paraId="5EB60F00" w14:textId="77777777" w:rsidR="00884BBF" w:rsidRDefault="00884BBF" w:rsidP="00884BBF">
      <w:pPr>
        <w:rPr>
          <w:rFonts w:ascii="Calibri" w:hAnsi="Calibri" w:cs="Calibri"/>
          <w:b/>
          <w:bCs/>
        </w:rPr>
      </w:pPr>
      <w:r>
        <w:rPr>
          <w:rFonts w:ascii="Calibri" w:hAnsi="Calibri" w:cs="Calibri"/>
          <w:b/>
          <w:bCs/>
          <w:noProof/>
        </w:rPr>
        <w:drawing>
          <wp:inline distT="0" distB="0" distL="0" distR="0" wp14:anchorId="738C2FD6" wp14:editId="64141150">
            <wp:extent cx="7501466" cy="4219575"/>
            <wp:effectExtent l="0" t="0" r="444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540953" cy="4241787"/>
                    </a:xfrm>
                    <a:prstGeom prst="rect">
                      <a:avLst/>
                    </a:prstGeom>
                    <a:noFill/>
                  </pic:spPr>
                </pic:pic>
              </a:graphicData>
            </a:graphic>
          </wp:inline>
        </w:drawing>
      </w:r>
    </w:p>
    <w:p w14:paraId="096A5E00" w14:textId="77777777" w:rsidR="00884BBF" w:rsidRPr="00C96794" w:rsidRDefault="00884BBF" w:rsidP="00884BBF">
      <w:pPr>
        <w:jc w:val="both"/>
        <w:rPr>
          <w:rFonts w:ascii="Times New Roman" w:hAnsi="Times New Roman" w:cs="Times New Roman"/>
          <w:sz w:val="24"/>
          <w:szCs w:val="24"/>
        </w:rPr>
      </w:pPr>
      <w:r w:rsidRPr="00040F73">
        <w:rPr>
          <w:rFonts w:ascii="Times New Roman" w:hAnsi="Times New Roman" w:cs="Times New Roman"/>
          <w:b/>
          <w:bCs/>
          <w:sz w:val="24"/>
          <w:szCs w:val="24"/>
        </w:rPr>
        <w:t xml:space="preserve">Extended Data Fig. 8| </w:t>
      </w:r>
      <w:r w:rsidRPr="00C96794">
        <w:rPr>
          <w:rFonts w:ascii="Times New Roman" w:hAnsi="Times New Roman" w:cs="Times New Roman"/>
          <w:sz w:val="24"/>
          <w:szCs w:val="24"/>
        </w:rPr>
        <w:t>The N-terminal “belt” (orange) of the Lon domain wraps around the thalidomide binding domain (TBD) to stabilize the closed CRBN conformation. (A) Closed CRBN-DDB1 complex (8D81; grey, with safety belt shown in dark grey) bound to Pomalidomide (grey sticks) superimposed onto our quaternary structure with domain colors as above, SJ3149 shown as cyan sticks, and belt region shown in orange. (B-C) Zoom of superposition for (B) our SJ3149-bound structure and (C) Lenalidomide-bound 5FQD (yellow), both showing a closed belt.</w:t>
      </w:r>
    </w:p>
    <w:p w14:paraId="50A4E829" w14:textId="77777777" w:rsidR="00884BBF" w:rsidRDefault="00884BBF" w:rsidP="00884BBF">
      <w:pPr>
        <w:jc w:val="both"/>
        <w:rPr>
          <w:rFonts w:ascii="Calibri" w:hAnsi="Calibri" w:cs="Calibri"/>
        </w:rPr>
      </w:pPr>
    </w:p>
    <w:p w14:paraId="616B55A4" w14:textId="77777777" w:rsidR="00884BBF" w:rsidRDefault="00884BBF" w:rsidP="00884BBF">
      <w:pPr>
        <w:jc w:val="both"/>
        <w:rPr>
          <w:rFonts w:ascii="Calibri" w:hAnsi="Calibri" w:cs="Calibri"/>
        </w:rPr>
      </w:pPr>
    </w:p>
    <w:p w14:paraId="6DC1723B" w14:textId="77777777" w:rsidR="00884BBF" w:rsidRDefault="00884BBF" w:rsidP="00884BBF">
      <w:pPr>
        <w:spacing w:line="480" w:lineRule="auto"/>
        <w:jc w:val="both"/>
        <w:rPr>
          <w:rFonts w:ascii="Calibri" w:hAnsi="Calibri" w:cs="Calibri"/>
        </w:rPr>
      </w:pPr>
      <w:r>
        <w:rPr>
          <w:rFonts w:ascii="Calibri" w:hAnsi="Calibri" w:cs="Calibri"/>
          <w:noProof/>
        </w:rPr>
        <w:lastRenderedPageBreak/>
        <w:drawing>
          <wp:inline distT="0" distB="0" distL="0" distR="0" wp14:anchorId="70E90B8B" wp14:editId="376CB966">
            <wp:extent cx="6497955" cy="3653835"/>
            <wp:effectExtent l="0" t="0" r="0" b="381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520176" cy="3666330"/>
                    </a:xfrm>
                    <a:prstGeom prst="rect">
                      <a:avLst/>
                    </a:prstGeom>
                    <a:noFill/>
                  </pic:spPr>
                </pic:pic>
              </a:graphicData>
            </a:graphic>
          </wp:inline>
        </w:drawing>
      </w:r>
    </w:p>
    <w:p w14:paraId="314832BA" w14:textId="77777777" w:rsidR="00884BBF" w:rsidRPr="00C96794" w:rsidRDefault="00884BBF" w:rsidP="00884BBF">
      <w:pPr>
        <w:jc w:val="both"/>
        <w:rPr>
          <w:rFonts w:ascii="Times New Roman" w:hAnsi="Times New Roman" w:cs="Times New Roman"/>
          <w:sz w:val="24"/>
          <w:szCs w:val="24"/>
        </w:rPr>
      </w:pPr>
      <w:r w:rsidRPr="00040F73">
        <w:rPr>
          <w:rFonts w:ascii="Times New Roman" w:hAnsi="Times New Roman" w:cs="Times New Roman"/>
          <w:b/>
          <w:bCs/>
          <w:sz w:val="24"/>
          <w:szCs w:val="24"/>
        </w:rPr>
        <w:t xml:space="preserve">Extended Data Fig. 9| </w:t>
      </w:r>
      <w:r w:rsidRPr="00C96794">
        <w:rPr>
          <w:rFonts w:ascii="Times New Roman" w:hAnsi="Times New Roman" w:cs="Times New Roman"/>
          <w:sz w:val="24"/>
          <w:szCs w:val="24"/>
        </w:rPr>
        <w:t>CK1α in the quaternary complex is in the active state. (A) Overlay of our CK1</w:t>
      </w:r>
      <w:r w:rsidRPr="00C96794">
        <w:rPr>
          <w:rFonts w:ascii="Times New Roman" w:hAnsi="Times New Roman" w:cs="Times New Roman"/>
          <w:sz w:val="24"/>
          <w:szCs w:val="24"/>
          <w:lang w:val="el-GR"/>
        </w:rPr>
        <w:t>α</w:t>
      </w:r>
      <w:r w:rsidRPr="00C96794">
        <w:rPr>
          <w:rFonts w:ascii="Times New Roman" w:hAnsi="Times New Roman" w:cs="Times New Roman"/>
          <w:sz w:val="24"/>
          <w:szCs w:val="24"/>
        </w:rPr>
        <w:t xml:space="preserve"> (purple) with active CK1</w:t>
      </w:r>
      <w:r w:rsidRPr="00C96794">
        <w:rPr>
          <w:rFonts w:ascii="Times New Roman" w:hAnsi="Times New Roman" w:cs="Times New Roman"/>
          <w:sz w:val="24"/>
          <w:szCs w:val="24"/>
          <w:lang w:val="el-GR"/>
        </w:rPr>
        <w:t>α</w:t>
      </w:r>
      <w:r w:rsidRPr="00C96794">
        <w:rPr>
          <w:rFonts w:ascii="Times New Roman" w:hAnsi="Times New Roman" w:cs="Times New Roman"/>
          <w:sz w:val="24"/>
          <w:szCs w:val="24"/>
        </w:rPr>
        <w:t xml:space="preserve"> from 5FQD (grey); other components of the quaternary complex are excluded for clarity. The disordered activation segment depicting the active conformation of CK1α is highlighted within the dashed box. CK1</w:t>
      </w:r>
      <w:r w:rsidRPr="00C96794">
        <w:rPr>
          <w:rFonts w:ascii="Times New Roman" w:hAnsi="Times New Roman" w:cs="Times New Roman"/>
          <w:sz w:val="24"/>
          <w:szCs w:val="24"/>
          <w:lang w:val="el-GR"/>
        </w:rPr>
        <w:t>α</w:t>
      </w:r>
      <w:r w:rsidRPr="00C96794">
        <w:rPr>
          <w:rFonts w:ascii="Times New Roman" w:hAnsi="Times New Roman" w:cs="Times New Roman"/>
          <w:sz w:val="24"/>
          <w:szCs w:val="24"/>
        </w:rPr>
        <w:t>’s DFG motif (B) and HRD motif (C) are in the “active” conformation.</w:t>
      </w:r>
    </w:p>
    <w:p w14:paraId="39CED5A0" w14:textId="77777777" w:rsidR="00884BBF" w:rsidRPr="00E016EE" w:rsidRDefault="00884BBF" w:rsidP="00884BBF">
      <w:pPr>
        <w:rPr>
          <w:rFonts w:ascii="Calibri" w:hAnsi="Calibri" w:cs="Calibri"/>
        </w:rPr>
      </w:pPr>
    </w:p>
    <w:p w14:paraId="4EE61C9D" w14:textId="77777777" w:rsidR="00884BBF" w:rsidRDefault="00884BBF" w:rsidP="00884BBF">
      <w:pPr>
        <w:rPr>
          <w:rFonts w:ascii="Calibri" w:hAnsi="Calibri" w:cs="Calibri"/>
        </w:rPr>
      </w:pPr>
      <w:r>
        <w:rPr>
          <w:rFonts w:ascii="Calibri" w:hAnsi="Calibri" w:cs="Calibri"/>
        </w:rPr>
        <w:br w:type="page"/>
      </w:r>
    </w:p>
    <w:p w14:paraId="6CE4836E" w14:textId="77777777" w:rsidR="00884BBF" w:rsidRDefault="00884BBF" w:rsidP="00884BBF">
      <w:pPr>
        <w:spacing w:line="360" w:lineRule="auto"/>
        <w:jc w:val="both"/>
        <w:rPr>
          <w:rFonts w:ascii="Times New Roman" w:hAnsi="Times New Roman" w:cs="Times New Roman"/>
          <w:sz w:val="24"/>
          <w:szCs w:val="24"/>
        </w:rPr>
      </w:pPr>
    </w:p>
    <w:p w14:paraId="15930F58" w14:textId="77777777" w:rsidR="00884BBF" w:rsidRDefault="00884BBF" w:rsidP="00884BBF">
      <w:pPr>
        <w:spacing w:line="360" w:lineRule="auto"/>
        <w:jc w:val="both"/>
        <w:rPr>
          <w:rFonts w:ascii="Times New Roman" w:hAnsi="Times New Roman" w:cs="Times New Roman"/>
          <w:b/>
          <w:bCs/>
          <w:sz w:val="24"/>
          <w:szCs w:val="24"/>
        </w:rPr>
      </w:pPr>
      <w:r>
        <w:rPr>
          <w:rFonts w:ascii="Times New Roman" w:hAnsi="Times New Roman" w:cs="Times New Roman"/>
          <w:b/>
          <w:bCs/>
          <w:noProof/>
          <w:sz w:val="24"/>
          <w:szCs w:val="24"/>
        </w:rPr>
        <w:drawing>
          <wp:inline distT="0" distB="0" distL="0" distR="0" wp14:anchorId="61115917" wp14:editId="7193BBCB">
            <wp:extent cx="5935980" cy="3710940"/>
            <wp:effectExtent l="0" t="0" r="7620" b="381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35980" cy="3710940"/>
                    </a:xfrm>
                    <a:prstGeom prst="rect">
                      <a:avLst/>
                    </a:prstGeom>
                    <a:noFill/>
                  </pic:spPr>
                </pic:pic>
              </a:graphicData>
            </a:graphic>
          </wp:inline>
        </w:drawing>
      </w:r>
    </w:p>
    <w:p w14:paraId="45C06A86" w14:textId="77777777" w:rsidR="00884BBF" w:rsidRDefault="00884BBF" w:rsidP="00884BBF">
      <w:pPr>
        <w:spacing w:line="360" w:lineRule="auto"/>
        <w:jc w:val="both"/>
        <w:rPr>
          <w:rFonts w:ascii="Times New Roman" w:hAnsi="Times New Roman" w:cs="Times New Roman"/>
          <w:b/>
          <w:bCs/>
          <w:sz w:val="24"/>
          <w:szCs w:val="24"/>
        </w:rPr>
      </w:pPr>
    </w:p>
    <w:p w14:paraId="01C3826E" w14:textId="77777777" w:rsidR="00884BBF" w:rsidRPr="00E5045F" w:rsidRDefault="00884BBF" w:rsidP="00884BBF">
      <w:pPr>
        <w:spacing w:line="360" w:lineRule="auto"/>
        <w:jc w:val="both"/>
        <w:rPr>
          <w:rFonts w:ascii="Times New Roman" w:hAnsi="Times New Roman" w:cs="Times New Roman"/>
          <w:sz w:val="24"/>
          <w:szCs w:val="24"/>
        </w:rPr>
      </w:pPr>
      <w:r w:rsidRPr="0044136E">
        <w:rPr>
          <w:rFonts w:ascii="Times New Roman" w:hAnsi="Times New Roman" w:cs="Times New Roman"/>
          <w:b/>
          <w:bCs/>
          <w:sz w:val="24"/>
          <w:szCs w:val="24"/>
        </w:rPr>
        <w:t xml:space="preserve">Extended </w:t>
      </w:r>
      <w:r>
        <w:rPr>
          <w:rFonts w:ascii="Times New Roman" w:hAnsi="Times New Roman" w:cs="Times New Roman"/>
          <w:b/>
          <w:bCs/>
          <w:sz w:val="24"/>
          <w:szCs w:val="24"/>
        </w:rPr>
        <w:t xml:space="preserve">Data </w:t>
      </w:r>
      <w:r w:rsidRPr="0044136E">
        <w:rPr>
          <w:rFonts w:ascii="Times New Roman" w:hAnsi="Times New Roman" w:cs="Times New Roman"/>
          <w:b/>
          <w:bCs/>
          <w:sz w:val="24"/>
          <w:szCs w:val="24"/>
        </w:rPr>
        <w:t xml:space="preserve">Fig. </w:t>
      </w:r>
      <w:r>
        <w:rPr>
          <w:rFonts w:ascii="Times New Roman" w:hAnsi="Times New Roman" w:cs="Times New Roman"/>
          <w:b/>
          <w:bCs/>
          <w:sz w:val="24"/>
          <w:szCs w:val="24"/>
        </w:rPr>
        <w:t>10</w:t>
      </w:r>
      <w:r w:rsidRPr="0044136E">
        <w:rPr>
          <w:rFonts w:ascii="Times New Roman" w:hAnsi="Times New Roman" w:cs="Times New Roman"/>
          <w:b/>
          <w:bCs/>
          <w:sz w:val="24"/>
          <w:szCs w:val="24"/>
        </w:rPr>
        <w:t xml:space="preserve">| </w:t>
      </w:r>
      <w:r w:rsidRPr="005D1A70">
        <w:rPr>
          <w:rFonts w:ascii="Times New Roman" w:hAnsi="Times New Roman" w:cs="Times New Roman"/>
          <w:b/>
          <w:bCs/>
          <w:sz w:val="24"/>
          <w:szCs w:val="24"/>
        </w:rPr>
        <w:t>IKZF1 from the IKZF1-CRBN-DDB1 (PDB: 6H0F7) complex is aligned onto the CK1</w:t>
      </w:r>
      <w:r w:rsidRPr="005D1A70">
        <w:rPr>
          <w:rFonts w:ascii="Symbol" w:hAnsi="Symbol" w:cs="Times New Roman"/>
          <w:b/>
          <w:bCs/>
          <w:sz w:val="24"/>
          <w:szCs w:val="24"/>
        </w:rPr>
        <w:t>a</w:t>
      </w:r>
      <w:r>
        <w:rPr>
          <w:rFonts w:ascii="Times New Roman" w:hAnsi="Times New Roman" w:cs="Times New Roman"/>
          <w:b/>
          <w:bCs/>
          <w:sz w:val="24"/>
          <w:szCs w:val="24"/>
        </w:rPr>
        <w:t xml:space="preserve"> </w:t>
      </w:r>
      <w:r w:rsidRPr="005D1A70">
        <w:rPr>
          <w:rFonts w:ascii="Times New Roman" w:hAnsi="Times New Roman" w:cs="Times New Roman"/>
          <w:b/>
          <w:bCs/>
          <w:sz w:val="24"/>
          <w:szCs w:val="24"/>
        </w:rPr>
        <w:t>protein in the SJ3149-CK1</w:t>
      </w:r>
      <w:r w:rsidRPr="00F44EE4">
        <w:rPr>
          <w:rFonts w:ascii="Symbol" w:hAnsi="Symbol" w:cs="Times New Roman"/>
          <w:b/>
          <w:bCs/>
          <w:sz w:val="24"/>
          <w:szCs w:val="24"/>
        </w:rPr>
        <w:t></w:t>
      </w:r>
      <w:r w:rsidRPr="005D1A70">
        <w:rPr>
          <w:rFonts w:ascii="Times New Roman" w:hAnsi="Times New Roman" w:cs="Times New Roman"/>
          <w:b/>
          <w:bCs/>
          <w:sz w:val="24"/>
          <w:szCs w:val="24"/>
        </w:rPr>
        <w:t xml:space="preserve">-CRBN-DDB1 complex. </w:t>
      </w:r>
      <w:r w:rsidRPr="0044136E">
        <w:rPr>
          <w:rFonts w:ascii="Times New Roman" w:hAnsi="Times New Roman" w:cs="Times New Roman"/>
          <w:sz w:val="24"/>
          <w:szCs w:val="24"/>
        </w:rPr>
        <w:t>SJ3149 is depicted by its property-mapped Gauss-Connolly molecular surface, where green represents hydrophobic patches and blue and purple represent polar patches [Molecular Operating Environment (MOE)</w:t>
      </w:r>
      <w:r>
        <w:rPr>
          <w:rFonts w:ascii="Times New Roman" w:hAnsi="Times New Roman" w:cs="Times New Roman"/>
          <w:sz w:val="24"/>
          <w:szCs w:val="24"/>
        </w:rPr>
        <w:t xml:space="preserve"> 2022.2].</w:t>
      </w:r>
      <w:r w:rsidRPr="0044136E">
        <w:rPr>
          <w:rFonts w:ascii="Times New Roman" w:hAnsi="Times New Roman" w:cs="Times New Roman"/>
          <w:sz w:val="24"/>
          <w:szCs w:val="24"/>
        </w:rPr>
        <w:t xml:space="preserve"> Distances </w:t>
      </w:r>
      <w:r>
        <w:rPr>
          <w:rFonts w:ascii="Times New Roman" w:hAnsi="Times New Roman" w:cs="Times New Roman"/>
          <w:sz w:val="24"/>
          <w:szCs w:val="24"/>
        </w:rPr>
        <w:t>(Å)</w:t>
      </w:r>
      <w:r w:rsidRPr="0044136E">
        <w:rPr>
          <w:rFonts w:ascii="Times New Roman" w:hAnsi="Times New Roman" w:cs="Times New Roman"/>
          <w:sz w:val="24"/>
          <w:szCs w:val="24"/>
        </w:rPr>
        <w:t xml:space="preserve"> are shown in green. I35 of CK1</w:t>
      </w:r>
      <w:r w:rsidRPr="00CF46E9">
        <w:rPr>
          <w:rFonts w:ascii="Symbol" w:hAnsi="Symbol" w:cs="Times New Roman"/>
          <w:sz w:val="24"/>
          <w:szCs w:val="24"/>
        </w:rPr>
        <w:t>a</w:t>
      </w:r>
      <w:r w:rsidRPr="0044136E">
        <w:rPr>
          <w:rFonts w:ascii="Times New Roman" w:hAnsi="Times New Roman" w:cs="Times New Roman"/>
          <w:sz w:val="24"/>
          <w:szCs w:val="24"/>
        </w:rPr>
        <w:t xml:space="preserve"> is positioned next to the hydrophobic patch created by the six-membered aromatic carbon ring of SJ3149. </w:t>
      </w:r>
      <w:r w:rsidRPr="002D46AC">
        <w:rPr>
          <w:rFonts w:ascii="Times New Roman" w:hAnsi="Times New Roman" w:cs="Times New Roman"/>
          <w:sz w:val="24"/>
          <w:szCs w:val="24"/>
        </w:rPr>
        <w:t>In IKZF1, Q146, which is a polar residue, is positioned next to the hydrophobic patch of the ligand. This incompatibility could be responsible for the inactivity of Series SJ3149 in IKZF1. IKZF1 is shown in gold, CRBN in green and CK1</w:t>
      </w:r>
      <w:r w:rsidRPr="00676B73">
        <w:rPr>
          <w:rFonts w:ascii="Symbol" w:hAnsi="Symbol" w:cs="Times New Roman"/>
          <w:sz w:val="24"/>
          <w:szCs w:val="24"/>
        </w:rPr>
        <w:t></w:t>
      </w:r>
      <w:r w:rsidRPr="002D46AC">
        <w:rPr>
          <w:rFonts w:ascii="Times New Roman" w:hAnsi="Times New Roman" w:cs="Times New Roman"/>
          <w:sz w:val="24"/>
          <w:szCs w:val="24"/>
        </w:rPr>
        <w:t xml:space="preserve"> in purple.</w:t>
      </w:r>
    </w:p>
    <w:p w14:paraId="446F7114" w14:textId="77777777" w:rsidR="00884BBF" w:rsidRDefault="00884BBF" w:rsidP="00884BBF">
      <w:pPr>
        <w:rPr>
          <w:rFonts w:ascii="Calibri" w:hAnsi="Calibri" w:cs="Calibri"/>
        </w:rPr>
      </w:pPr>
    </w:p>
    <w:p w14:paraId="0251F22D" w14:textId="77777777" w:rsidR="00884BBF" w:rsidRDefault="00884BBF" w:rsidP="00884BBF">
      <w:pPr>
        <w:rPr>
          <w:rFonts w:ascii="Calibri" w:hAnsi="Calibri" w:cs="Calibri"/>
        </w:rPr>
      </w:pPr>
    </w:p>
    <w:p w14:paraId="1CC44DAA" w14:textId="77777777" w:rsidR="00884BBF" w:rsidRDefault="00884BBF" w:rsidP="00884BBF">
      <w:pPr>
        <w:rPr>
          <w:rFonts w:ascii="Calibri" w:hAnsi="Calibri" w:cs="Calibri"/>
        </w:rPr>
      </w:pPr>
    </w:p>
    <w:p w14:paraId="31E437C5" w14:textId="77777777" w:rsidR="00884BBF" w:rsidRDefault="00884BBF" w:rsidP="00884BBF">
      <w:pPr>
        <w:rPr>
          <w:rFonts w:ascii="Calibri" w:hAnsi="Calibri" w:cs="Calibri"/>
        </w:rPr>
      </w:pPr>
    </w:p>
    <w:p w14:paraId="1B3C5636" w14:textId="77777777" w:rsidR="00884BBF" w:rsidRDefault="00884BBF" w:rsidP="00884BBF">
      <w:pPr>
        <w:rPr>
          <w:rFonts w:ascii="Calibri" w:hAnsi="Calibri" w:cs="Calibri"/>
        </w:rPr>
      </w:pPr>
    </w:p>
    <w:p w14:paraId="74C420B1" w14:textId="77777777" w:rsidR="00884BBF" w:rsidRDefault="00884BBF" w:rsidP="00884BBF">
      <w:pPr>
        <w:rPr>
          <w:rFonts w:ascii="Calibri" w:hAnsi="Calibri" w:cs="Calibri"/>
        </w:rPr>
      </w:pPr>
    </w:p>
    <w:p w14:paraId="232726A8" w14:textId="77777777" w:rsidR="00884BBF" w:rsidRDefault="00884BBF" w:rsidP="00884BBF">
      <w:pPr>
        <w:rPr>
          <w:rFonts w:ascii="Calibri" w:hAnsi="Calibri" w:cs="Calibri"/>
        </w:rPr>
      </w:pPr>
    </w:p>
    <w:p w14:paraId="3002B45A" w14:textId="77777777" w:rsidR="00884BBF" w:rsidRDefault="00884BBF" w:rsidP="00884BBF">
      <w:pPr>
        <w:rPr>
          <w:rFonts w:ascii="Calibri" w:hAnsi="Calibri" w:cs="Calibri"/>
        </w:rPr>
      </w:pPr>
    </w:p>
    <w:p w14:paraId="72CDB8CF" w14:textId="77777777" w:rsidR="00884BBF" w:rsidRDefault="00884BBF" w:rsidP="00884BBF">
      <w:pPr>
        <w:rPr>
          <w:rFonts w:ascii="Calibri" w:hAnsi="Calibri" w:cs="Calibri"/>
        </w:rPr>
      </w:pPr>
    </w:p>
    <w:p w14:paraId="5937CE6A" w14:textId="77777777" w:rsidR="00884BBF" w:rsidRDefault="00884BBF" w:rsidP="00884BBF">
      <w:pPr>
        <w:rPr>
          <w:rFonts w:ascii="Calibri" w:hAnsi="Calibri" w:cs="Calibri"/>
        </w:rPr>
      </w:pPr>
    </w:p>
    <w:p w14:paraId="4CF6A408" w14:textId="77777777" w:rsidR="00884BBF" w:rsidRDefault="00884BBF" w:rsidP="00884BBF">
      <w:pPr>
        <w:spacing w:line="480" w:lineRule="auto"/>
        <w:jc w:val="both"/>
        <w:rPr>
          <w:rFonts w:ascii="Calibri" w:hAnsi="Calibri" w:cs="Calibri"/>
        </w:rPr>
      </w:pPr>
      <w:r>
        <w:rPr>
          <w:rFonts w:ascii="Calibri" w:hAnsi="Calibri" w:cs="Calibri"/>
          <w:noProof/>
        </w:rPr>
        <w:drawing>
          <wp:anchor distT="0" distB="0" distL="114300" distR="114300" simplePos="0" relativeHeight="251659264" behindDoc="1" locked="0" layoutInCell="1" allowOverlap="1" wp14:anchorId="4B983EED" wp14:editId="2AB2DE65">
            <wp:simplePos x="0" y="0"/>
            <wp:positionH relativeFrom="column">
              <wp:posOffset>125245</wp:posOffset>
            </wp:positionH>
            <wp:positionV relativeFrom="paragraph">
              <wp:posOffset>43771</wp:posOffset>
            </wp:positionV>
            <wp:extent cx="5360670" cy="4518025"/>
            <wp:effectExtent l="0" t="0" r="0" b="3175"/>
            <wp:wrapNone/>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movie::/Users/mfischer/FischerLabMac/CK1a/ck1arotation.mp4"/>
                    <pic:cNvPicPr/>
                  </pic:nvPicPr>
                  <pic:blipFill>
                    <a:blip r:embed="rId14">
                      <a:extLst>
                        <a:ext uri="{28A0092B-C50C-407E-A947-70E740481C1C}">
                          <a14:useLocalDpi xmlns:a14="http://schemas.microsoft.com/office/drawing/2010/main" val="0"/>
                        </a:ext>
                      </a:extLst>
                    </a:blip>
                    <a:stretch>
                      <a:fillRect/>
                    </a:stretch>
                  </pic:blipFill>
                  <pic:spPr>
                    <a:xfrm>
                      <a:off x="0" y="0"/>
                      <a:ext cx="5360670" cy="4518025"/>
                    </a:xfrm>
                    <a:prstGeom prst="rect">
                      <a:avLst/>
                    </a:prstGeom>
                  </pic:spPr>
                </pic:pic>
              </a:graphicData>
            </a:graphic>
            <wp14:sizeRelH relativeFrom="margin">
              <wp14:pctWidth>0</wp14:pctWidth>
            </wp14:sizeRelH>
            <wp14:sizeRelV relativeFrom="margin">
              <wp14:pctHeight>0</wp14:pctHeight>
            </wp14:sizeRelV>
          </wp:anchor>
        </w:drawing>
      </w:r>
      <w:r>
        <w:rPr>
          <w:rFonts w:ascii="Calibri" w:hAnsi="Calibri" w:cs="Calibri"/>
          <w:noProof/>
        </w:rPr>
        <mc:AlternateContent>
          <mc:Choice Requires="wps">
            <w:drawing>
              <wp:anchor distT="0" distB="0" distL="114300" distR="114300" simplePos="0" relativeHeight="251660288" behindDoc="0" locked="0" layoutInCell="1" allowOverlap="1" wp14:anchorId="2B0A896E" wp14:editId="4E471867">
                <wp:simplePos x="0" y="0"/>
                <wp:positionH relativeFrom="column">
                  <wp:posOffset>3175969</wp:posOffset>
                </wp:positionH>
                <wp:positionV relativeFrom="paragraph">
                  <wp:posOffset>76782</wp:posOffset>
                </wp:positionV>
                <wp:extent cx="976630" cy="368935"/>
                <wp:effectExtent l="0" t="0" r="0" b="0"/>
                <wp:wrapNone/>
                <wp:docPr id="8" name="TextBox 6"/>
                <wp:cNvGraphicFramePr/>
                <a:graphic xmlns:a="http://schemas.openxmlformats.org/drawingml/2006/main">
                  <a:graphicData uri="http://schemas.microsoft.com/office/word/2010/wordprocessingShape">
                    <wps:wsp>
                      <wps:cNvSpPr txBox="1"/>
                      <wps:spPr>
                        <a:xfrm>
                          <a:off x="0" y="0"/>
                          <a:ext cx="976630" cy="368935"/>
                        </a:xfrm>
                        <a:prstGeom prst="rect">
                          <a:avLst/>
                        </a:prstGeom>
                        <a:noFill/>
                      </wps:spPr>
                      <wps:txbx>
                        <w:txbxContent>
                          <w:p w14:paraId="3C882838" w14:textId="77777777" w:rsidR="00884BBF" w:rsidRDefault="00884BBF" w:rsidP="00884BBF">
                            <w:pPr>
                              <w:rPr>
                                <w:rFonts w:ascii="Calibri" w:hAnsi="Calibri" w:cs="Calibri"/>
                                <w:b/>
                                <w:bCs/>
                                <w:color w:val="C45911" w:themeColor="accent2" w:themeShade="BF"/>
                                <w:kern w:val="24"/>
                                <w:sz w:val="36"/>
                                <w:szCs w:val="36"/>
                              </w:rPr>
                            </w:pPr>
                            <w:r>
                              <w:rPr>
                                <w:rFonts w:ascii="Calibri" w:hAnsi="Calibri" w:cs="Calibri"/>
                                <w:b/>
                                <w:bCs/>
                                <w:color w:val="C45911" w:themeColor="accent2" w:themeShade="BF"/>
                                <w:kern w:val="24"/>
                                <w:sz w:val="36"/>
                                <w:szCs w:val="36"/>
                              </w:rPr>
                              <w:t>CRBN</w:t>
                            </w:r>
                          </w:p>
                        </w:txbxContent>
                      </wps:txbx>
                      <wps:bodyPr wrap="square">
                        <a:spAutoFit/>
                      </wps:bodyPr>
                    </wps:wsp>
                  </a:graphicData>
                </a:graphic>
              </wp:anchor>
            </w:drawing>
          </mc:Choice>
          <mc:Fallback>
            <w:pict>
              <v:shapetype w14:anchorId="2B0A896E" id="_x0000_t202" coordsize="21600,21600" o:spt="202" path="m,l,21600r21600,l21600,xe">
                <v:stroke joinstyle="miter"/>
                <v:path gradientshapeok="t" o:connecttype="rect"/>
              </v:shapetype>
              <v:shape id="TextBox 6" o:spid="_x0000_s1026" type="#_x0000_t202" style="position:absolute;left:0;text-align:left;margin-left:250.1pt;margin-top:6.05pt;width:76.9pt;height:29.0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" filled="f" stroked="f">
                <v:textbox style="mso-fit-shape-to-text:t">
                  <w:txbxContent>
                    <w:p w14:paraId="3C882838" w14:textId="77777777" w:rsidR="00884BBF" w:rsidRDefault="00884BBF" w:rsidP="00884BBF">
                      <w:pPr>
                        <w:rPr>
                          <w:rFonts w:ascii="Calibri" w:hAnsi="Calibri" w:cs="Calibri"/>
                          <w:b/>
                          <w:bCs/>
                          <w:color w:val="C45911" w:themeColor="accent2" w:themeShade="BF"/>
                          <w:kern w:val="24"/>
                          <w:sz w:val="36"/>
                          <w:szCs w:val="36"/>
                        </w:rPr>
                      </w:pPr>
                      <w:r>
                        <w:rPr>
                          <w:rFonts w:ascii="Calibri" w:hAnsi="Calibri" w:cs="Calibri"/>
                          <w:b/>
                          <w:bCs/>
                          <w:color w:val="C45911" w:themeColor="accent2" w:themeShade="BF"/>
                          <w:kern w:val="24"/>
                          <w:sz w:val="36"/>
                          <w:szCs w:val="36"/>
                        </w:rPr>
                        <w:t>CRBN</w:t>
                      </w:r>
                    </w:p>
                  </w:txbxContent>
                </v:textbox>
              </v:shape>
            </w:pict>
          </mc:Fallback>
        </mc:AlternateContent>
      </w:r>
    </w:p>
    <w:p w14:paraId="2CFF937C" w14:textId="77777777" w:rsidR="00884BBF" w:rsidRDefault="00884BBF" w:rsidP="00884BBF">
      <w:pPr>
        <w:spacing w:line="480" w:lineRule="auto"/>
        <w:jc w:val="both"/>
        <w:rPr>
          <w:rFonts w:ascii="Calibri" w:hAnsi="Calibri" w:cs="Calibri"/>
        </w:rPr>
      </w:pPr>
    </w:p>
    <w:p w14:paraId="63C9C7F3" w14:textId="77777777" w:rsidR="00884BBF" w:rsidRDefault="00884BBF" w:rsidP="00884BBF">
      <w:pPr>
        <w:spacing w:line="480" w:lineRule="auto"/>
        <w:jc w:val="both"/>
        <w:rPr>
          <w:rFonts w:ascii="Calibri" w:hAnsi="Calibri" w:cs="Calibri"/>
        </w:rPr>
      </w:pPr>
      <w:r>
        <w:rPr>
          <w:rFonts w:ascii="Calibri" w:hAnsi="Calibri" w:cs="Calibri"/>
          <w:noProof/>
        </w:rPr>
        <mc:AlternateContent>
          <mc:Choice Requires="wps">
            <w:drawing>
              <wp:anchor distT="0" distB="0" distL="114300" distR="114300" simplePos="0" relativeHeight="251663360" behindDoc="0" locked="0" layoutInCell="1" allowOverlap="1" wp14:anchorId="18800049" wp14:editId="0197B455">
                <wp:simplePos x="0" y="0"/>
                <wp:positionH relativeFrom="column">
                  <wp:posOffset>2302190</wp:posOffset>
                </wp:positionH>
                <wp:positionV relativeFrom="paragraph">
                  <wp:posOffset>113078</wp:posOffset>
                </wp:positionV>
                <wp:extent cx="1582628" cy="3758170"/>
                <wp:effectExtent l="12700" t="12700" r="17780" b="13970"/>
                <wp:wrapNone/>
                <wp:docPr id="20" name="Straight Connector 19">
                  <a:extLst xmlns:a="http://schemas.openxmlformats.org/drawingml/2006/main">
                    <a:ext uri="{FF2B5EF4-FFF2-40B4-BE49-F238E27FC236}">
                      <a16:creationId xmlns:a16="http://schemas.microsoft.com/office/drawing/2014/main" id="{A79E17FF-F9C9-3D0D-FC4D-519EB36DAE3D}"/>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1582628" cy="3758170"/>
                        </a:xfrm>
                        <a:prstGeom prst="line">
                          <a:avLst/>
                        </a:prstGeom>
                        <a:ln w="19050">
                          <a:solidFill>
                            <a:schemeClr val="accent4"/>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611B31A" id="Straight Connector 19" o:spid="_x0000_s1026" style="position:absolute;flip:y;z-index:251663360;visibility:visible;mso-wrap-style:square;mso-wrap-distance-left:9pt;mso-wrap-distance-top:0;mso-wrap-distance-right:9pt;mso-wrap-distance-bottom:0;mso-position-horizontal:absolute;mso-position-horizontal-relative:text;mso-position-vertical:absolute;mso-position-vertical-relative:text" from="181.25pt,8.9pt" to="305.85pt,30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" strokecolor="#ffc000 [3207]" strokeweight="1.5pt">
                <v:stroke joinstyle="miter"/>
                <o:lock v:ext="edit" shapetype="f"/>
              </v:line>
            </w:pict>
          </mc:Fallback>
        </mc:AlternateContent>
      </w:r>
      <w:r>
        <w:rPr>
          <w:rFonts w:ascii="Calibri" w:hAnsi="Calibri" w:cs="Calibri"/>
        </w:rPr>
        <w:t xml:space="preserve"> </w:t>
      </w:r>
    </w:p>
    <w:p w14:paraId="4F088F31" w14:textId="77777777" w:rsidR="00884BBF" w:rsidRDefault="00884BBF" w:rsidP="00884BBF">
      <w:pPr>
        <w:spacing w:line="480" w:lineRule="auto"/>
        <w:jc w:val="both"/>
        <w:rPr>
          <w:rFonts w:ascii="Calibri" w:hAnsi="Calibri" w:cs="Calibri"/>
        </w:rPr>
      </w:pPr>
      <w:r>
        <w:rPr>
          <w:rFonts w:ascii="Calibri" w:hAnsi="Calibri" w:cs="Calibri"/>
          <w:noProof/>
        </w:rPr>
        <mc:AlternateContent>
          <mc:Choice Requires="wps">
            <w:drawing>
              <wp:anchor distT="0" distB="0" distL="114300" distR="114300" simplePos="0" relativeHeight="251661312" behindDoc="0" locked="0" layoutInCell="1" allowOverlap="1" wp14:anchorId="33EDE31E" wp14:editId="482EBF41">
                <wp:simplePos x="0" y="0"/>
                <wp:positionH relativeFrom="column">
                  <wp:posOffset>27921</wp:posOffset>
                </wp:positionH>
                <wp:positionV relativeFrom="paragraph">
                  <wp:posOffset>328562</wp:posOffset>
                </wp:positionV>
                <wp:extent cx="1437005" cy="368935"/>
                <wp:effectExtent l="0" t="0" r="0" b="0"/>
                <wp:wrapNone/>
                <wp:docPr id="9" name="TextBox 3"/>
                <wp:cNvGraphicFramePr/>
                <a:graphic xmlns:a="http://schemas.openxmlformats.org/drawingml/2006/main">
                  <a:graphicData uri="http://schemas.microsoft.com/office/word/2010/wordprocessingShape">
                    <wps:wsp>
                      <wps:cNvSpPr txBox="1"/>
                      <wps:spPr>
                        <a:xfrm>
                          <a:off x="0" y="0"/>
                          <a:ext cx="1437005" cy="368935"/>
                        </a:xfrm>
                        <a:prstGeom prst="rect">
                          <a:avLst/>
                        </a:prstGeom>
                        <a:noFill/>
                      </wps:spPr>
                      <wps:txbx>
                        <w:txbxContent>
                          <w:p w14:paraId="7CF6102D" w14:textId="77777777" w:rsidR="00884BBF" w:rsidRDefault="00884BBF" w:rsidP="00884BBF">
                            <w:pPr>
                              <w:jc w:val="center"/>
                              <w:rPr>
                                <w:rFonts w:ascii="Calibri" w:hAnsi="Calibri" w:cs="Calibri"/>
                                <w:color w:val="808080" w:themeColor="background1" w:themeShade="80"/>
                                <w:kern w:val="24"/>
                                <w:sz w:val="36"/>
                                <w:szCs w:val="36"/>
                              </w:rPr>
                            </w:pPr>
                            <w:r>
                              <w:rPr>
                                <w:rFonts w:ascii="Calibri" w:hAnsi="Calibri" w:cs="Calibri"/>
                                <w:color w:val="808080" w:themeColor="background1" w:themeShade="80"/>
                                <w:kern w:val="24"/>
                                <w:sz w:val="36"/>
                                <w:szCs w:val="36"/>
                              </w:rPr>
                              <w:t>SJ3149</w:t>
                            </w:r>
                          </w:p>
                        </w:txbxContent>
                      </wps:txbx>
                      <wps:bodyPr wrap="square" rtlCol="0">
                        <a:spAutoFit/>
                      </wps:bodyPr>
                    </wps:wsp>
                  </a:graphicData>
                </a:graphic>
              </wp:anchor>
            </w:drawing>
          </mc:Choice>
          <mc:Fallback>
            <w:pict>
              <v:shape w14:anchorId="33EDE31E" id="TextBox 3" o:spid="_x0000_s1027" type="#_x0000_t202" style="position:absolute;left:0;text-align:left;margin-left:2.2pt;margin-top:25.85pt;width:113.15pt;height:29.05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" filled="f" stroked="f">
                <v:textbox style="mso-fit-shape-to-text:t">
                  <w:txbxContent>
                    <w:p w14:paraId="7CF6102D" w14:textId="77777777" w:rsidR="00884BBF" w:rsidRDefault="00884BBF" w:rsidP="00884BBF">
                      <w:pPr>
                        <w:jc w:val="center"/>
                        <w:rPr>
                          <w:rFonts w:ascii="Calibri" w:hAnsi="Calibri" w:cs="Calibri"/>
                          <w:color w:val="808080" w:themeColor="background1" w:themeShade="80"/>
                          <w:kern w:val="24"/>
                          <w:sz w:val="36"/>
                          <w:szCs w:val="36"/>
                        </w:rPr>
                      </w:pPr>
                      <w:r>
                        <w:rPr>
                          <w:rFonts w:ascii="Calibri" w:hAnsi="Calibri" w:cs="Calibri"/>
                          <w:color w:val="808080" w:themeColor="background1" w:themeShade="80"/>
                          <w:kern w:val="24"/>
                          <w:sz w:val="36"/>
                          <w:szCs w:val="36"/>
                        </w:rPr>
                        <w:t>SJ3149</w:t>
                      </w:r>
                    </w:p>
                  </w:txbxContent>
                </v:textbox>
              </v:shape>
            </w:pict>
          </mc:Fallback>
        </mc:AlternateContent>
      </w:r>
    </w:p>
    <w:p w14:paraId="166A2372" w14:textId="77777777" w:rsidR="00884BBF" w:rsidRDefault="00884BBF" w:rsidP="00884BBF">
      <w:pPr>
        <w:spacing w:line="480" w:lineRule="auto"/>
        <w:jc w:val="both"/>
        <w:rPr>
          <w:rFonts w:ascii="Calibri" w:hAnsi="Calibri" w:cs="Calibri"/>
        </w:rPr>
      </w:pPr>
      <w:r>
        <w:rPr>
          <w:rFonts w:ascii="Calibri" w:hAnsi="Calibri" w:cs="Calibri"/>
          <w:noProof/>
        </w:rPr>
        <mc:AlternateContent>
          <mc:Choice Requires="wps">
            <w:drawing>
              <wp:anchor distT="0" distB="0" distL="114300" distR="114300" simplePos="0" relativeHeight="251662336" behindDoc="0" locked="0" layoutInCell="1" allowOverlap="1" wp14:anchorId="446BFF49" wp14:editId="7E2D6D6E">
                <wp:simplePos x="0" y="0"/>
                <wp:positionH relativeFrom="column">
                  <wp:posOffset>4585960</wp:posOffset>
                </wp:positionH>
                <wp:positionV relativeFrom="paragraph">
                  <wp:posOffset>5313</wp:posOffset>
                </wp:positionV>
                <wp:extent cx="824230" cy="368935"/>
                <wp:effectExtent l="0" t="0" r="0" b="0"/>
                <wp:wrapNone/>
                <wp:docPr id="14" name="TextBox 5"/>
                <wp:cNvGraphicFramePr/>
                <a:graphic xmlns:a="http://schemas.openxmlformats.org/drawingml/2006/main">
                  <a:graphicData uri="http://schemas.microsoft.com/office/word/2010/wordprocessingShape">
                    <wps:wsp>
                      <wps:cNvSpPr txBox="1"/>
                      <wps:spPr>
                        <a:xfrm>
                          <a:off x="0" y="0"/>
                          <a:ext cx="824230" cy="368935"/>
                        </a:xfrm>
                        <a:prstGeom prst="rect">
                          <a:avLst/>
                        </a:prstGeom>
                        <a:noFill/>
                      </wps:spPr>
                      <wps:txbx>
                        <w:txbxContent>
                          <w:p w14:paraId="13A4AA14" w14:textId="77777777" w:rsidR="00884BBF" w:rsidRDefault="00884BBF" w:rsidP="00884BBF">
                            <w:pPr>
                              <w:rPr>
                                <w:rFonts w:ascii="Calibri" w:hAnsi="Calibri" w:cs="Calibri"/>
                                <w:b/>
                                <w:bCs/>
                                <w:color w:val="7030A0"/>
                                <w:kern w:val="24"/>
                                <w:sz w:val="36"/>
                                <w:szCs w:val="36"/>
                              </w:rPr>
                            </w:pPr>
                            <w:r>
                              <w:rPr>
                                <w:rFonts w:ascii="Calibri" w:hAnsi="Calibri" w:cs="Calibri"/>
                                <w:b/>
                                <w:bCs/>
                                <w:color w:val="7030A0"/>
                                <w:kern w:val="24"/>
                                <w:sz w:val="36"/>
                                <w:szCs w:val="36"/>
                              </w:rPr>
                              <w:t>DDB1</w:t>
                            </w:r>
                          </w:p>
                        </w:txbxContent>
                      </wps:txbx>
                      <wps:bodyPr wrap="square">
                        <a:spAutoFit/>
                      </wps:bodyPr>
                    </wps:wsp>
                  </a:graphicData>
                </a:graphic>
              </wp:anchor>
            </w:drawing>
          </mc:Choice>
          <mc:Fallback>
            <w:pict>
              <v:shape w14:anchorId="446BFF49" id="TextBox 5" o:spid="_x0000_s1028" type="#_x0000_t202" style="position:absolute;left:0;text-align:left;margin-left:361.1pt;margin-top:.4pt;width:64.9pt;height:29.05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" filled="f" stroked="f">
                <v:textbox style="mso-fit-shape-to-text:t">
                  <w:txbxContent>
                    <w:p w14:paraId="13A4AA14" w14:textId="77777777" w:rsidR="00884BBF" w:rsidRDefault="00884BBF" w:rsidP="00884BBF">
                      <w:pPr>
                        <w:rPr>
                          <w:rFonts w:ascii="Calibri" w:hAnsi="Calibri" w:cs="Calibri"/>
                          <w:b/>
                          <w:bCs/>
                          <w:color w:val="7030A0"/>
                          <w:kern w:val="24"/>
                          <w:sz w:val="36"/>
                          <w:szCs w:val="36"/>
                        </w:rPr>
                      </w:pPr>
                      <w:r>
                        <w:rPr>
                          <w:rFonts w:ascii="Calibri" w:hAnsi="Calibri" w:cs="Calibri"/>
                          <w:b/>
                          <w:bCs/>
                          <w:color w:val="7030A0"/>
                          <w:kern w:val="24"/>
                          <w:sz w:val="36"/>
                          <w:szCs w:val="36"/>
                        </w:rPr>
                        <w:t>DDB1</w:t>
                      </w:r>
                    </w:p>
                  </w:txbxContent>
                </v:textbox>
              </v:shape>
            </w:pict>
          </mc:Fallback>
        </mc:AlternateContent>
      </w:r>
      <w:r>
        <w:rPr>
          <w:rFonts w:ascii="Calibri" w:hAnsi="Calibri" w:cs="Calibri"/>
          <w:noProof/>
        </w:rPr>
        <mc:AlternateContent>
          <mc:Choice Requires="wps">
            <w:drawing>
              <wp:anchor distT="0" distB="0" distL="114300" distR="114300" simplePos="0" relativeHeight="251664384" behindDoc="0" locked="0" layoutInCell="1" allowOverlap="1" wp14:anchorId="2FCC13F7" wp14:editId="4326C013">
                <wp:simplePos x="0" y="0"/>
                <wp:positionH relativeFrom="column">
                  <wp:posOffset>802718</wp:posOffset>
                </wp:positionH>
                <wp:positionV relativeFrom="paragraph">
                  <wp:posOffset>248358</wp:posOffset>
                </wp:positionV>
                <wp:extent cx="1496060" cy="260985"/>
                <wp:effectExtent l="0" t="12700" r="15240" b="69215"/>
                <wp:wrapNone/>
                <wp:docPr id="10" name="Straight Arrow Connector 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496060" cy="260985"/>
                        </a:xfrm>
                        <a:prstGeom prst="straightConnector1">
                          <a:avLst/>
                        </a:prstGeom>
                        <a:ln w="38100">
                          <a:solidFill>
                            <a:schemeClr val="bg1">
                              <a:lumMod val="50000"/>
                            </a:schemeClr>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179CC00D" id="_x0000_t32" coordsize="21600,21600" o:spt="32" o:oned="t" path="m,l21600,21600e" filled="f">
                <v:path arrowok="t" fillok="f" o:connecttype="none"/>
                <o:lock v:ext="edit" shapetype="t"/>
              </v:shapetype>
              <v:shape id="Straight Arrow Connector 7" o:spid="_x0000_s1026" type="#_x0000_t32" style="position:absolute;margin-left:63.2pt;margin-top:19.55pt;width:117.8pt;height:20.55pt;z-index:2516643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" strokecolor="#7f7f7f [1612]" strokeweight="3pt">
                <v:stroke endarrow="block" joinstyle="miter"/>
                <o:lock v:ext="edit" shapetype="f"/>
              </v:shape>
            </w:pict>
          </mc:Fallback>
        </mc:AlternateContent>
      </w:r>
    </w:p>
    <w:p w14:paraId="00DE7B53" w14:textId="77777777" w:rsidR="00884BBF" w:rsidRDefault="00884BBF" w:rsidP="00884BBF">
      <w:pPr>
        <w:spacing w:line="480" w:lineRule="auto"/>
        <w:jc w:val="both"/>
        <w:rPr>
          <w:rFonts w:ascii="Calibri" w:hAnsi="Calibri" w:cs="Calibri"/>
        </w:rPr>
      </w:pPr>
    </w:p>
    <w:p w14:paraId="722DC763" w14:textId="77777777" w:rsidR="00884BBF" w:rsidRDefault="00884BBF" w:rsidP="00884BBF">
      <w:pPr>
        <w:spacing w:line="480" w:lineRule="auto"/>
        <w:jc w:val="both"/>
        <w:rPr>
          <w:rFonts w:ascii="Calibri" w:hAnsi="Calibri" w:cs="Calibri"/>
        </w:rPr>
      </w:pPr>
      <w:r>
        <w:rPr>
          <w:rFonts w:ascii="Calibri" w:hAnsi="Calibri" w:cs="Calibri"/>
          <w:noProof/>
        </w:rPr>
        <mc:AlternateContent>
          <mc:Choice Requires="wps">
            <w:drawing>
              <wp:anchor distT="0" distB="0" distL="114300" distR="114300" simplePos="0" relativeHeight="251665408" behindDoc="0" locked="0" layoutInCell="1" allowOverlap="1" wp14:anchorId="40A36E79" wp14:editId="58D1DC11">
                <wp:simplePos x="0" y="0"/>
                <wp:positionH relativeFrom="column">
                  <wp:posOffset>955021</wp:posOffset>
                </wp:positionH>
                <wp:positionV relativeFrom="paragraph">
                  <wp:posOffset>216113</wp:posOffset>
                </wp:positionV>
                <wp:extent cx="3798463" cy="1637298"/>
                <wp:effectExtent l="12700" t="12700" r="24765" b="13970"/>
                <wp:wrapNone/>
                <wp:docPr id="17" name="Straight Connector 16">
                  <a:extLst xmlns:a="http://schemas.openxmlformats.org/drawingml/2006/main">
                    <a:ext uri="{FF2B5EF4-FFF2-40B4-BE49-F238E27FC236}">
                      <a16:creationId xmlns:a16="http://schemas.microsoft.com/office/drawing/2014/main" id="{26D0332A-6861-D60D-7BF0-15D8B7A1A998}"/>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798463" cy="1637298"/>
                        </a:xfrm>
                        <a:prstGeom prst="line">
                          <a:avLst/>
                        </a:prstGeom>
                        <a:ln w="19050">
                          <a:solidFill>
                            <a:schemeClr val="accent4"/>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C94591A" id="Straight Connector 16" o:spid="_x0000_s1026" style="position:absolute;z-index:251665408;visibility:visible;mso-wrap-style:square;mso-wrap-distance-left:9pt;mso-wrap-distance-top:0;mso-wrap-distance-right:9pt;mso-wrap-distance-bottom:0;mso-position-horizontal:absolute;mso-position-horizontal-relative:text;mso-position-vertical:absolute;mso-position-vertical-relative:text" from="75.2pt,17pt" to="374.3pt,14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" strokecolor="#ffc000 [3207]" strokeweight="1.5pt">
                <v:stroke joinstyle="miter"/>
                <o:lock v:ext="edit" shapetype="f"/>
              </v:line>
            </w:pict>
          </mc:Fallback>
        </mc:AlternateContent>
      </w:r>
    </w:p>
    <w:p w14:paraId="61470F8F" w14:textId="77777777" w:rsidR="00884BBF" w:rsidRDefault="00884BBF" w:rsidP="00884BBF">
      <w:pPr>
        <w:tabs>
          <w:tab w:val="center" w:pos="4680"/>
        </w:tabs>
        <w:spacing w:line="480" w:lineRule="auto"/>
        <w:jc w:val="both"/>
        <w:rPr>
          <w:rFonts w:ascii="Calibri" w:hAnsi="Calibri" w:cs="Calibri"/>
        </w:rPr>
      </w:pPr>
      <w:r>
        <w:rPr>
          <w:rFonts w:ascii="Calibri" w:hAnsi="Calibri" w:cs="Calibri"/>
          <w:noProof/>
        </w:rPr>
        <mc:AlternateContent>
          <mc:Choice Requires="wps">
            <w:drawing>
              <wp:anchor distT="0" distB="0" distL="114300" distR="114300" simplePos="0" relativeHeight="251666432" behindDoc="0" locked="0" layoutInCell="1" allowOverlap="1" wp14:anchorId="05F4564A" wp14:editId="099F0DC2">
                <wp:simplePos x="0" y="0"/>
                <wp:positionH relativeFrom="column">
                  <wp:posOffset>704995</wp:posOffset>
                </wp:positionH>
                <wp:positionV relativeFrom="paragraph">
                  <wp:posOffset>291993</wp:posOffset>
                </wp:positionV>
                <wp:extent cx="824230" cy="368935"/>
                <wp:effectExtent l="0" t="0" r="0" b="0"/>
                <wp:wrapNone/>
                <wp:docPr id="6" name="TextBox 4"/>
                <wp:cNvGraphicFramePr/>
                <a:graphic xmlns:a="http://schemas.openxmlformats.org/drawingml/2006/main">
                  <a:graphicData uri="http://schemas.microsoft.com/office/word/2010/wordprocessingShape">
                    <wps:wsp>
                      <wps:cNvSpPr txBox="1"/>
                      <wps:spPr>
                        <a:xfrm>
                          <a:off x="0" y="0"/>
                          <a:ext cx="824230" cy="368935"/>
                        </a:xfrm>
                        <a:prstGeom prst="rect">
                          <a:avLst/>
                        </a:prstGeom>
                        <a:noFill/>
                      </wps:spPr>
                      <wps:txbx>
                        <w:txbxContent>
                          <w:p w14:paraId="1BEE6257" w14:textId="77777777" w:rsidR="00884BBF" w:rsidRDefault="00884BBF" w:rsidP="00884BBF">
                            <w:pPr>
                              <w:rPr>
                                <w:rFonts w:ascii="Calibri" w:hAnsi="Calibri" w:cs="Calibri"/>
                                <w:b/>
                                <w:bCs/>
                                <w:color w:val="92D050"/>
                                <w:kern w:val="24"/>
                                <w:sz w:val="36"/>
                                <w:szCs w:val="36"/>
                              </w:rPr>
                            </w:pPr>
                            <w:r>
                              <w:rPr>
                                <w:rFonts w:ascii="Calibri" w:hAnsi="Calibri" w:cs="Calibri"/>
                                <w:b/>
                                <w:bCs/>
                                <w:color w:val="92D050"/>
                                <w:kern w:val="24"/>
                                <w:sz w:val="36"/>
                                <w:szCs w:val="36"/>
                              </w:rPr>
                              <w:t>CK1</w:t>
                            </w:r>
                            <w:r>
                              <w:rPr>
                                <w:rFonts w:ascii="Cambria Math" w:hAnsi="Cambria Math" w:cs="Cambria Math"/>
                                <w:b/>
                                <w:bCs/>
                                <w:color w:val="92D050"/>
                                <w:kern w:val="24"/>
                                <w:sz w:val="36"/>
                                <w:szCs w:val="36"/>
                              </w:rPr>
                              <w:t>⍺</w:t>
                            </w:r>
                          </w:p>
                        </w:txbxContent>
                      </wps:txbx>
                      <wps:bodyPr wrap="square">
                        <a:spAutoFit/>
                      </wps:bodyPr>
                    </wps:wsp>
                  </a:graphicData>
                </a:graphic>
              </wp:anchor>
            </w:drawing>
          </mc:Choice>
          <mc:Fallback>
            <w:pict>
              <v:shape w14:anchorId="05F4564A" id="TextBox 4" o:spid="_x0000_s1029" type="#_x0000_t202" style="position:absolute;left:0;text-align:left;margin-left:55.5pt;margin-top:23pt;width:64.9pt;height:29.05pt;z-index:2516664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" filled="f" stroked="f">
                <v:textbox style="mso-fit-shape-to-text:t">
                  <w:txbxContent>
                    <w:p w14:paraId="1BEE6257" w14:textId="77777777" w:rsidR="00884BBF" w:rsidRDefault="00884BBF" w:rsidP="00884BBF">
                      <w:pPr>
                        <w:rPr>
                          <w:rFonts w:ascii="Calibri" w:hAnsi="Calibri" w:cs="Calibri"/>
                          <w:b/>
                          <w:bCs/>
                          <w:color w:val="92D050"/>
                          <w:kern w:val="24"/>
                          <w:sz w:val="36"/>
                          <w:szCs w:val="36"/>
                        </w:rPr>
                      </w:pPr>
                      <w:r>
                        <w:rPr>
                          <w:rFonts w:ascii="Calibri" w:hAnsi="Calibri" w:cs="Calibri"/>
                          <w:b/>
                          <w:bCs/>
                          <w:color w:val="92D050"/>
                          <w:kern w:val="24"/>
                          <w:sz w:val="36"/>
                          <w:szCs w:val="36"/>
                        </w:rPr>
                        <w:t>CK1</w:t>
                      </w:r>
                      <w:r>
                        <w:rPr>
                          <w:rFonts w:ascii="Cambria Math" w:hAnsi="Cambria Math" w:cs="Cambria Math"/>
                          <w:b/>
                          <w:bCs/>
                          <w:color w:val="92D050"/>
                          <w:kern w:val="24"/>
                          <w:sz w:val="36"/>
                          <w:szCs w:val="36"/>
                        </w:rPr>
                        <w:t>⍺</w:t>
                      </w:r>
                    </w:p>
                  </w:txbxContent>
                </v:textbox>
              </v:shape>
            </w:pict>
          </mc:Fallback>
        </mc:AlternateContent>
      </w:r>
      <w:r>
        <w:rPr>
          <w:rFonts w:ascii="Calibri" w:hAnsi="Calibri" w:cs="Calibri"/>
        </w:rPr>
        <w:tab/>
      </w:r>
    </w:p>
    <w:p w14:paraId="7E2CCA38" w14:textId="77777777" w:rsidR="00884BBF" w:rsidRDefault="00884BBF" w:rsidP="00884BBF">
      <w:pPr>
        <w:spacing w:line="480" w:lineRule="auto"/>
        <w:jc w:val="both"/>
        <w:rPr>
          <w:rFonts w:ascii="Calibri" w:hAnsi="Calibri" w:cs="Calibri"/>
        </w:rPr>
      </w:pPr>
    </w:p>
    <w:p w14:paraId="1756CE6B" w14:textId="77777777" w:rsidR="00884BBF" w:rsidRDefault="00884BBF" w:rsidP="00884BBF">
      <w:pPr>
        <w:spacing w:line="480" w:lineRule="auto"/>
        <w:jc w:val="both"/>
        <w:rPr>
          <w:rFonts w:ascii="Calibri" w:hAnsi="Calibri" w:cs="Calibri"/>
        </w:rPr>
      </w:pPr>
    </w:p>
    <w:p w14:paraId="78398CF3" w14:textId="77777777" w:rsidR="00884BBF" w:rsidRDefault="00884BBF" w:rsidP="00884BBF">
      <w:pPr>
        <w:spacing w:line="480" w:lineRule="auto"/>
        <w:jc w:val="both"/>
        <w:rPr>
          <w:rFonts w:ascii="Calibri" w:hAnsi="Calibri" w:cs="Calibri"/>
        </w:rPr>
      </w:pPr>
    </w:p>
    <w:p w14:paraId="52E13B51" w14:textId="77777777" w:rsidR="00884BBF" w:rsidRPr="00C96794" w:rsidRDefault="00884BBF" w:rsidP="00884BBF">
      <w:pPr>
        <w:rPr>
          <w:rFonts w:ascii="Times New Roman" w:hAnsi="Times New Roman" w:cs="Times New Roman"/>
          <w:sz w:val="24"/>
          <w:szCs w:val="24"/>
        </w:rPr>
      </w:pPr>
    </w:p>
    <w:p w14:paraId="25AD61C7" w14:textId="77777777" w:rsidR="00884BBF" w:rsidRPr="00C96794" w:rsidRDefault="00884BBF" w:rsidP="00884BBF">
      <w:pPr>
        <w:rPr>
          <w:rFonts w:ascii="Times New Roman" w:hAnsi="Times New Roman" w:cs="Times New Roman"/>
          <w:sz w:val="24"/>
          <w:szCs w:val="24"/>
        </w:rPr>
      </w:pPr>
      <w:r w:rsidRPr="00040F73">
        <w:rPr>
          <w:rFonts w:ascii="Times New Roman" w:hAnsi="Times New Roman" w:cs="Times New Roman"/>
          <w:b/>
          <w:bCs/>
          <w:sz w:val="24"/>
          <w:szCs w:val="24"/>
        </w:rPr>
        <w:t xml:space="preserve">Extended Data Video| </w:t>
      </w:r>
      <w:r w:rsidRPr="00C96794">
        <w:rPr>
          <w:rFonts w:ascii="Times New Roman" w:hAnsi="Times New Roman" w:cs="Times New Roman"/>
          <w:sz w:val="24"/>
          <w:szCs w:val="24"/>
        </w:rPr>
        <w:t>Morph of CK1</w:t>
      </w:r>
      <w:r w:rsidRPr="00C96794">
        <w:rPr>
          <w:rFonts w:ascii="Cambria Math" w:hAnsi="Cambria Math" w:cs="Cambria Math"/>
          <w:sz w:val="24"/>
          <w:szCs w:val="24"/>
        </w:rPr>
        <w:t>⍺</w:t>
      </w:r>
      <w:r w:rsidRPr="00C96794">
        <w:rPr>
          <w:rFonts w:ascii="Times New Roman" w:hAnsi="Times New Roman" w:cs="Times New Roman"/>
          <w:sz w:val="24"/>
          <w:szCs w:val="24"/>
        </w:rPr>
        <w:t xml:space="preserve"> domain rotation when bound to SJ3149 vs. lenalidomide (5FQD). Yellow lines for orientation.</w:t>
      </w:r>
      <w:r w:rsidRPr="00C96794">
        <w:rPr>
          <w:rFonts w:ascii="Times New Roman" w:hAnsi="Times New Roman" w:cs="Times New Roman"/>
          <w:noProof/>
          <w:sz w:val="24"/>
          <w:szCs w:val="24"/>
        </w:rPr>
        <w:t xml:space="preserve"> </w:t>
      </w:r>
    </w:p>
    <w:p w14:paraId="078CD07C" w14:textId="77777777" w:rsidR="00884BBF" w:rsidRPr="00870046" w:rsidRDefault="00884BBF" w:rsidP="00884BBF">
      <w:pPr>
        <w:rPr>
          <w:rFonts w:ascii="Calibri" w:hAnsi="Calibri" w:cs="Calibri"/>
        </w:rPr>
      </w:pPr>
    </w:p>
    <w:p w14:paraId="1787C049" w14:textId="77777777" w:rsidR="00755780" w:rsidRDefault="00755780"/>
    <w:sectPr w:rsidR="00755780" w:rsidSect="00365D94">
      <w:footerReference w:type="default" r:id="rId15"/>
      <w:pgSz w:w="12240" w:h="15840"/>
      <w:pgMar w:top="90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5DF79C8" w14:textId="77777777" w:rsidR="00F6432A" w:rsidRDefault="00884BBF">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4BBF"/>
    <w:rsid w:val="00755780"/>
    <w:rsid w:val="00884B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89FA31"/>
  <w15:chartTrackingRefBased/>
  <w15:docId w15:val="{92925FC3-DAC0-4547-A898-4EE0F98120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84BB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884B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884BB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image" Target="media/image9.jpeg"/><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jpeg"/><Relationship Id="rId15" Type="http://schemas.openxmlformats.org/officeDocument/2006/relationships/footer" Target="footer1.xml"/><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png"/><Relationship Id="rId14"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1129</Words>
  <Characters>6437</Characters>
  <Application>Microsoft Office Word</Application>
  <DocSecurity>0</DocSecurity>
  <Lines>53</Lines>
  <Paragraphs>15</Paragraphs>
  <ScaleCrop>false</ScaleCrop>
  <Company>Springer Nature</Company>
  <LinksUpToDate>false</LinksUpToDate>
  <CharactersWithSpaces>7551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2023-05-12T03:26:00Z</dcterms:created>
  <dcterms:modified xsi:type="dcterms:W3CDTF">2023-05-12T03:26:00Z</dcterms:modified>
</cp:coreProperties>
</file>