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564F" w14:textId="77777777" w:rsidR="00871305" w:rsidRPr="00AB2F64" w:rsidRDefault="00871305" w:rsidP="008713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pt-BR"/>
        </w:rPr>
      </w:pPr>
      <w:r w:rsidRPr="00AB2F64">
        <w:rPr>
          <w:rFonts w:ascii="Times New Roman" w:hAnsi="Times New Roman"/>
          <w:b/>
          <w:sz w:val="24"/>
          <w:szCs w:val="24"/>
          <w:lang w:eastAsia="pt-BR"/>
        </w:rPr>
        <w:t>Supplementary Materials</w:t>
      </w:r>
    </w:p>
    <w:p w14:paraId="38641786" w14:textId="77777777" w:rsidR="00871305" w:rsidRPr="00AB2F64" w:rsidRDefault="00871305" w:rsidP="00871305">
      <w:pPr>
        <w:rPr>
          <w:rFonts w:ascii="Times New Roman" w:hAnsi="Times New Roman"/>
          <w:b/>
          <w:sz w:val="24"/>
          <w:szCs w:val="24"/>
          <w:lang w:eastAsia="pt-BR"/>
        </w:rPr>
      </w:pPr>
      <w:r w:rsidRPr="00AB2F6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D6BB29" wp14:editId="7ED6E723">
            <wp:extent cx="5396865" cy="4263390"/>
            <wp:effectExtent l="0" t="0" r="0" b="0"/>
            <wp:docPr id="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F04C4" w14:textId="72E74F36" w:rsidR="00871305" w:rsidRDefault="00871305" w:rsidP="00871305">
      <w:r w:rsidRPr="00AB2F64">
        <w:rPr>
          <w:rFonts w:ascii="Times New Roman" w:hAnsi="Times New Roman"/>
          <w:bCs/>
          <w:sz w:val="24"/>
          <w:szCs w:val="24"/>
        </w:rPr>
        <w:t>FIG S1: Number of Human Leukocyte Antigen (HLA) alleles class I and II.</w:t>
      </w:r>
    </w:p>
    <w:sectPr w:rsidR="008713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3tLSwtDQwMbA0MzVQ0lEKTi0uzszPAykwrAUAgKlHEiwAAAA="/>
  </w:docVars>
  <w:rsids>
    <w:rsidRoot w:val="00871305"/>
    <w:rsid w:val="0087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6463"/>
  <w15:chartTrackingRefBased/>
  <w15:docId w15:val="{32748239-28B0-4C01-9C4F-5C5DBF26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305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Ricardo</cp:lastModifiedBy>
  <cp:revision>1</cp:revision>
  <dcterms:created xsi:type="dcterms:W3CDTF">2023-05-16T14:11:00Z</dcterms:created>
  <dcterms:modified xsi:type="dcterms:W3CDTF">2023-05-16T14:13:00Z</dcterms:modified>
</cp:coreProperties>
</file>