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F1EC65" w14:textId="77777777" w:rsidR="002E0DBD" w:rsidRPr="009F29DE" w:rsidRDefault="002E0DBD" w:rsidP="002E0DBD">
      <w:pPr>
        <w:jc w:val="both"/>
        <w:rPr>
          <w:rFonts w:ascii="Times New Roman" w:hAnsi="Times New Roman" w:cs="Times New Roman"/>
          <w:b/>
          <w:color w:val="000000" w:themeColor="text1"/>
          <w:sz w:val="26"/>
          <w:szCs w:val="26"/>
        </w:rPr>
      </w:pPr>
      <w:r w:rsidRPr="009F29DE">
        <w:rPr>
          <w:rFonts w:ascii="Times New Roman" w:hAnsi="Times New Roman" w:cs="Times New Roman"/>
          <w:b/>
          <w:color w:val="000000" w:themeColor="text1"/>
          <w:sz w:val="26"/>
          <w:szCs w:val="26"/>
        </w:rPr>
        <w:t>Supporting information</w:t>
      </w:r>
    </w:p>
    <w:p w14:paraId="7406D23A" w14:textId="77777777" w:rsidR="002E0DBD" w:rsidRPr="009F29DE" w:rsidRDefault="002E0DBD" w:rsidP="002E0DBD">
      <w:pPr>
        <w:spacing w:after="0"/>
        <w:jc w:val="both"/>
        <w:rPr>
          <w:rFonts w:ascii="Times New Roman" w:hAnsi="Times New Roman" w:cs="Times New Roman"/>
          <w:b/>
          <w:sz w:val="20"/>
          <w:szCs w:val="24"/>
        </w:rPr>
      </w:pPr>
      <w:r w:rsidRPr="009F29DE">
        <w:rPr>
          <w:rFonts w:ascii="Times New Roman" w:hAnsi="Times New Roman" w:cs="Times New Roman"/>
          <w:b/>
          <w:sz w:val="20"/>
          <w:szCs w:val="24"/>
        </w:rPr>
        <w:t xml:space="preserve">S1 Fig. PCR product of amplified </w:t>
      </w:r>
      <w:r w:rsidRPr="009F29DE">
        <w:rPr>
          <w:rFonts w:ascii="Times New Roman" w:hAnsi="Times New Roman" w:cs="Times New Roman"/>
          <w:b/>
          <w:i/>
          <w:sz w:val="20"/>
          <w:szCs w:val="24"/>
        </w:rPr>
        <w:t>ADCY5</w:t>
      </w:r>
      <w:r w:rsidRPr="009F29DE">
        <w:rPr>
          <w:rFonts w:ascii="Times New Roman" w:hAnsi="Times New Roman" w:cs="Times New Roman"/>
          <w:b/>
          <w:sz w:val="20"/>
          <w:szCs w:val="24"/>
        </w:rPr>
        <w:t xml:space="preserve"> (250 bp) and </w:t>
      </w:r>
      <w:r w:rsidRPr="009F29DE">
        <w:rPr>
          <w:rFonts w:ascii="Times New Roman" w:hAnsi="Times New Roman" w:cs="Times New Roman"/>
          <w:b/>
          <w:i/>
          <w:sz w:val="20"/>
          <w:szCs w:val="24"/>
        </w:rPr>
        <w:t>PTH1R</w:t>
      </w:r>
      <w:r w:rsidRPr="009F29DE">
        <w:rPr>
          <w:rFonts w:ascii="Times New Roman" w:hAnsi="Times New Roman" w:cs="Times New Roman"/>
          <w:b/>
          <w:sz w:val="20"/>
          <w:szCs w:val="24"/>
        </w:rPr>
        <w:t xml:space="preserve"> gene variant (266bp).</w:t>
      </w:r>
    </w:p>
    <w:p w14:paraId="44BBFEDF" w14:textId="77777777" w:rsidR="002E0DBD" w:rsidRPr="009F29DE" w:rsidRDefault="002E0DBD" w:rsidP="002E0DBD">
      <w:pPr>
        <w:spacing w:after="0"/>
        <w:jc w:val="both"/>
        <w:rPr>
          <w:rFonts w:ascii="Times New Roman" w:hAnsi="Times New Roman" w:cs="Times New Roman"/>
          <w:color w:val="21242C"/>
          <w:sz w:val="20"/>
          <w:szCs w:val="20"/>
          <w:shd w:val="clear" w:color="auto" w:fill="FFFFFF"/>
        </w:rPr>
      </w:pPr>
      <w:r w:rsidRPr="009F29DE">
        <w:rPr>
          <w:rFonts w:ascii="Times New Roman" w:hAnsi="Times New Roman" w:cs="Times New Roman"/>
          <w:color w:val="000000" w:themeColor="text1"/>
          <w:sz w:val="20"/>
          <w:szCs w:val="20"/>
        </w:rPr>
        <w:t xml:space="preserve">Six DNA samples, each from </w:t>
      </w:r>
      <w:r w:rsidRPr="009F29DE">
        <w:rPr>
          <w:rFonts w:ascii="Times New Roman" w:hAnsi="Times New Roman" w:cs="Times New Roman"/>
          <w:i/>
          <w:color w:val="000000" w:themeColor="text1"/>
          <w:sz w:val="20"/>
          <w:szCs w:val="20"/>
        </w:rPr>
        <w:t>ADCY5</w:t>
      </w:r>
      <w:r w:rsidRPr="009F29DE">
        <w:rPr>
          <w:rFonts w:ascii="Times New Roman" w:hAnsi="Times New Roman" w:cs="Times New Roman"/>
          <w:color w:val="000000" w:themeColor="text1"/>
          <w:sz w:val="20"/>
          <w:szCs w:val="20"/>
        </w:rPr>
        <w:t xml:space="preserve"> gene variant (rs11708067) and </w:t>
      </w:r>
      <w:r w:rsidRPr="009F29DE">
        <w:rPr>
          <w:rFonts w:ascii="Times New Roman" w:hAnsi="Times New Roman" w:cs="Times New Roman"/>
          <w:i/>
          <w:color w:val="000000" w:themeColor="text1"/>
          <w:sz w:val="20"/>
          <w:szCs w:val="20"/>
        </w:rPr>
        <w:t>PTH1R</w:t>
      </w:r>
      <w:r w:rsidRPr="009F29DE">
        <w:rPr>
          <w:rFonts w:ascii="Times New Roman" w:hAnsi="Times New Roman" w:cs="Times New Roman"/>
          <w:color w:val="000000" w:themeColor="text1"/>
          <w:sz w:val="20"/>
          <w:szCs w:val="20"/>
        </w:rPr>
        <w:t xml:space="preserve"> gene variant (rs11926707), were amplified via polymerase chain reaction (PCR) with the designed forward and reverse primers. PCR of sample DNA generated 250 base pairs (bp) and 266 bp PCR product of </w:t>
      </w:r>
      <w:r w:rsidRPr="009F29DE">
        <w:rPr>
          <w:rFonts w:ascii="Times New Roman" w:hAnsi="Times New Roman" w:cs="Times New Roman"/>
          <w:i/>
          <w:color w:val="000000" w:themeColor="text1"/>
          <w:sz w:val="20"/>
          <w:szCs w:val="20"/>
        </w:rPr>
        <w:t>ADCY5</w:t>
      </w:r>
      <w:r w:rsidRPr="009F29DE">
        <w:rPr>
          <w:rFonts w:ascii="Times New Roman" w:hAnsi="Times New Roman" w:cs="Times New Roman"/>
          <w:color w:val="000000" w:themeColor="text1"/>
          <w:sz w:val="20"/>
          <w:szCs w:val="20"/>
        </w:rPr>
        <w:t xml:space="preserve"> and </w:t>
      </w:r>
      <w:r w:rsidRPr="009F29DE">
        <w:rPr>
          <w:rFonts w:ascii="Times New Roman" w:hAnsi="Times New Roman" w:cs="Times New Roman"/>
          <w:i/>
          <w:color w:val="000000" w:themeColor="text1"/>
          <w:sz w:val="20"/>
          <w:szCs w:val="20"/>
        </w:rPr>
        <w:t>PTH1R</w:t>
      </w:r>
      <w:r w:rsidRPr="009F29DE">
        <w:rPr>
          <w:rFonts w:ascii="Times New Roman" w:hAnsi="Times New Roman" w:cs="Times New Roman"/>
          <w:color w:val="000000" w:themeColor="text1"/>
          <w:sz w:val="20"/>
          <w:szCs w:val="20"/>
        </w:rPr>
        <w:t xml:space="preserve"> gene variants, respectively</w:t>
      </w:r>
      <w:r w:rsidRPr="009F29DE">
        <w:rPr>
          <w:rFonts w:ascii="Times New Roman" w:hAnsi="Times New Roman" w:cs="Times New Roman"/>
          <w:color w:val="21242C"/>
          <w:sz w:val="20"/>
          <w:szCs w:val="20"/>
          <w:shd w:val="clear" w:color="auto" w:fill="FFFFFF"/>
        </w:rPr>
        <w:t>. The DNA ladder was used as a reference.</w:t>
      </w:r>
    </w:p>
    <w:p w14:paraId="7B2D77F7" w14:textId="77777777" w:rsidR="002E0DBD" w:rsidRPr="009F29DE" w:rsidRDefault="002E0DBD" w:rsidP="002E0DBD">
      <w:pPr>
        <w:spacing w:after="0"/>
        <w:jc w:val="both"/>
        <w:rPr>
          <w:rFonts w:ascii="Times New Roman" w:hAnsi="Times New Roman" w:cs="Times New Roman"/>
          <w:color w:val="21242C"/>
          <w:sz w:val="24"/>
          <w:szCs w:val="24"/>
          <w:shd w:val="clear" w:color="auto" w:fill="FFFFFF"/>
        </w:rPr>
      </w:pPr>
    </w:p>
    <w:p w14:paraId="1A603F76" w14:textId="77777777" w:rsidR="002E0DBD" w:rsidRPr="009F29DE" w:rsidRDefault="002E0DBD" w:rsidP="002E0DBD">
      <w:pPr>
        <w:spacing w:after="0"/>
        <w:jc w:val="both"/>
        <w:rPr>
          <w:rFonts w:ascii="Times New Roman" w:hAnsi="Times New Roman" w:cs="Times New Roman"/>
          <w:b/>
          <w:sz w:val="20"/>
          <w:szCs w:val="20"/>
        </w:rPr>
      </w:pPr>
      <w:r w:rsidRPr="009F29DE">
        <w:rPr>
          <w:rFonts w:ascii="Times New Roman" w:hAnsi="Times New Roman" w:cs="Times New Roman"/>
          <w:b/>
          <w:sz w:val="20"/>
          <w:szCs w:val="20"/>
        </w:rPr>
        <w:t xml:space="preserve">S2 Fig. Validation of </w:t>
      </w:r>
      <w:r w:rsidRPr="009F29DE">
        <w:rPr>
          <w:rFonts w:ascii="Times New Roman" w:hAnsi="Times New Roman" w:cs="Times New Roman"/>
          <w:b/>
          <w:i/>
          <w:sz w:val="20"/>
          <w:szCs w:val="20"/>
        </w:rPr>
        <w:t>ADCY5</w:t>
      </w:r>
      <w:r w:rsidRPr="009F29DE">
        <w:rPr>
          <w:rFonts w:ascii="Times New Roman" w:hAnsi="Times New Roman" w:cs="Times New Roman"/>
          <w:b/>
          <w:sz w:val="20"/>
          <w:szCs w:val="20"/>
        </w:rPr>
        <w:t xml:space="preserve"> variant rs11708067 and </w:t>
      </w:r>
      <w:r w:rsidRPr="009F29DE">
        <w:rPr>
          <w:rFonts w:ascii="Times New Roman" w:hAnsi="Times New Roman" w:cs="Times New Roman"/>
          <w:b/>
          <w:i/>
          <w:sz w:val="20"/>
          <w:szCs w:val="20"/>
        </w:rPr>
        <w:t>PTH1R</w:t>
      </w:r>
      <w:r w:rsidRPr="009F29DE">
        <w:rPr>
          <w:rFonts w:ascii="Times New Roman" w:hAnsi="Times New Roman" w:cs="Times New Roman"/>
          <w:b/>
          <w:sz w:val="20"/>
          <w:szCs w:val="20"/>
        </w:rPr>
        <w:t xml:space="preserve"> variant rs11926707 genotypes by Sanger sequencing.</w:t>
      </w:r>
    </w:p>
    <w:p w14:paraId="796F47BD" w14:textId="77777777" w:rsidR="002E0DBD" w:rsidRPr="009F29DE" w:rsidRDefault="002E0DBD" w:rsidP="002E0DBD">
      <w:pPr>
        <w:spacing w:after="0"/>
        <w:jc w:val="both"/>
        <w:rPr>
          <w:rFonts w:ascii="Times New Roman" w:hAnsi="Times New Roman" w:cs="Times New Roman"/>
          <w:b/>
          <w:sz w:val="20"/>
          <w:szCs w:val="20"/>
        </w:rPr>
      </w:pPr>
      <w:r w:rsidRPr="009F29DE">
        <w:rPr>
          <w:rFonts w:ascii="Times New Roman" w:hAnsi="Times New Roman" w:cs="Times New Roman"/>
          <w:sz w:val="20"/>
          <w:szCs w:val="20"/>
        </w:rPr>
        <w:t>Three extracted DNA samples each from ADCY5 and PTH1R carriers were sequenced. From sequencing we found that, two heterozygous and one wild type genotype of ADCY5 variant and one heterozygous, one wild type and one homozygous mutant of PTH1R variant were correctly genotyped by RT-PCR.</w:t>
      </w:r>
    </w:p>
    <w:p w14:paraId="3D200E81" w14:textId="77777777" w:rsidR="002E0DBD" w:rsidRPr="009F29DE" w:rsidRDefault="002E0DBD" w:rsidP="002E0DBD">
      <w:pPr>
        <w:spacing w:after="0"/>
        <w:jc w:val="both"/>
        <w:rPr>
          <w:rFonts w:ascii="Times New Roman" w:hAnsi="Times New Roman" w:cs="Times New Roman"/>
          <w:sz w:val="24"/>
          <w:szCs w:val="24"/>
        </w:rPr>
      </w:pPr>
    </w:p>
    <w:p w14:paraId="11D9339F" w14:textId="77777777" w:rsidR="002E0DBD" w:rsidRPr="009F29DE" w:rsidRDefault="002E0DBD" w:rsidP="002E0DBD">
      <w:pPr>
        <w:spacing w:after="0"/>
        <w:jc w:val="both"/>
        <w:rPr>
          <w:rFonts w:ascii="Times New Roman" w:hAnsi="Times New Roman" w:cs="Times New Roman"/>
          <w:b/>
          <w:sz w:val="20"/>
          <w:szCs w:val="20"/>
        </w:rPr>
      </w:pPr>
      <w:r w:rsidRPr="009F29DE">
        <w:rPr>
          <w:rFonts w:ascii="Times New Roman" w:hAnsi="Times New Roman" w:cs="Times New Roman"/>
          <w:b/>
          <w:sz w:val="20"/>
          <w:szCs w:val="20"/>
        </w:rPr>
        <w:t xml:space="preserve">S3 Fig. Distribution of parameters between healthy individuals, type 2 diabetic patients without low back pain, type 2 diabetic patients with low back pain and individuals with low back pain. </w:t>
      </w:r>
    </w:p>
    <w:p w14:paraId="549E1C8C" w14:textId="77777777" w:rsidR="002E0DBD" w:rsidRPr="009F29DE" w:rsidRDefault="002E0DBD" w:rsidP="002E0DBD">
      <w:pPr>
        <w:spacing w:after="0"/>
        <w:jc w:val="both"/>
        <w:rPr>
          <w:rFonts w:ascii="Times New Roman" w:hAnsi="Times New Roman" w:cs="Times New Roman"/>
          <w:sz w:val="20"/>
          <w:szCs w:val="20"/>
        </w:rPr>
      </w:pPr>
      <w:r w:rsidRPr="009F29DE">
        <w:rPr>
          <w:rFonts w:ascii="Times New Roman" w:hAnsi="Times New Roman" w:cs="Times New Roman"/>
          <w:b/>
          <w:sz w:val="20"/>
          <w:szCs w:val="20"/>
        </w:rPr>
        <w:t>(A)</w:t>
      </w:r>
      <w:r w:rsidRPr="009F29DE">
        <w:rPr>
          <w:rFonts w:ascii="Times New Roman" w:hAnsi="Times New Roman" w:cs="Times New Roman"/>
          <w:sz w:val="20"/>
          <w:szCs w:val="20"/>
        </w:rPr>
        <w:t xml:space="preserve"> represents the median vitamin D (ng/ml) level difference between healthy individuals (control), type 2 diabetic patients without low back pain (DM), type 2 diabetic patients with low back pain (DM+LBP) and individuals with low back pain but no T2DM (LBP); (</w:t>
      </w:r>
      <w:r w:rsidRPr="009F29DE">
        <w:rPr>
          <w:rFonts w:ascii="Times New Roman" w:hAnsi="Times New Roman" w:cs="Times New Roman"/>
          <w:b/>
          <w:sz w:val="20"/>
          <w:szCs w:val="20"/>
        </w:rPr>
        <w:t>B)</w:t>
      </w:r>
      <w:r w:rsidRPr="009F29DE">
        <w:rPr>
          <w:rFonts w:ascii="Times New Roman" w:hAnsi="Times New Roman" w:cs="Times New Roman"/>
          <w:sz w:val="20"/>
          <w:szCs w:val="20"/>
        </w:rPr>
        <w:t xml:space="preserve"> represents the median calcium (mg/dL) level difference between healthy individuals (control), type 2 diabetic patients without low back pain (DM), type 2 diabetic patients with low back pain (DM+LBP) and individuals with low back pain but no T2DM (LBP);  (</w:t>
      </w:r>
      <w:r w:rsidRPr="009F29DE">
        <w:rPr>
          <w:rFonts w:ascii="Times New Roman" w:hAnsi="Times New Roman" w:cs="Times New Roman"/>
          <w:b/>
          <w:sz w:val="20"/>
          <w:szCs w:val="20"/>
        </w:rPr>
        <w:t>C)</w:t>
      </w:r>
      <w:r w:rsidRPr="009F29DE">
        <w:rPr>
          <w:rFonts w:ascii="Times New Roman" w:hAnsi="Times New Roman" w:cs="Times New Roman"/>
          <w:sz w:val="20"/>
          <w:szCs w:val="20"/>
        </w:rPr>
        <w:t xml:space="preserve"> represents the median phosphate (mg/dL) level difference between healthy individuals (control), type 2 diabetic patients without low back pain (DM), type 2 diabetic patients with low back pain (DM+LBP) and individuals with low back pain but no T2DM (LBP) and, (</w:t>
      </w:r>
      <w:r w:rsidRPr="009F29DE">
        <w:rPr>
          <w:rFonts w:ascii="Times New Roman" w:hAnsi="Times New Roman" w:cs="Times New Roman"/>
          <w:b/>
          <w:sz w:val="20"/>
          <w:szCs w:val="20"/>
        </w:rPr>
        <w:t>D)</w:t>
      </w:r>
      <w:r w:rsidRPr="009F29DE">
        <w:rPr>
          <w:rFonts w:ascii="Times New Roman" w:hAnsi="Times New Roman" w:cs="Times New Roman"/>
          <w:sz w:val="20"/>
          <w:szCs w:val="20"/>
        </w:rPr>
        <w:t xml:space="preserve"> represents the difference in the median PTH (pg/mL) level between healthy individuals (control), type 2 diabetic patients without low back pain (DM), type 2 diabetic patients with low back pain (DM+LBP) and individuals with low back pain but no T2DM (LBP). The pairwise comparison showed no significant difference in vitamin D, calcium, phosphate, or PTH level among the groups (p-value &gt; 0.05). P-value &lt;0.05 was considered as the level of significance.</w:t>
      </w:r>
    </w:p>
    <w:p w14:paraId="50BA1321" w14:textId="77777777" w:rsidR="002E0DBD" w:rsidRPr="009F29DE" w:rsidRDefault="002E0DBD" w:rsidP="002E0DBD">
      <w:pPr>
        <w:spacing w:after="0"/>
        <w:jc w:val="both"/>
        <w:rPr>
          <w:rFonts w:ascii="Times New Roman" w:hAnsi="Times New Roman" w:cs="Times New Roman"/>
          <w:b/>
          <w:sz w:val="24"/>
          <w:szCs w:val="24"/>
        </w:rPr>
      </w:pPr>
    </w:p>
    <w:p w14:paraId="0D7CC4E3" w14:textId="77777777" w:rsidR="002E0DBD" w:rsidRPr="009F29DE" w:rsidRDefault="002E0DBD" w:rsidP="002E0DBD">
      <w:pPr>
        <w:spacing w:after="0"/>
        <w:jc w:val="both"/>
        <w:rPr>
          <w:rFonts w:ascii="Times New Roman" w:hAnsi="Times New Roman" w:cs="Times New Roman"/>
          <w:b/>
          <w:sz w:val="20"/>
          <w:szCs w:val="20"/>
        </w:rPr>
      </w:pPr>
      <w:r w:rsidRPr="009F29DE">
        <w:rPr>
          <w:rFonts w:ascii="Times New Roman" w:hAnsi="Times New Roman" w:cs="Times New Roman"/>
          <w:b/>
          <w:sz w:val="20"/>
          <w:szCs w:val="20"/>
        </w:rPr>
        <w:lastRenderedPageBreak/>
        <w:t xml:space="preserve">S4 Fig. Uncropped and unadjusted gel image of PCR product of amplified </w:t>
      </w:r>
      <w:r w:rsidRPr="009F29DE">
        <w:rPr>
          <w:rFonts w:ascii="Times New Roman" w:hAnsi="Times New Roman" w:cs="Times New Roman"/>
          <w:b/>
          <w:i/>
          <w:sz w:val="20"/>
          <w:szCs w:val="20"/>
        </w:rPr>
        <w:t>ADCY5</w:t>
      </w:r>
      <w:r w:rsidRPr="009F29DE">
        <w:rPr>
          <w:rFonts w:ascii="Times New Roman" w:hAnsi="Times New Roman" w:cs="Times New Roman"/>
          <w:b/>
          <w:sz w:val="20"/>
          <w:szCs w:val="20"/>
        </w:rPr>
        <w:t xml:space="preserve"> (250 bp) and </w:t>
      </w:r>
      <w:r w:rsidRPr="009F29DE">
        <w:rPr>
          <w:rFonts w:ascii="Times New Roman" w:hAnsi="Times New Roman" w:cs="Times New Roman"/>
          <w:b/>
          <w:i/>
          <w:sz w:val="20"/>
          <w:szCs w:val="20"/>
        </w:rPr>
        <w:t>PTH1R</w:t>
      </w:r>
      <w:r w:rsidRPr="009F29DE">
        <w:rPr>
          <w:rFonts w:ascii="Times New Roman" w:hAnsi="Times New Roman" w:cs="Times New Roman"/>
          <w:b/>
          <w:sz w:val="20"/>
          <w:szCs w:val="20"/>
        </w:rPr>
        <w:t xml:space="preserve"> gene variant (266bp).</w:t>
      </w:r>
    </w:p>
    <w:p w14:paraId="069A0186" w14:textId="77777777" w:rsidR="002E0DBD" w:rsidRPr="009F29DE" w:rsidRDefault="002E0DBD" w:rsidP="002E0DBD">
      <w:pPr>
        <w:spacing w:after="0"/>
        <w:jc w:val="both"/>
        <w:rPr>
          <w:rFonts w:ascii="Times New Roman" w:hAnsi="Times New Roman" w:cs="Times New Roman"/>
          <w:color w:val="21242C"/>
          <w:sz w:val="20"/>
          <w:szCs w:val="20"/>
          <w:shd w:val="clear" w:color="auto" w:fill="FFFFFF"/>
        </w:rPr>
      </w:pPr>
      <w:r w:rsidRPr="009F29DE">
        <w:rPr>
          <w:rFonts w:ascii="Times New Roman" w:hAnsi="Times New Roman" w:cs="Times New Roman"/>
          <w:color w:val="000000" w:themeColor="text1"/>
          <w:sz w:val="20"/>
          <w:szCs w:val="20"/>
        </w:rPr>
        <w:t xml:space="preserve">Six DNA samples, each from </w:t>
      </w:r>
      <w:r w:rsidRPr="009F29DE">
        <w:rPr>
          <w:rFonts w:ascii="Times New Roman" w:hAnsi="Times New Roman" w:cs="Times New Roman"/>
          <w:i/>
          <w:color w:val="000000" w:themeColor="text1"/>
          <w:sz w:val="20"/>
          <w:szCs w:val="20"/>
        </w:rPr>
        <w:t>ADCY5</w:t>
      </w:r>
      <w:r w:rsidRPr="009F29DE">
        <w:rPr>
          <w:rFonts w:ascii="Times New Roman" w:hAnsi="Times New Roman" w:cs="Times New Roman"/>
          <w:color w:val="000000" w:themeColor="text1"/>
          <w:sz w:val="20"/>
          <w:szCs w:val="20"/>
        </w:rPr>
        <w:t xml:space="preserve"> gene variant (rs11708067) and </w:t>
      </w:r>
      <w:r w:rsidRPr="009F29DE">
        <w:rPr>
          <w:rFonts w:ascii="Times New Roman" w:hAnsi="Times New Roman" w:cs="Times New Roman"/>
          <w:i/>
          <w:color w:val="000000" w:themeColor="text1"/>
          <w:sz w:val="20"/>
          <w:szCs w:val="20"/>
        </w:rPr>
        <w:t>PTH1R</w:t>
      </w:r>
      <w:r w:rsidRPr="009F29DE">
        <w:rPr>
          <w:rFonts w:ascii="Times New Roman" w:hAnsi="Times New Roman" w:cs="Times New Roman"/>
          <w:color w:val="000000" w:themeColor="text1"/>
          <w:sz w:val="20"/>
          <w:szCs w:val="20"/>
        </w:rPr>
        <w:t xml:space="preserve"> gene variant (rs11926707), were amplified via polymerase chain reaction (PCR) with the designed forward and reverse primers. PCR of sample DNA generated 250 base pairs (bp) and 266 bp PCR product of </w:t>
      </w:r>
      <w:r w:rsidRPr="009F29DE">
        <w:rPr>
          <w:rFonts w:ascii="Times New Roman" w:hAnsi="Times New Roman" w:cs="Times New Roman"/>
          <w:i/>
          <w:color w:val="000000" w:themeColor="text1"/>
          <w:sz w:val="20"/>
          <w:szCs w:val="20"/>
        </w:rPr>
        <w:t>ADCY5</w:t>
      </w:r>
      <w:r w:rsidRPr="009F29DE">
        <w:rPr>
          <w:rFonts w:ascii="Times New Roman" w:hAnsi="Times New Roman" w:cs="Times New Roman"/>
          <w:color w:val="000000" w:themeColor="text1"/>
          <w:sz w:val="20"/>
          <w:szCs w:val="20"/>
        </w:rPr>
        <w:t xml:space="preserve"> and </w:t>
      </w:r>
      <w:r w:rsidRPr="009F29DE">
        <w:rPr>
          <w:rFonts w:ascii="Times New Roman" w:hAnsi="Times New Roman" w:cs="Times New Roman"/>
          <w:i/>
          <w:color w:val="000000" w:themeColor="text1"/>
          <w:sz w:val="20"/>
          <w:szCs w:val="20"/>
        </w:rPr>
        <w:t>PTH1R</w:t>
      </w:r>
      <w:r w:rsidRPr="009F29DE">
        <w:rPr>
          <w:rFonts w:ascii="Times New Roman" w:hAnsi="Times New Roman" w:cs="Times New Roman"/>
          <w:color w:val="000000" w:themeColor="text1"/>
          <w:sz w:val="20"/>
          <w:szCs w:val="20"/>
        </w:rPr>
        <w:t xml:space="preserve"> gene variants, respectively</w:t>
      </w:r>
      <w:r w:rsidRPr="009F29DE">
        <w:rPr>
          <w:rFonts w:ascii="Times New Roman" w:hAnsi="Times New Roman" w:cs="Times New Roman"/>
          <w:color w:val="21242C"/>
          <w:sz w:val="20"/>
          <w:szCs w:val="20"/>
          <w:shd w:val="clear" w:color="auto" w:fill="FFFFFF"/>
        </w:rPr>
        <w:t xml:space="preserve">. The DNA ladder was used as a reference. L1-L6: </w:t>
      </w:r>
      <w:r w:rsidRPr="009F29DE">
        <w:rPr>
          <w:rFonts w:ascii="Times New Roman" w:hAnsi="Times New Roman" w:cs="Times New Roman"/>
          <w:i/>
          <w:color w:val="21242C"/>
          <w:sz w:val="20"/>
          <w:szCs w:val="20"/>
          <w:shd w:val="clear" w:color="auto" w:fill="FFFFFF"/>
        </w:rPr>
        <w:t xml:space="preserve">ADCY5 </w:t>
      </w:r>
      <w:r w:rsidRPr="009F29DE">
        <w:rPr>
          <w:rFonts w:ascii="Times New Roman" w:hAnsi="Times New Roman" w:cs="Times New Roman"/>
          <w:color w:val="21242C"/>
          <w:sz w:val="20"/>
          <w:szCs w:val="20"/>
          <w:shd w:val="clear" w:color="auto" w:fill="FFFFFF"/>
        </w:rPr>
        <w:t xml:space="preserve">gene variant </w:t>
      </w:r>
      <w:r w:rsidRPr="009F29DE">
        <w:rPr>
          <w:rFonts w:ascii="Times New Roman" w:hAnsi="Times New Roman" w:cs="Times New Roman"/>
          <w:color w:val="000000" w:themeColor="text1"/>
          <w:sz w:val="20"/>
          <w:szCs w:val="20"/>
        </w:rPr>
        <w:t xml:space="preserve">(rs11708067) </w:t>
      </w:r>
      <w:r w:rsidRPr="009F29DE">
        <w:rPr>
          <w:rFonts w:ascii="Times New Roman" w:hAnsi="Times New Roman" w:cs="Times New Roman"/>
          <w:color w:val="21242C"/>
          <w:sz w:val="20"/>
          <w:szCs w:val="20"/>
          <w:shd w:val="clear" w:color="auto" w:fill="FFFFFF"/>
        </w:rPr>
        <w:t xml:space="preserve">desired band size of 250bp; L8:1000bp DNA ladder; L9-L14: </w:t>
      </w:r>
      <w:r w:rsidRPr="009F29DE">
        <w:rPr>
          <w:rFonts w:ascii="Times New Roman" w:hAnsi="Times New Roman" w:cs="Times New Roman"/>
          <w:i/>
          <w:color w:val="21242C"/>
          <w:sz w:val="20"/>
          <w:szCs w:val="20"/>
          <w:shd w:val="clear" w:color="auto" w:fill="FFFFFF"/>
        </w:rPr>
        <w:t>PTH1R</w:t>
      </w:r>
      <w:r w:rsidRPr="009F29DE">
        <w:rPr>
          <w:rFonts w:ascii="Times New Roman" w:hAnsi="Times New Roman" w:cs="Times New Roman"/>
          <w:color w:val="21242C"/>
          <w:sz w:val="20"/>
          <w:szCs w:val="20"/>
          <w:shd w:val="clear" w:color="auto" w:fill="FFFFFF"/>
        </w:rPr>
        <w:t xml:space="preserve"> </w:t>
      </w:r>
      <w:r w:rsidRPr="009F29DE">
        <w:rPr>
          <w:rFonts w:ascii="Times New Roman" w:hAnsi="Times New Roman" w:cs="Times New Roman"/>
          <w:color w:val="000000" w:themeColor="text1"/>
          <w:sz w:val="20"/>
          <w:szCs w:val="20"/>
        </w:rPr>
        <w:t xml:space="preserve">(rs11926707) </w:t>
      </w:r>
      <w:r w:rsidRPr="009F29DE">
        <w:rPr>
          <w:rFonts w:ascii="Times New Roman" w:hAnsi="Times New Roman" w:cs="Times New Roman"/>
          <w:color w:val="21242C"/>
          <w:sz w:val="20"/>
          <w:szCs w:val="20"/>
          <w:shd w:val="clear" w:color="auto" w:fill="FFFFFF"/>
        </w:rPr>
        <w:t>gene variant desired band size of 266bp.</w:t>
      </w:r>
    </w:p>
    <w:p w14:paraId="5D3928FA" w14:textId="77777777" w:rsidR="002E0DBD" w:rsidRPr="009F29DE" w:rsidRDefault="002E0DBD" w:rsidP="002E0DBD">
      <w:pPr>
        <w:rPr>
          <w:rFonts w:ascii="Times New Roman" w:hAnsi="Times New Roman" w:cs="Times New Roman"/>
        </w:rPr>
      </w:pPr>
    </w:p>
    <w:p w14:paraId="74E5DA9B" w14:textId="77777777" w:rsidR="002E0DBD" w:rsidRPr="009F29DE" w:rsidRDefault="002E0DBD" w:rsidP="002E0DBD">
      <w:pPr>
        <w:jc w:val="both"/>
        <w:rPr>
          <w:rFonts w:ascii="Times New Roman" w:hAnsi="Times New Roman" w:cs="Times New Roman"/>
          <w:b/>
          <w:sz w:val="20"/>
          <w:szCs w:val="20"/>
        </w:rPr>
      </w:pPr>
      <w:r w:rsidRPr="009F29DE">
        <w:rPr>
          <w:rFonts w:ascii="Times New Roman" w:hAnsi="Times New Roman" w:cs="Times New Roman"/>
          <w:b/>
          <w:sz w:val="20"/>
          <w:szCs w:val="20"/>
        </w:rPr>
        <w:t xml:space="preserve">S1 Table. Forward and reverse primers for rs11708067 of </w:t>
      </w:r>
      <w:r w:rsidRPr="009F29DE">
        <w:rPr>
          <w:rFonts w:ascii="Times New Roman" w:hAnsi="Times New Roman" w:cs="Times New Roman"/>
          <w:b/>
          <w:i/>
          <w:sz w:val="20"/>
          <w:szCs w:val="20"/>
        </w:rPr>
        <w:t>ADCY5</w:t>
      </w:r>
      <w:r w:rsidRPr="009F29DE">
        <w:rPr>
          <w:rFonts w:ascii="Times New Roman" w:hAnsi="Times New Roman" w:cs="Times New Roman"/>
          <w:b/>
          <w:sz w:val="20"/>
          <w:szCs w:val="20"/>
        </w:rPr>
        <w:t xml:space="preserve"> and rs11926707 of </w:t>
      </w:r>
      <w:r w:rsidRPr="009F29DE">
        <w:rPr>
          <w:rFonts w:ascii="Times New Roman" w:hAnsi="Times New Roman" w:cs="Times New Roman"/>
          <w:b/>
          <w:i/>
          <w:sz w:val="20"/>
          <w:szCs w:val="20"/>
        </w:rPr>
        <w:t>PTH1R</w:t>
      </w:r>
    </w:p>
    <w:p w14:paraId="310059B5" w14:textId="77777777" w:rsidR="002E0DBD" w:rsidRPr="009F29DE" w:rsidRDefault="002E0DBD" w:rsidP="002E0DBD">
      <w:pPr>
        <w:jc w:val="both"/>
        <w:rPr>
          <w:rFonts w:ascii="Times New Roman" w:hAnsi="Times New Roman" w:cs="Times New Roman"/>
          <w:b/>
          <w:color w:val="000000" w:themeColor="text1"/>
          <w:sz w:val="20"/>
          <w:szCs w:val="20"/>
        </w:rPr>
      </w:pPr>
      <w:r w:rsidRPr="009F29DE">
        <w:rPr>
          <w:rFonts w:ascii="Times New Roman" w:hAnsi="Times New Roman" w:cs="Times New Roman"/>
          <w:b/>
          <w:sz w:val="20"/>
          <w:szCs w:val="20"/>
        </w:rPr>
        <w:t>S2 Table.</w:t>
      </w:r>
      <w:r w:rsidRPr="009F29DE">
        <w:rPr>
          <w:rFonts w:ascii="Times New Roman" w:hAnsi="Times New Roman" w:cs="Times New Roman"/>
          <w:b/>
          <w:color w:val="000000" w:themeColor="text1"/>
          <w:sz w:val="20"/>
          <w:szCs w:val="20"/>
        </w:rPr>
        <w:t xml:space="preserve"> Association of </w:t>
      </w:r>
      <w:r w:rsidRPr="009F29DE">
        <w:rPr>
          <w:rFonts w:ascii="Times New Roman" w:hAnsi="Times New Roman" w:cs="Times New Roman"/>
          <w:b/>
          <w:i/>
          <w:color w:val="000000" w:themeColor="text1"/>
          <w:sz w:val="20"/>
          <w:szCs w:val="20"/>
        </w:rPr>
        <w:t>ADCY5</w:t>
      </w:r>
      <w:r w:rsidRPr="009F29DE">
        <w:rPr>
          <w:rFonts w:ascii="Times New Roman" w:hAnsi="Times New Roman" w:cs="Times New Roman"/>
          <w:b/>
          <w:color w:val="000000" w:themeColor="text1"/>
          <w:sz w:val="20"/>
          <w:szCs w:val="20"/>
        </w:rPr>
        <w:t xml:space="preserve"> variant rs11708067 and </w:t>
      </w:r>
      <w:r w:rsidRPr="009F29DE">
        <w:rPr>
          <w:rFonts w:ascii="Times New Roman" w:hAnsi="Times New Roman" w:cs="Times New Roman"/>
          <w:b/>
          <w:i/>
          <w:color w:val="000000" w:themeColor="text1"/>
          <w:sz w:val="20"/>
          <w:szCs w:val="20"/>
        </w:rPr>
        <w:t xml:space="preserve">PTH1R </w:t>
      </w:r>
      <w:r w:rsidRPr="009F29DE">
        <w:rPr>
          <w:rFonts w:ascii="Times New Roman" w:hAnsi="Times New Roman" w:cs="Times New Roman"/>
          <w:b/>
          <w:color w:val="000000" w:themeColor="text1"/>
          <w:sz w:val="20"/>
          <w:szCs w:val="20"/>
        </w:rPr>
        <w:t>variant rs11926707 with T2DM in low back pain patients</w:t>
      </w:r>
    </w:p>
    <w:p w14:paraId="757E2FB8" w14:textId="77777777" w:rsidR="002E0DBD" w:rsidRPr="009F29DE" w:rsidRDefault="002E0DBD" w:rsidP="002E0DBD">
      <w:pPr>
        <w:rPr>
          <w:rFonts w:ascii="Times New Roman" w:hAnsi="Times New Roman" w:cs="Times New Roman"/>
          <w:sz w:val="20"/>
          <w:szCs w:val="20"/>
        </w:rPr>
      </w:pPr>
      <w:r w:rsidRPr="009F29DE">
        <w:rPr>
          <w:rFonts w:ascii="Times New Roman" w:hAnsi="Times New Roman" w:cs="Times New Roman"/>
          <w:b/>
          <w:sz w:val="20"/>
          <w:szCs w:val="20"/>
        </w:rPr>
        <w:t xml:space="preserve">S3 Table. Association of </w:t>
      </w:r>
      <w:r w:rsidRPr="009F29DE">
        <w:rPr>
          <w:rFonts w:ascii="Times New Roman" w:hAnsi="Times New Roman" w:cs="Times New Roman"/>
          <w:b/>
          <w:i/>
          <w:sz w:val="20"/>
          <w:szCs w:val="20"/>
        </w:rPr>
        <w:t>ADCY5</w:t>
      </w:r>
      <w:r w:rsidRPr="009F29DE">
        <w:rPr>
          <w:rFonts w:ascii="Times New Roman" w:hAnsi="Times New Roman" w:cs="Times New Roman"/>
          <w:b/>
          <w:sz w:val="20"/>
          <w:szCs w:val="20"/>
        </w:rPr>
        <w:t xml:space="preserve"> variant and </w:t>
      </w:r>
      <w:r w:rsidRPr="009F29DE">
        <w:rPr>
          <w:rFonts w:ascii="Times New Roman" w:hAnsi="Times New Roman" w:cs="Times New Roman"/>
          <w:b/>
          <w:i/>
          <w:sz w:val="20"/>
          <w:szCs w:val="20"/>
        </w:rPr>
        <w:t>PTH1R</w:t>
      </w:r>
      <w:r w:rsidRPr="009F29DE">
        <w:rPr>
          <w:rFonts w:ascii="Times New Roman" w:hAnsi="Times New Roman" w:cs="Times New Roman"/>
          <w:b/>
          <w:sz w:val="20"/>
          <w:szCs w:val="20"/>
        </w:rPr>
        <w:t xml:space="preserve"> variant rs11926707 with low back pain in type 2 diabetic patients</w:t>
      </w:r>
    </w:p>
    <w:p w14:paraId="481D4A6A" w14:textId="77777777" w:rsidR="00E1715D" w:rsidRDefault="002E0DBD"/>
    <w:sectPr w:rsidR="00E1715D" w:rsidSect="001D1103">
      <w:footerReference w:type="default" r:id="rId4"/>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1637435"/>
      <w:docPartObj>
        <w:docPartGallery w:val="Page Numbers (Bottom of Page)"/>
        <w:docPartUnique/>
      </w:docPartObj>
    </w:sdtPr>
    <w:sdtEndPr>
      <w:rPr>
        <w:color w:val="7F7F7F" w:themeColor="background1" w:themeShade="7F"/>
        <w:spacing w:val="60"/>
      </w:rPr>
    </w:sdtEndPr>
    <w:sdtContent>
      <w:p w14:paraId="04F9A42D" w14:textId="77777777" w:rsidR="001A2641" w:rsidRDefault="002E0DBD">
        <w:pPr>
          <w:pStyle w:val="Footer"/>
          <w:pBdr>
            <w:top w:val="single" w:sz="4" w:space="1" w:color="D9D9D9" w:themeColor="background1" w:themeShade="D9"/>
          </w:pBdr>
          <w:jc w:val="right"/>
        </w:pPr>
      </w:p>
      <w:p w14:paraId="781C0F69" w14:textId="77777777" w:rsidR="001A2641" w:rsidRDefault="002E0DB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14:paraId="678830C5" w14:textId="77777777" w:rsidR="001A2641" w:rsidRDefault="002E0DB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DBD"/>
    <w:rsid w:val="001942F0"/>
    <w:rsid w:val="002C0857"/>
    <w:rsid w:val="002E0DBD"/>
    <w:rsid w:val="003F01F8"/>
    <w:rsid w:val="00884728"/>
    <w:rsid w:val="008E2845"/>
    <w:rsid w:val="00D00B5E"/>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5AB08"/>
  <w15:chartTrackingRefBased/>
  <w15:docId w15:val="{946A2CF3-4B9A-49E4-B078-B168FE189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DBD"/>
    <w:pPr>
      <w:spacing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E0D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DBD"/>
  </w:style>
  <w:style w:type="character" w:styleId="LineNumber">
    <w:name w:val="line number"/>
    <w:basedOn w:val="DefaultParagraphFont"/>
    <w:uiPriority w:val="99"/>
    <w:semiHidden/>
    <w:unhideWhenUsed/>
    <w:rsid w:val="002E0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2752</Characters>
  <Application>Microsoft Office Word</Application>
  <DocSecurity>0</DocSecurity>
  <Lines>22</Lines>
  <Paragraphs>6</Paragraphs>
  <ScaleCrop>false</ScaleCrop>
  <Company>Springer Nature</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2023-05-09T15:56:00Z</dcterms:created>
  <dcterms:modified xsi:type="dcterms:W3CDTF">2023-05-09T15:56:00Z</dcterms:modified>
</cp:coreProperties>
</file>