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334" w:rsidRDefault="00512334" w:rsidP="00612EB1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12EB1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Files</w:t>
      </w:r>
    </w:p>
    <w:p w:rsidR="00612EB1" w:rsidRPr="00612EB1" w:rsidRDefault="00612EB1" w:rsidP="00612EB1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512334" w:rsidRPr="00612EB1" w:rsidRDefault="00512334" w:rsidP="00612EB1">
      <w:pPr>
        <w:widowControl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t>Table.S</w:t>
      </w:r>
      <w:r w:rsidR="00612EB1"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1 </w:t>
      </w:r>
      <w:r w:rsidRPr="00612EB1">
        <w:rPr>
          <w:rFonts w:ascii="Times New Roman" w:hAnsi="Times New Roman" w:cs="Times New Roman"/>
          <w:kern w:val="0"/>
          <w:sz w:val="20"/>
          <w:szCs w:val="20"/>
        </w:rPr>
        <w:t>Categories of ultrasonic BI-RADS and corresponding treatment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24"/>
        <w:gridCol w:w="1058"/>
        <w:gridCol w:w="2888"/>
        <w:gridCol w:w="2119"/>
        <w:gridCol w:w="1917"/>
      </w:tblGrid>
      <w:tr w:rsidR="00512334" w:rsidRPr="00612EB1" w:rsidTr="002A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BI-RADS</w:t>
            </w: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*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Explanation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Probability of malignancy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Recommendation</w:t>
            </w:r>
          </w:p>
        </w:tc>
      </w:tr>
      <w:tr w:rsidR="00512334" w:rsidRPr="00612EB1" w:rsidTr="002A7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Incomplete assessment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Additional evaluation</w:t>
            </w:r>
          </w:p>
        </w:tc>
      </w:tr>
      <w:tr w:rsidR="00512334" w:rsidRPr="00612EB1" w:rsidTr="002A7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512334" w:rsidRPr="00612EB1" w:rsidTr="002A7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Benign lesions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512334" w:rsidRPr="00612EB1" w:rsidTr="002A7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Highly probable benign lesions 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&lt;2%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Regular follow-up</w:t>
            </w:r>
          </w:p>
        </w:tc>
      </w:tr>
      <w:tr w:rsidR="00512334" w:rsidRPr="00612EB1" w:rsidTr="002A7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4a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Low malignant potential lesions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2%-10%</w:t>
            </w:r>
          </w:p>
        </w:tc>
        <w:tc>
          <w:tcPr>
            <w:tcW w:w="0" w:type="auto"/>
            <w:vMerge w:val="restart"/>
          </w:tcPr>
          <w:p w:rsidR="00946F0C" w:rsidRDefault="00946F0C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Biopsy </w:t>
            </w:r>
          </w:p>
        </w:tc>
      </w:tr>
      <w:tr w:rsidR="00512334" w:rsidRPr="00612EB1" w:rsidTr="002A7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4b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Intermediate malignant potential lesions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10%-50%</w:t>
            </w:r>
          </w:p>
        </w:tc>
        <w:tc>
          <w:tcPr>
            <w:tcW w:w="0" w:type="auto"/>
            <w:vMerge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2334" w:rsidRPr="00612EB1" w:rsidTr="002A7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4c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 malignant potential lesions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50%-95%</w:t>
            </w:r>
          </w:p>
        </w:tc>
        <w:tc>
          <w:tcPr>
            <w:tcW w:w="0" w:type="auto"/>
            <w:vMerge/>
          </w:tcPr>
          <w:p w:rsidR="00512334" w:rsidRPr="00612EB1" w:rsidRDefault="00512334" w:rsidP="00612E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12334" w:rsidRPr="00612EB1" w:rsidTr="002A77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</w:tcPr>
          <w:p w:rsidR="00512334" w:rsidRPr="00612EB1" w:rsidRDefault="00512334" w:rsidP="00612EB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2888" w:type="dxa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Highly probable malignant lesions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&gt;95%</w:t>
            </w:r>
          </w:p>
        </w:tc>
        <w:tc>
          <w:tcPr>
            <w:tcW w:w="0" w:type="auto"/>
          </w:tcPr>
          <w:p w:rsidR="00512334" w:rsidRPr="00612EB1" w:rsidRDefault="00512334" w:rsidP="00612E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Appropriate treatment </w:t>
            </w:r>
          </w:p>
        </w:tc>
      </w:tr>
    </w:tbl>
    <w:p w:rsidR="00512334" w:rsidRPr="00612EB1" w:rsidRDefault="00512334" w:rsidP="00612EB1">
      <w:pPr>
        <w:widowControl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kern w:val="0"/>
          <w:sz w:val="20"/>
          <w:szCs w:val="20"/>
        </w:rPr>
        <w:t>*BI-RADS, Breast Imaging Reporting and Data System.</w:t>
      </w:r>
    </w:p>
    <w:p w:rsidR="00512334" w:rsidRPr="00612EB1" w:rsidRDefault="00512334" w:rsidP="00612EB1">
      <w:pPr>
        <w:widowControl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kern w:val="0"/>
          <w:sz w:val="20"/>
          <w:szCs w:val="20"/>
        </w:rPr>
        <w:br w:type="page"/>
      </w:r>
      <w:r w:rsidRPr="00612EB1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Table.S2</w:t>
      </w:r>
      <w:r w:rsidR="00612EB1" w:rsidRPr="00612EB1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612EB1">
        <w:rPr>
          <w:rFonts w:ascii="Times New Roman" w:hAnsi="Times New Roman" w:cs="Times New Roman"/>
          <w:sz w:val="20"/>
          <w:szCs w:val="20"/>
        </w:rPr>
        <w:t>Ultrasonographic characteristics</w:t>
      </w:r>
      <w:r w:rsidRPr="00612EB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patients</w:t>
      </w:r>
    </w:p>
    <w:tbl>
      <w:tblPr>
        <w:tblStyle w:val="2"/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720" w:firstRow="1" w:lastRow="0" w:firstColumn="0" w:lastColumn="1" w:noHBand="1" w:noVBand="1"/>
      </w:tblPr>
      <w:tblGrid>
        <w:gridCol w:w="1660"/>
        <w:gridCol w:w="1645"/>
        <w:gridCol w:w="1688"/>
        <w:gridCol w:w="1047"/>
        <w:gridCol w:w="1132"/>
        <w:gridCol w:w="1134"/>
      </w:tblGrid>
      <w:tr w:rsidR="00512334" w:rsidRPr="00612EB1" w:rsidTr="002A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malignancy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Calcification†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8.957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0.003*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Non-existent</w:t>
            </w:r>
          </w:p>
        </w:tc>
        <w:tc>
          <w:tcPr>
            <w:tcW w:w="1689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347(65.7%)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181(34.3%)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Exist†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371(57.2%)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278(42.8%)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Fuzzy boundary†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83.550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Non-existent</w:t>
            </w:r>
          </w:p>
        </w:tc>
        <w:tc>
          <w:tcPr>
            <w:tcW w:w="1689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466(72.9%)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173(27.1%)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Exist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252(46.8%)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286(53.2%)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Irregular shape†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188.906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Non-existent</w:t>
            </w:r>
          </w:p>
        </w:tc>
        <w:tc>
          <w:tcPr>
            <w:tcW w:w="1689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50" w:firstLin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400(84.9%)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150" w:firstLine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71(15.1%)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Exist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50" w:firstLin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318(45.0%)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150" w:firstLine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388(55.0%)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946F0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Blood flow signal in the tumor†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141.467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946F0C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Non-existent</w:t>
            </w:r>
          </w:p>
        </w:tc>
        <w:tc>
          <w:tcPr>
            <w:tcW w:w="1689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596(72.0%)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232(28.0%)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Exist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122(35.0%)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227(65.0%)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Posterior echo attenuation†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2.979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Non-existent</w:t>
            </w:r>
          </w:p>
        </w:tc>
        <w:tc>
          <w:tcPr>
            <w:tcW w:w="1689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657(60.4%)</w:t>
            </w:r>
          </w:p>
        </w:tc>
        <w:tc>
          <w:tcPr>
            <w:tcW w:w="1714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431(39.6%)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4" w:rsidRPr="00612EB1" w:rsidTr="002A7702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leftChars="100" w:left="21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Exist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62(69.7%)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27(30.3%)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B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:rsidR="00512334" w:rsidRPr="00612EB1" w:rsidRDefault="00512334" w:rsidP="00612EB1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2334" w:rsidRPr="00612EB1" w:rsidRDefault="00512334" w:rsidP="00612EB1">
      <w:pPr>
        <w:rPr>
          <w:rFonts w:ascii="Times New Roman" w:hAnsi="Times New Roman" w:cs="Times New Roman"/>
          <w:sz w:val="20"/>
          <w:szCs w:val="20"/>
        </w:rPr>
      </w:pPr>
      <w:r w:rsidRPr="00612EB1">
        <w:rPr>
          <w:rFonts w:ascii="Times New Roman" w:hAnsi="Times New Roman" w:cs="Times New Roman"/>
          <w:sz w:val="20"/>
          <w:szCs w:val="20"/>
        </w:rPr>
        <w:t xml:space="preserve">* P &lt;0.05 was considered significant. </w:t>
      </w:r>
    </w:p>
    <w:p w:rsidR="00512334" w:rsidRPr="00612EB1" w:rsidRDefault="00512334" w:rsidP="00612EB1">
      <w:pPr>
        <w:rPr>
          <w:rFonts w:ascii="Times New Roman" w:hAnsi="Times New Roman" w:cs="Times New Roman"/>
          <w:sz w:val="20"/>
          <w:szCs w:val="20"/>
        </w:rPr>
      </w:pPr>
      <w:r w:rsidRPr="00612EB1">
        <w:rPr>
          <w:rFonts w:ascii="Times New Roman" w:hAnsi="Times New Roman" w:cs="Times New Roman"/>
          <w:sz w:val="20"/>
          <w:szCs w:val="20"/>
        </w:rPr>
        <w:t>†, Continuous variables were analyzed by t test.</w:t>
      </w:r>
    </w:p>
    <w:p w:rsidR="00512334" w:rsidRPr="00612EB1" w:rsidRDefault="00512334" w:rsidP="00612EB1">
      <w:pPr>
        <w:rPr>
          <w:rFonts w:ascii="Times New Roman" w:hAnsi="Times New Roman" w:cs="Times New Roman"/>
          <w:sz w:val="20"/>
          <w:szCs w:val="20"/>
        </w:rPr>
      </w:pPr>
      <w:r w:rsidRPr="00612EB1">
        <w:rPr>
          <w:rFonts w:ascii="Times New Roman" w:hAnsi="Times New Roman" w:cs="Times New Roman"/>
          <w:sz w:val="20"/>
          <w:szCs w:val="20"/>
        </w:rPr>
        <w:t>‡, Categorical variables were analyzed by χ2 test</w:t>
      </w:r>
    </w:p>
    <w:p w:rsidR="00512334" w:rsidRPr="00612EB1" w:rsidRDefault="00512334" w:rsidP="00612EB1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br w:type="page"/>
      </w:r>
    </w:p>
    <w:p w:rsidR="00512334" w:rsidRPr="00612EB1" w:rsidRDefault="00512334" w:rsidP="00612EB1">
      <w:pPr>
        <w:jc w:val="center"/>
        <w:rPr>
          <w:rFonts w:ascii="Times New Roman" w:hAnsi="Times New Roman" w:cs="Times New Roman"/>
          <w:sz w:val="20"/>
          <w:szCs w:val="20"/>
        </w:rPr>
      </w:pPr>
      <w:r w:rsidRPr="00612EB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Table.S3</w:t>
      </w:r>
      <w:r w:rsidR="00612EB1" w:rsidRPr="00612EB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12EB1">
        <w:rPr>
          <w:rFonts w:ascii="Times New Roman" w:hAnsi="Times New Roman" w:cs="Times New Roman"/>
          <w:sz w:val="20"/>
          <w:szCs w:val="20"/>
        </w:rPr>
        <w:t>Collinearity diagnosis between age, BI-RADS and ultrasonic image features</w:t>
      </w:r>
    </w:p>
    <w:tbl>
      <w:tblPr>
        <w:tblStyle w:val="1"/>
        <w:tblW w:w="91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"/>
        <w:gridCol w:w="1249"/>
        <w:gridCol w:w="733"/>
        <w:gridCol w:w="927"/>
        <w:gridCol w:w="1261"/>
        <w:gridCol w:w="833"/>
        <w:gridCol w:w="666"/>
        <w:gridCol w:w="733"/>
        <w:gridCol w:w="738"/>
        <w:gridCol w:w="1016"/>
        <w:gridCol w:w="666"/>
      </w:tblGrid>
      <w:tr w:rsidR="00512334" w:rsidRPr="00612EB1" w:rsidTr="002A7702">
        <w:trPr>
          <w:trHeight w:val="454"/>
          <w:jc w:val="center"/>
        </w:trPr>
        <w:tc>
          <w:tcPr>
            <w:tcW w:w="0" w:type="auto"/>
            <w:gridSpan w:val="11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612EB1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Coefficient</w:t>
            </w:r>
            <w:r w:rsidRPr="00612EB1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512334" w:rsidRPr="00612EB1" w:rsidTr="002A7702">
        <w:trPr>
          <w:trHeight w:val="548"/>
          <w:jc w:val="center"/>
        </w:trPr>
        <w:tc>
          <w:tcPr>
            <w:tcW w:w="0" w:type="auto"/>
            <w:gridSpan w:val="2"/>
            <w:vMerge w:val="restart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gridSpan w:val="2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Unstandardized Coefficient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Standardized Coefficient</w:t>
            </w:r>
          </w:p>
        </w:tc>
        <w:tc>
          <w:tcPr>
            <w:tcW w:w="0" w:type="auto"/>
            <w:vMerge w:val="restart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vMerge w:val="restart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95% Confidence Interval</w:t>
            </w:r>
          </w:p>
        </w:tc>
        <w:tc>
          <w:tcPr>
            <w:tcW w:w="0" w:type="auto"/>
            <w:gridSpan w:val="2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Collinearity Statistics</w:t>
            </w:r>
          </w:p>
        </w:tc>
      </w:tr>
      <w:tr w:rsidR="00512334" w:rsidRPr="00612EB1" w:rsidTr="002A7702">
        <w:trPr>
          <w:trHeight w:val="548"/>
          <w:jc w:val="center"/>
        </w:trPr>
        <w:tc>
          <w:tcPr>
            <w:tcW w:w="0" w:type="auto"/>
            <w:gridSpan w:val="2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Upper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Lower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Tolerance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VIF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 w:val="restart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(Constant)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-0.647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-14.263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-0.736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-0.558</w:t>
            </w: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0.220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9.768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0.915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1.093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Calcification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0.029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1.315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-0.007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0.037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0.968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1.033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Fuzzy Boundary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0.116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4.904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0.160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0.833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1.200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Irregular Shape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0.144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0.024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0.143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6.020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0.190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0.825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1.212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Blood Flow Signal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0.177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0.168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7.179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0.129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0.225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0.847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1.181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vMerge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BI-RADS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0.272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0.017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0.423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15.736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0.000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0.238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0.306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0.642</w:t>
            </w:r>
          </w:p>
        </w:tc>
        <w:tc>
          <w:tcPr>
            <w:tcW w:w="0" w:type="auto"/>
            <w:noWrap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1.559</w:t>
            </w:r>
          </w:p>
        </w:tc>
      </w:tr>
      <w:tr w:rsidR="00512334" w:rsidRPr="00612EB1" w:rsidTr="002A7702">
        <w:trPr>
          <w:trHeight w:val="321"/>
          <w:jc w:val="center"/>
        </w:trPr>
        <w:tc>
          <w:tcPr>
            <w:tcW w:w="0" w:type="auto"/>
            <w:gridSpan w:val="11"/>
            <w:hideMark/>
          </w:tcPr>
          <w:p w:rsidR="00512334" w:rsidRPr="00612EB1" w:rsidRDefault="00512334" w:rsidP="00612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2EB1">
              <w:rPr>
                <w:rFonts w:ascii="Times New Roman" w:hAnsi="Times New Roman"/>
                <w:kern w:val="0"/>
                <w:sz w:val="20"/>
                <w:szCs w:val="20"/>
              </w:rPr>
              <w:t>a. The dependent variable: Pathology(1=maligant,0=benign)</w:t>
            </w:r>
          </w:p>
        </w:tc>
      </w:tr>
    </w:tbl>
    <w:p w:rsidR="00512334" w:rsidRPr="00612EB1" w:rsidRDefault="00512334" w:rsidP="00612EB1">
      <w:pPr>
        <w:widowControl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</w:rPr>
        <w:t>†</w:t>
      </w:r>
      <w:r w:rsidRPr="00612EB1">
        <w:rPr>
          <w:rFonts w:ascii="Times New Roman" w:hAnsi="Times New Roman" w:cs="Times New Roman"/>
          <w:sz w:val="20"/>
          <w:szCs w:val="20"/>
        </w:rPr>
        <w:t>VIF, variance inflation factor.</w:t>
      </w:r>
    </w:p>
    <w:p w:rsidR="00512334" w:rsidRPr="00612EB1" w:rsidRDefault="00512334" w:rsidP="00612EB1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br w:type="page"/>
      </w:r>
    </w:p>
    <w:p w:rsidR="00512334" w:rsidRPr="00612EB1" w:rsidRDefault="00512334" w:rsidP="00612EB1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512334" w:rsidRPr="00612EB1" w:rsidRDefault="00612EB1" w:rsidP="00612EB1">
      <w:pPr>
        <w:widowControl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0DF00874" wp14:editId="4C8102DC">
            <wp:extent cx="5274310" cy="3048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334" w:rsidRPr="00612EB1" w:rsidRDefault="00512334" w:rsidP="00612EB1">
      <w:pPr>
        <w:widowControl/>
        <w:jc w:val="center"/>
        <w:rPr>
          <w:rFonts w:ascii="Times New Roman" w:eastAsia="黑体" w:hAnsi="Times New Roman" w:cs="Times New Roman"/>
          <w:sz w:val="20"/>
          <w:szCs w:val="20"/>
        </w:rPr>
      </w:pPr>
      <w:r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t>Figure.S1</w:t>
      </w:r>
      <w:r w:rsidR="00612EB1" w:rsidRPr="00612EB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612EB1">
        <w:rPr>
          <w:rFonts w:ascii="Times New Roman" w:eastAsia="黑体" w:hAnsi="Times New Roman" w:cs="Times New Roman"/>
          <w:sz w:val="20"/>
          <w:szCs w:val="20"/>
        </w:rPr>
        <w:t>Distribution of benign and malignant tumors with age</w:t>
      </w:r>
    </w:p>
    <w:p w:rsidR="00512334" w:rsidRPr="00612EB1" w:rsidRDefault="00512334" w:rsidP="00612EB1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12EB1">
        <w:rPr>
          <w:rFonts w:ascii="Times New Roman" w:hAnsi="Times New Roman" w:cs="Times New Roman"/>
          <w:sz w:val="20"/>
          <w:szCs w:val="20"/>
        </w:rPr>
        <w:t>The age distribution of the benign and malignant tumors was normal. With increasing age, the distribution of benign and malignant tumors showed an inverse trend.</w:t>
      </w:r>
    </w:p>
    <w:p w:rsidR="00512334" w:rsidRPr="00512334" w:rsidRDefault="00512334"/>
    <w:sectPr w:rsidR="00512334" w:rsidRPr="00512334" w:rsidSect="00CF27E4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78ED" w:rsidRDefault="00F378ED">
      <w:r>
        <w:separator/>
      </w:r>
    </w:p>
  </w:endnote>
  <w:endnote w:type="continuationSeparator" w:id="0">
    <w:p w:rsidR="00F378ED" w:rsidRDefault="00F3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1275461"/>
      <w:docPartObj>
        <w:docPartGallery w:val="Page Numbers (Bottom of Page)"/>
        <w:docPartUnique/>
      </w:docPartObj>
    </w:sdtPr>
    <w:sdtContent>
      <w:p w:rsidR="00936A38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D2F">
          <w:rPr>
            <w:noProof/>
            <w:lang w:val="zh-CN"/>
          </w:rPr>
          <w:t>24</w:t>
        </w:r>
        <w:r>
          <w:fldChar w:fldCharType="end"/>
        </w:r>
      </w:p>
    </w:sdtContent>
  </w:sdt>
  <w:p w:rsidR="00936A38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78ED" w:rsidRDefault="00F378ED">
      <w:r>
        <w:separator/>
      </w:r>
    </w:p>
  </w:footnote>
  <w:footnote w:type="continuationSeparator" w:id="0">
    <w:p w:rsidR="00F378ED" w:rsidRDefault="00F37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34"/>
    <w:rsid w:val="00512334"/>
    <w:rsid w:val="00612EB1"/>
    <w:rsid w:val="00946F0C"/>
    <w:rsid w:val="00B43688"/>
    <w:rsid w:val="00F3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E7B5A"/>
  <w15:chartTrackingRefBased/>
  <w15:docId w15:val="{0BB61381-74A3-9B48-8756-648D0665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33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2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12334"/>
    <w:rPr>
      <w:sz w:val="18"/>
      <w:szCs w:val="18"/>
    </w:rPr>
  </w:style>
  <w:style w:type="table" w:styleId="2">
    <w:name w:val="Plain Table 2"/>
    <w:basedOn w:val="a1"/>
    <w:uiPriority w:val="42"/>
    <w:rsid w:val="00512334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网格型1"/>
    <w:basedOn w:val="a1"/>
    <w:next w:val="a5"/>
    <w:uiPriority w:val="39"/>
    <w:rsid w:val="00512334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12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512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2023-04-06T11:51:00Z</dcterms:created>
  <dcterms:modified xsi:type="dcterms:W3CDTF">2023-04-06T11:51:00Z</dcterms:modified>
</cp:coreProperties>
</file>