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0EE16" w14:textId="250F05D3" w:rsidR="00D30FA9" w:rsidRPr="0069504D" w:rsidRDefault="00D30FA9" w:rsidP="0078305F">
      <w:pPr>
        <w:spacing w:line="480" w:lineRule="auto"/>
        <w:jc w:val="center"/>
        <w:rPr>
          <w:rFonts w:ascii="Times New Roman" w:hAnsi="Times New Roman" w:cs="Times New Roman"/>
          <w:b/>
          <w:sz w:val="24"/>
          <w:szCs w:val="24"/>
        </w:rPr>
      </w:pPr>
      <w:r w:rsidRPr="0069504D">
        <w:rPr>
          <w:rFonts w:ascii="Times New Roman" w:hAnsi="Times New Roman" w:cs="Times New Roman"/>
          <w:b/>
          <w:sz w:val="24"/>
          <w:szCs w:val="24"/>
        </w:rPr>
        <w:t>Supporting Information</w:t>
      </w:r>
    </w:p>
    <w:p w14:paraId="267A4CF8" w14:textId="5AB6CC2E" w:rsidR="0078305F" w:rsidRPr="0069504D" w:rsidRDefault="00B56445" w:rsidP="0078305F">
      <w:pPr>
        <w:widowControl/>
        <w:wordWrap/>
        <w:adjustRightInd w:val="0"/>
        <w:spacing w:afterLines="100" w:after="240" w:line="360" w:lineRule="auto"/>
        <w:ind w:left="240" w:firstLineChars="100" w:firstLine="240"/>
        <w:jc w:val="center"/>
        <w:rPr>
          <w:rFonts w:ascii="Times New Roman" w:eastAsiaTheme="minorHAnsi" w:hAnsi="Times New Roman" w:cs="Times New Roman"/>
          <w:b/>
          <w:sz w:val="24"/>
          <w:szCs w:val="24"/>
        </w:rPr>
      </w:pPr>
      <w:r w:rsidRPr="0069504D">
        <w:rPr>
          <w:rFonts w:ascii="Times New Roman" w:eastAsiaTheme="minorHAnsi" w:hAnsi="Times New Roman" w:cs="Times New Roman"/>
          <w:b/>
          <w:sz w:val="24"/>
          <w:szCs w:val="24"/>
        </w:rPr>
        <w:t xml:space="preserve">A dual-target fluorescent chemosensor for </w:t>
      </w:r>
      <w:bookmarkStart w:id="0" w:name="_Hlk120794738"/>
      <w:r w:rsidRPr="0069504D">
        <w:rPr>
          <w:rFonts w:ascii="Times New Roman" w:eastAsiaTheme="minorHAnsi" w:hAnsi="Times New Roman" w:cs="Times New Roman"/>
          <w:b/>
          <w:sz w:val="24"/>
          <w:szCs w:val="24"/>
        </w:rPr>
        <w:t xml:space="preserve">detecting </w:t>
      </w:r>
      <w:r w:rsidR="006E424B" w:rsidRPr="0069504D">
        <w:rPr>
          <w:rFonts w:ascii="Times New Roman" w:eastAsiaTheme="minorHAnsi" w:hAnsi="Times New Roman" w:cs="Times New Roman"/>
          <w:b/>
          <w:sz w:val="24"/>
          <w:szCs w:val="24"/>
        </w:rPr>
        <w:t>indium (III)</w:t>
      </w:r>
      <w:r w:rsidRPr="0069504D">
        <w:rPr>
          <w:rFonts w:ascii="Times New Roman" w:eastAsiaTheme="minorHAnsi" w:hAnsi="Times New Roman" w:cs="Times New Roman"/>
          <w:b/>
          <w:sz w:val="24"/>
          <w:szCs w:val="24"/>
        </w:rPr>
        <w:t xml:space="preserve"> and </w:t>
      </w:r>
      <w:r w:rsidR="006E424B" w:rsidRPr="0069504D">
        <w:rPr>
          <w:rFonts w:ascii="Times New Roman" w:eastAsiaTheme="minorHAnsi" w:hAnsi="Times New Roman" w:cs="Times New Roman"/>
          <w:b/>
          <w:sz w:val="24"/>
          <w:szCs w:val="24"/>
        </w:rPr>
        <w:t>hypochlorite</w:t>
      </w:r>
      <w:r w:rsidRPr="0069504D">
        <w:rPr>
          <w:rFonts w:ascii="Times New Roman" w:eastAsiaTheme="minorHAnsi" w:hAnsi="Times New Roman" w:cs="Times New Roman"/>
          <w:b/>
          <w:sz w:val="24"/>
          <w:szCs w:val="24"/>
        </w:rPr>
        <w:t xml:space="preserve"> </w:t>
      </w:r>
      <w:bookmarkEnd w:id="0"/>
      <w:r w:rsidRPr="0069504D">
        <w:rPr>
          <w:rFonts w:ascii="Times New Roman" w:eastAsiaTheme="minorHAnsi" w:hAnsi="Times New Roman" w:cs="Times New Roman"/>
          <w:b/>
          <w:sz w:val="24"/>
          <w:szCs w:val="24"/>
        </w:rPr>
        <w:t>with high selectivity</w:t>
      </w:r>
    </w:p>
    <w:p w14:paraId="672D6181" w14:textId="27EA80A0" w:rsidR="0032066B" w:rsidRPr="0069504D" w:rsidRDefault="0032066B" w:rsidP="0032066B">
      <w:pPr>
        <w:widowControl/>
        <w:wordWrap/>
        <w:adjustRightInd w:val="0"/>
        <w:spacing w:afterLines="100" w:after="240" w:line="360" w:lineRule="auto"/>
        <w:ind w:left="240" w:firstLineChars="100" w:firstLine="240"/>
        <w:jc w:val="center"/>
        <w:rPr>
          <w:rFonts w:ascii="Times New Roman" w:eastAsiaTheme="minorHAnsi" w:hAnsi="Times New Roman" w:cs="Times New Roman"/>
          <w:sz w:val="24"/>
          <w:szCs w:val="24"/>
          <w:vertAlign w:val="superscript"/>
        </w:rPr>
      </w:pPr>
      <w:bookmarkStart w:id="1" w:name="_Hlk97306258"/>
      <w:r w:rsidRPr="0069504D">
        <w:rPr>
          <w:rFonts w:ascii="Times New Roman" w:hAnsi="Times New Roman" w:cs="Times New Roman"/>
          <w:sz w:val="24"/>
          <w:szCs w:val="24"/>
        </w:rPr>
        <w:t xml:space="preserve">Duo Zhang, </w:t>
      </w:r>
      <w:r w:rsidRPr="0069504D">
        <w:rPr>
          <w:rFonts w:ascii="Times New Roman" w:eastAsia="맑은 고딕" w:hAnsi="Times New Roman" w:cs="Times New Roman"/>
          <w:sz w:val="24"/>
          <w:szCs w:val="24"/>
        </w:rPr>
        <w:t>Dongkyun</w:t>
      </w:r>
      <w:r w:rsidRPr="0069504D">
        <w:rPr>
          <w:rFonts w:ascii="Times New Roman" w:hAnsi="Times New Roman" w:cs="Times New Roman"/>
          <w:sz w:val="24"/>
          <w:szCs w:val="24"/>
        </w:rPr>
        <w:t xml:space="preserve"> </w:t>
      </w:r>
      <w:r w:rsidRPr="0069504D">
        <w:rPr>
          <w:rFonts w:ascii="Times New Roman" w:eastAsia="맑은 고딕" w:hAnsi="Times New Roman" w:cs="Times New Roman"/>
          <w:sz w:val="24"/>
          <w:szCs w:val="24"/>
        </w:rPr>
        <w:t>Gil</w:t>
      </w:r>
      <w:r w:rsidR="0076160D" w:rsidRPr="0069504D">
        <w:rPr>
          <w:rFonts w:ascii="Times New Roman" w:hAnsi="Times New Roman" w:cs="Times New Roman"/>
          <w:sz w:val="24"/>
          <w:szCs w:val="24"/>
        </w:rPr>
        <w:t>*</w:t>
      </w:r>
      <w:r w:rsidRPr="0069504D">
        <w:rPr>
          <w:rFonts w:ascii="Times New Roman" w:eastAsia="맑은 고딕" w:hAnsi="Times New Roman" w:cs="Times New Roman"/>
          <w:sz w:val="24"/>
          <w:szCs w:val="24"/>
        </w:rPr>
        <w:t>,</w:t>
      </w:r>
      <w:r w:rsidRPr="0069504D">
        <w:rPr>
          <w:rFonts w:ascii="Times New Roman" w:hAnsi="Times New Roman" w:cs="Times New Roman"/>
          <w:sz w:val="24"/>
          <w:szCs w:val="24"/>
        </w:rPr>
        <w:t xml:space="preserve"> Cheal Kim*</w:t>
      </w:r>
    </w:p>
    <w:p w14:paraId="25563754" w14:textId="1E26045A" w:rsidR="0032066B" w:rsidRPr="0069504D" w:rsidRDefault="0078305F" w:rsidP="0076160D">
      <w:pPr>
        <w:widowControl/>
        <w:wordWrap/>
        <w:adjustRightInd w:val="0"/>
        <w:spacing w:afterLines="100" w:after="240" w:line="360" w:lineRule="auto"/>
        <w:ind w:left="240" w:firstLineChars="100" w:firstLine="240"/>
        <w:rPr>
          <w:rFonts w:ascii="Times New Roman" w:eastAsiaTheme="minorHAnsi" w:hAnsi="Times New Roman" w:cs="Times New Roman"/>
          <w:i/>
          <w:sz w:val="24"/>
          <w:szCs w:val="24"/>
        </w:rPr>
      </w:pPr>
      <w:bookmarkStart w:id="2" w:name="_Hlk124180557"/>
      <w:r w:rsidRPr="0069504D">
        <w:rPr>
          <w:rFonts w:ascii="Times New Roman" w:eastAsiaTheme="minorHAnsi" w:hAnsi="Times New Roman" w:cs="Times New Roman"/>
          <w:i/>
          <w:sz w:val="24"/>
          <w:szCs w:val="24"/>
        </w:rPr>
        <w:t xml:space="preserve">Department of Fine Chemistry, Seoul National Univ. of Sci. and Tech. (SNUT), Seoul 01811, Korea. Fax: +82-2-972-9149; Tel: +82-2-971-6680; E-mail: </w:t>
      </w:r>
      <w:bookmarkStart w:id="3" w:name="_Hlk122630892"/>
      <w:r w:rsidR="0076160D" w:rsidRPr="0069504D">
        <w:rPr>
          <w:rFonts w:ascii="Times New Roman" w:eastAsiaTheme="minorHAnsi" w:hAnsi="Times New Roman" w:cs="Times New Roman" w:hint="eastAsia"/>
          <w:i/>
          <w:sz w:val="24"/>
          <w:szCs w:val="24"/>
        </w:rPr>
        <w:t>prmodel0131@protonmail.com</w:t>
      </w:r>
      <w:bookmarkEnd w:id="3"/>
      <w:r w:rsidR="0076160D" w:rsidRPr="0069504D">
        <w:rPr>
          <w:rFonts w:ascii="Times New Roman" w:eastAsiaTheme="minorHAnsi" w:hAnsi="Times New Roman" w:cs="Times New Roman"/>
          <w:i/>
          <w:sz w:val="24"/>
          <w:szCs w:val="24"/>
        </w:rPr>
        <w:t xml:space="preserve"> </w:t>
      </w:r>
      <w:r w:rsidR="0076160D" w:rsidRPr="0069504D">
        <w:rPr>
          <w:rFonts w:ascii="Times New Roman" w:eastAsiaTheme="minorHAnsi" w:hAnsi="Times New Roman" w:cs="Times New Roman" w:hint="eastAsia"/>
          <w:i/>
          <w:sz w:val="24"/>
          <w:szCs w:val="24"/>
        </w:rPr>
        <w:t>and</w:t>
      </w:r>
      <w:r w:rsidR="0076160D" w:rsidRPr="0069504D">
        <w:rPr>
          <w:rFonts w:ascii="Times New Roman" w:eastAsiaTheme="minorHAnsi" w:hAnsi="Times New Roman" w:cs="Times New Roman"/>
          <w:i/>
          <w:sz w:val="24"/>
          <w:szCs w:val="24"/>
        </w:rPr>
        <w:t xml:space="preserve"> </w:t>
      </w:r>
      <w:r w:rsidRPr="0069504D">
        <w:rPr>
          <w:rFonts w:ascii="Times New Roman" w:eastAsiaTheme="minorHAnsi" w:hAnsi="Times New Roman" w:cs="Times New Roman"/>
          <w:i/>
          <w:sz w:val="24"/>
          <w:szCs w:val="24"/>
        </w:rPr>
        <w:t>chealkim@snut.ac.kr</w:t>
      </w:r>
      <w:bookmarkEnd w:id="1"/>
    </w:p>
    <w:bookmarkEnd w:id="2"/>
    <w:p w14:paraId="6E37699C" w14:textId="5EDB73BD" w:rsidR="0032066B" w:rsidRPr="0069504D" w:rsidRDefault="0032066B">
      <w:pPr>
        <w:widowControl/>
        <w:wordWrap/>
        <w:autoSpaceDE/>
        <w:autoSpaceDN/>
        <w:rPr>
          <w:rFonts w:ascii="Times New Roman" w:eastAsiaTheme="minorHAnsi" w:hAnsi="Times New Roman" w:cs="Times New Roman"/>
          <w:i/>
          <w:sz w:val="24"/>
          <w:szCs w:val="24"/>
        </w:rPr>
      </w:pPr>
      <w:r w:rsidRPr="0069504D">
        <w:rPr>
          <w:rFonts w:ascii="Times New Roman" w:eastAsiaTheme="minorHAnsi" w:hAnsi="Times New Roman" w:cs="Times New Roman"/>
          <w:i/>
          <w:sz w:val="24"/>
          <w:szCs w:val="24"/>
        </w:rPr>
        <w:br w:type="page"/>
      </w:r>
    </w:p>
    <w:p w14:paraId="4682EC89" w14:textId="10FB2B52" w:rsidR="00DA6E9D" w:rsidRPr="0069504D" w:rsidRDefault="00DA6E9D" w:rsidP="00DA6E9D">
      <w:pPr>
        <w:widowControl/>
        <w:wordWrap/>
        <w:autoSpaceDE/>
        <w:autoSpaceDN/>
        <w:rPr>
          <w:rFonts w:ascii="Times New Roman" w:hAnsi="Times New Roman" w:cs="Times New Roman"/>
          <w:sz w:val="24"/>
        </w:rPr>
      </w:pPr>
      <w:r w:rsidRPr="0069504D">
        <w:rPr>
          <w:rFonts w:ascii="Times New Roman" w:hAnsi="Times New Roman" w:cs="Times New Roman"/>
          <w:b/>
          <w:sz w:val="24"/>
        </w:rPr>
        <w:lastRenderedPageBreak/>
        <w:t xml:space="preserve">Table S1 </w:t>
      </w:r>
      <w:r w:rsidRPr="0069504D">
        <w:rPr>
          <w:rFonts w:ascii="Times New Roman" w:hAnsi="Times New Roman" w:cs="Times New Roman"/>
          <w:sz w:val="24"/>
        </w:rPr>
        <w:t>Example</w:t>
      </w:r>
      <w:r w:rsidR="00CA2D0C" w:rsidRPr="0069504D">
        <w:rPr>
          <w:rFonts w:ascii="Times New Roman" w:hAnsi="Times New Roman" w:cs="Times New Roman"/>
          <w:sz w:val="24"/>
        </w:rPr>
        <w:t>s</w:t>
      </w:r>
      <w:r w:rsidRPr="0069504D">
        <w:rPr>
          <w:rFonts w:ascii="Times New Roman" w:hAnsi="Times New Roman" w:cs="Times New Roman"/>
          <w:sz w:val="24"/>
        </w:rPr>
        <w:t xml:space="preserve"> of chemosensor</w:t>
      </w:r>
      <w:r w:rsidR="00CA2D0C" w:rsidRPr="0069504D">
        <w:rPr>
          <w:rFonts w:ascii="Times New Roman" w:hAnsi="Times New Roman" w:cs="Times New Roman"/>
          <w:sz w:val="24"/>
        </w:rPr>
        <w:t>s</w:t>
      </w:r>
      <w:r w:rsidRPr="0069504D">
        <w:rPr>
          <w:rFonts w:ascii="Times New Roman" w:hAnsi="Times New Roman" w:cs="Times New Roman"/>
          <w:sz w:val="24"/>
        </w:rPr>
        <w:t xml:space="preserve"> for detection </w:t>
      </w:r>
      <w:r w:rsidR="0034247B" w:rsidRPr="0069504D">
        <w:rPr>
          <w:rFonts w:ascii="Times New Roman" w:hAnsi="Times New Roman" w:cs="Times New Roman"/>
          <w:sz w:val="24"/>
        </w:rPr>
        <w:t xml:space="preserve">of </w:t>
      </w:r>
      <w:r w:rsidRPr="0069504D">
        <w:rPr>
          <w:rFonts w:ascii="Times New Roman" w:hAnsi="Times New Roman" w:cs="Times New Roman"/>
          <w:sz w:val="24"/>
        </w:rPr>
        <w:t>In</w:t>
      </w:r>
      <w:r w:rsidRPr="0069504D">
        <w:rPr>
          <w:rFonts w:ascii="Times New Roman" w:hAnsi="Times New Roman" w:cs="Times New Roman"/>
          <w:sz w:val="24"/>
          <w:vertAlign w:val="superscript"/>
        </w:rPr>
        <w:t>3+</w:t>
      </w:r>
      <w:r w:rsidRPr="0069504D">
        <w:rPr>
          <w:rFonts w:ascii="Times New Roman" w:hAnsi="Times New Roman" w:cs="Times New Roman"/>
          <w:sz w:val="24"/>
        </w:rPr>
        <w:t xml:space="preserve"> </w:t>
      </w:r>
      <w:r w:rsidR="0034247B" w:rsidRPr="0069504D">
        <w:rPr>
          <w:rFonts w:ascii="Times New Roman" w:hAnsi="Times New Roman" w:cs="Times New Roman"/>
          <w:sz w:val="24"/>
        </w:rPr>
        <w:t>or In</w:t>
      </w:r>
      <w:r w:rsidR="0034247B" w:rsidRPr="0069504D">
        <w:rPr>
          <w:rFonts w:ascii="Times New Roman" w:hAnsi="Times New Roman" w:cs="Times New Roman"/>
          <w:sz w:val="24"/>
          <w:vertAlign w:val="superscript"/>
        </w:rPr>
        <w:t>3+</w:t>
      </w:r>
      <w:r w:rsidR="0034247B" w:rsidRPr="0069504D">
        <w:rPr>
          <w:rFonts w:ascii="Times New Roman" w:hAnsi="Times New Roman" w:cs="Times New Roman"/>
          <w:sz w:val="24"/>
        </w:rPr>
        <w:t xml:space="preserve"> with other analytes </w:t>
      </w:r>
      <w:r w:rsidRPr="0069504D">
        <w:rPr>
          <w:rFonts w:ascii="Times New Roman" w:hAnsi="Times New Roman" w:cs="Times New Roman"/>
          <w:sz w:val="24"/>
        </w:rPr>
        <w:t xml:space="preserve">by </w:t>
      </w:r>
      <w:r w:rsidR="0034247B" w:rsidRPr="0069504D">
        <w:rPr>
          <w:rFonts w:ascii="Times New Roman" w:hAnsi="Times New Roman" w:cs="Times New Roman"/>
          <w:sz w:val="24"/>
        </w:rPr>
        <w:t xml:space="preserve">a </w:t>
      </w:r>
      <w:r w:rsidRPr="0069504D">
        <w:rPr>
          <w:rFonts w:ascii="Times New Roman" w:hAnsi="Times New Roman" w:cs="Times New Roman"/>
          <w:sz w:val="24"/>
        </w:rPr>
        <w:t>fluorescence turn-on method.</w:t>
      </w:r>
    </w:p>
    <w:tbl>
      <w:tblPr>
        <w:tblOverlap w:val="never"/>
        <w:tblW w:w="9443" w:type="dxa"/>
        <w:jc w:val="center"/>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134"/>
        <w:gridCol w:w="2835"/>
        <w:gridCol w:w="1991"/>
        <w:gridCol w:w="2025"/>
        <w:gridCol w:w="1458"/>
      </w:tblGrid>
      <w:tr w:rsidR="0069504D" w:rsidRPr="0069504D" w14:paraId="5C0E7763" w14:textId="77777777" w:rsidTr="0098689A">
        <w:trPr>
          <w:trHeight w:val="361"/>
          <w:jc w:val="center"/>
        </w:trPr>
        <w:tc>
          <w:tcPr>
            <w:tcW w:w="1134" w:type="dxa"/>
            <w:tcBorders>
              <w:top w:val="single" w:sz="2" w:space="0" w:color="000000"/>
              <w:left w:val="nil"/>
              <w:bottom w:val="single" w:sz="2" w:space="0" w:color="000000"/>
              <w:right w:val="nil"/>
            </w:tcBorders>
            <w:vAlign w:val="center"/>
          </w:tcPr>
          <w:p w14:paraId="562BD88C"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bookmarkStart w:id="4" w:name="_Hlk81412362"/>
            <w:r w:rsidRPr="0069504D">
              <w:rPr>
                <w:rFonts w:ascii="Times New Roman" w:hAnsi="Times New Roman" w:cs="Times New Roman"/>
                <w:kern w:val="0"/>
                <w:sz w:val="24"/>
              </w:rPr>
              <w:t>Entry</w:t>
            </w:r>
          </w:p>
        </w:tc>
        <w:tc>
          <w:tcPr>
            <w:tcW w:w="2835"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14:paraId="6B1F6798"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Sensor</w:t>
            </w:r>
          </w:p>
        </w:tc>
        <w:tc>
          <w:tcPr>
            <w:tcW w:w="1991" w:type="dxa"/>
            <w:tcBorders>
              <w:top w:val="single" w:sz="2" w:space="0" w:color="000000"/>
              <w:left w:val="nil"/>
              <w:bottom w:val="single" w:sz="2" w:space="0" w:color="000000"/>
              <w:right w:val="nil"/>
            </w:tcBorders>
            <w:tcMar>
              <w:top w:w="28" w:type="dxa"/>
              <w:left w:w="102" w:type="dxa"/>
              <w:bottom w:w="28" w:type="dxa"/>
              <w:right w:w="102" w:type="dxa"/>
            </w:tcMar>
            <w:vAlign w:val="bottom"/>
          </w:tcPr>
          <w:p w14:paraId="2ED63246" w14:textId="6AA89149" w:rsidR="0098689A" w:rsidRPr="0069504D" w:rsidRDefault="0098689A" w:rsidP="0098689A">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Detection limit</w:t>
            </w:r>
            <w:r w:rsidR="00AF662B" w:rsidRPr="0069504D">
              <w:rPr>
                <w:rFonts w:ascii="Times New Roman" w:hAnsi="Times New Roman" w:cs="Times New Roman"/>
                <w:kern w:val="0"/>
                <w:sz w:val="24"/>
              </w:rPr>
              <w:t xml:space="preserve"> for In</w:t>
            </w:r>
            <w:r w:rsidR="00AF662B"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w:t>
            </w:r>
            <w:r w:rsidRPr="0069504D">
              <w:rPr>
                <w:rFonts w:ascii="Times New Roman" w:eastAsiaTheme="minorHAnsi" w:hAnsi="Times New Roman" w:cs="Times New Roman"/>
                <w:sz w:val="24"/>
                <w:szCs w:val="24"/>
              </w:rPr>
              <w:t>μM</w:t>
            </w:r>
            <w:r w:rsidRPr="0069504D">
              <w:rPr>
                <w:rFonts w:ascii="Times New Roman" w:hAnsi="Times New Roman" w:cs="Times New Roman"/>
                <w:kern w:val="0"/>
                <w:sz w:val="24"/>
              </w:rPr>
              <w:t>)</w:t>
            </w:r>
          </w:p>
        </w:tc>
        <w:tc>
          <w:tcPr>
            <w:tcW w:w="2025" w:type="dxa"/>
            <w:tcBorders>
              <w:top w:val="single" w:sz="2" w:space="0" w:color="000000"/>
              <w:left w:val="nil"/>
              <w:bottom w:val="single" w:sz="2" w:space="0" w:color="000000"/>
              <w:right w:val="nil"/>
            </w:tcBorders>
            <w:vAlign w:val="center"/>
          </w:tcPr>
          <w:p w14:paraId="25078E56" w14:textId="2794CD8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Target analyte</w:t>
            </w:r>
          </w:p>
        </w:tc>
        <w:tc>
          <w:tcPr>
            <w:tcW w:w="1458" w:type="dxa"/>
            <w:tcBorders>
              <w:top w:val="single" w:sz="2" w:space="0" w:color="000000"/>
              <w:left w:val="nil"/>
              <w:bottom w:val="single" w:sz="2" w:space="0" w:color="000000"/>
              <w:right w:val="nil"/>
            </w:tcBorders>
            <w:tcMar>
              <w:top w:w="28" w:type="dxa"/>
              <w:left w:w="102" w:type="dxa"/>
              <w:bottom w:w="28" w:type="dxa"/>
              <w:right w:w="102" w:type="dxa"/>
            </w:tcMar>
            <w:vAlign w:val="center"/>
            <w:hideMark/>
          </w:tcPr>
          <w:p w14:paraId="2DEC448C"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Reference</w:t>
            </w:r>
          </w:p>
        </w:tc>
      </w:tr>
      <w:tr w:rsidR="0069504D" w:rsidRPr="0069504D" w14:paraId="27FCDA43" w14:textId="77777777" w:rsidTr="0098689A">
        <w:trPr>
          <w:trHeight w:val="237"/>
          <w:jc w:val="center"/>
        </w:trPr>
        <w:tc>
          <w:tcPr>
            <w:tcW w:w="1134" w:type="dxa"/>
            <w:tcBorders>
              <w:top w:val="single" w:sz="2" w:space="0" w:color="000000"/>
              <w:left w:val="nil"/>
              <w:bottom w:val="nil"/>
              <w:right w:val="nil"/>
            </w:tcBorders>
            <w:vAlign w:val="center"/>
          </w:tcPr>
          <w:p w14:paraId="32070A93"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w:t>
            </w:r>
          </w:p>
        </w:tc>
        <w:tc>
          <w:tcPr>
            <w:tcW w:w="2835" w:type="dxa"/>
            <w:tcBorders>
              <w:top w:val="single" w:sz="2" w:space="0" w:color="000000"/>
              <w:left w:val="nil"/>
              <w:bottom w:val="nil"/>
              <w:right w:val="nil"/>
            </w:tcBorders>
            <w:tcMar>
              <w:top w:w="28" w:type="dxa"/>
              <w:left w:w="102" w:type="dxa"/>
              <w:bottom w:w="28" w:type="dxa"/>
              <w:right w:w="102" w:type="dxa"/>
            </w:tcMar>
            <w:vAlign w:val="center"/>
          </w:tcPr>
          <w:p w14:paraId="532D7BAC" w14:textId="6DF915AB"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07C12FCB" wp14:editId="62B8323D">
                  <wp:extent cx="1459891" cy="733425"/>
                  <wp:effectExtent l="0" t="0" r="6985"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68972" cy="737987"/>
                          </a:xfrm>
                          <a:prstGeom prst="rect">
                            <a:avLst/>
                          </a:prstGeom>
                        </pic:spPr>
                      </pic:pic>
                    </a:graphicData>
                  </a:graphic>
                </wp:inline>
              </w:drawing>
            </w:r>
          </w:p>
        </w:tc>
        <w:tc>
          <w:tcPr>
            <w:tcW w:w="1991" w:type="dxa"/>
            <w:tcBorders>
              <w:top w:val="single" w:sz="2" w:space="0" w:color="000000"/>
              <w:left w:val="nil"/>
              <w:bottom w:val="nil"/>
              <w:right w:val="nil"/>
            </w:tcBorders>
            <w:tcMar>
              <w:top w:w="28" w:type="dxa"/>
              <w:left w:w="102" w:type="dxa"/>
              <w:bottom w:w="28" w:type="dxa"/>
              <w:right w:w="102" w:type="dxa"/>
            </w:tcMar>
            <w:vAlign w:val="center"/>
          </w:tcPr>
          <w:p w14:paraId="12EE6043" w14:textId="2A5305E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7.9</w:t>
            </w:r>
          </w:p>
        </w:tc>
        <w:tc>
          <w:tcPr>
            <w:tcW w:w="2025" w:type="dxa"/>
            <w:tcBorders>
              <w:top w:val="single" w:sz="2" w:space="0" w:color="000000"/>
              <w:left w:val="nil"/>
              <w:bottom w:val="nil"/>
              <w:right w:val="nil"/>
            </w:tcBorders>
            <w:vAlign w:val="center"/>
          </w:tcPr>
          <w:p w14:paraId="2CAB97DB" w14:textId="477284B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Al</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Ga</w:t>
            </w:r>
            <w:r w:rsidRPr="0069504D">
              <w:rPr>
                <w:rFonts w:ascii="Times New Roman" w:hAnsi="Times New Roman" w:cs="Times New Roman"/>
                <w:kern w:val="0"/>
                <w:sz w:val="24"/>
                <w:vertAlign w:val="superscript"/>
              </w:rPr>
              <w:t>3+</w:t>
            </w:r>
          </w:p>
        </w:tc>
        <w:tc>
          <w:tcPr>
            <w:tcW w:w="1458" w:type="dxa"/>
            <w:tcBorders>
              <w:top w:val="single" w:sz="2" w:space="0" w:color="000000"/>
              <w:left w:val="nil"/>
              <w:bottom w:val="nil"/>
              <w:right w:val="nil"/>
            </w:tcBorders>
            <w:tcMar>
              <w:top w:w="28" w:type="dxa"/>
              <w:left w:w="102" w:type="dxa"/>
              <w:bottom w:w="28" w:type="dxa"/>
              <w:right w:w="102" w:type="dxa"/>
            </w:tcMar>
            <w:vAlign w:val="center"/>
          </w:tcPr>
          <w:p w14:paraId="4DED69B3" w14:textId="27A8AD06"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{"citationItems":[{"id":"ITEM-1","itemData":{"DOI":"10.1039/C8PP00171E","ISSN":"1474-9092","PMID":"30084462","abstract":"A versatile chemosensor 1 (E)-2-(((8-hydroxy-2,3,6,7-tetrahydro-1H,5H-pyrido[3,2,1-ij]quinolin-9-yl)methylene)amino)-1H-benzo[de]isoquinoline-1,3(2H)-dione, based on naphthalimide and julolidine moieties, was developed for highly distinguishable and selective recognition of Group IIIA metal ions (Al3+, Ga3+ and In3+). Sensor 1 exhibited significant ‘off–on’ fluorescence responses at 488 nm in the presence of Al3+ and at 570 nm in the presence of Ga3+ and In3+. The same emission of Ga3+ and In3+ could be distinguished through different color changes (from colorless to yellow for Ga3+ and no color change for In3+). Binding constants of 1 for Ga3+ and In3+ are the highest reported to date for an organic chemosensor. A 2 : 1 binding mode between 1 with Al3+, Ga3+ and In3+ is proposed based on electrospray ionization mass spectrometry, Job plot analysis, and theoretical calculations.","author":[{"dropping-particle":"","family":"Jang","given":"Hyo Jung","non-dropping-particle":"","parse-names":false,"suffix":""},{"dropping-particle":"","family":"Kang","given":"Ji Hye","non-dropping-particle":"","parse-names":false,"suffix":""},{"dropping-particle":"","family":"Yun","given":"Dongju","non-dropping-particle":"","parse-names":false,"suffix":""},{"dropping-particle":"","family":"Kim","given":"Cheal","non-dropping-particle":"","parse-names":false,"suffix":""}],"container-title":"Photochemical &amp; Photobiological Sciences","id":"ITEM-1","issued":{"date-parts":[["2018","10","27"]]},"page":"1247-1255","publisher":"Springer","title":"A multifunctional selective “turn-on” fluorescent chemosensor for detection of Group IIIA ions Al&lt;sup&gt;3+&lt;/sup&gt;, Ga&lt;sup&gt;3+&lt;/sup&gt; and In&lt;sup&gt;3+&lt;/sup&gt;","type":"article-journal","volume":"17"},"uris":["http://www.mendeley.com/documents/?uuid=2f56e7c5-a9d2-3b55-a241-665a274f5cff"]}],"mendeley":{"formattedCitation":"[1]","plainTextFormattedCitation":"[1]","previouslyFormattedCitation":"&lt;sup&gt;[&lt;sup&gt;1&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w:t>
            </w:r>
            <w:r w:rsidRPr="0069504D">
              <w:rPr>
                <w:rFonts w:ascii="Times New Roman" w:hAnsi="Times New Roman" w:cs="Times New Roman"/>
                <w:kern w:val="0"/>
                <w:sz w:val="24"/>
              </w:rPr>
              <w:fldChar w:fldCharType="end"/>
            </w:r>
          </w:p>
        </w:tc>
      </w:tr>
      <w:tr w:rsidR="0069504D" w:rsidRPr="0069504D" w14:paraId="6100EAB0" w14:textId="77777777" w:rsidTr="0098689A">
        <w:trPr>
          <w:trHeight w:val="254"/>
          <w:jc w:val="center"/>
        </w:trPr>
        <w:tc>
          <w:tcPr>
            <w:tcW w:w="1134" w:type="dxa"/>
            <w:tcBorders>
              <w:top w:val="nil"/>
              <w:left w:val="nil"/>
              <w:bottom w:val="nil"/>
              <w:right w:val="nil"/>
            </w:tcBorders>
            <w:vAlign w:val="center"/>
          </w:tcPr>
          <w:p w14:paraId="2A4DF4D6"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2</w:t>
            </w:r>
          </w:p>
        </w:tc>
        <w:tc>
          <w:tcPr>
            <w:tcW w:w="2835" w:type="dxa"/>
            <w:tcBorders>
              <w:top w:val="nil"/>
              <w:left w:val="nil"/>
              <w:bottom w:val="nil"/>
              <w:right w:val="nil"/>
            </w:tcBorders>
            <w:tcMar>
              <w:top w:w="28" w:type="dxa"/>
              <w:left w:w="102" w:type="dxa"/>
              <w:bottom w:w="28" w:type="dxa"/>
              <w:right w:w="102" w:type="dxa"/>
            </w:tcMar>
            <w:vAlign w:val="center"/>
          </w:tcPr>
          <w:p w14:paraId="0BB68DF0" w14:textId="344767C3"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326461BB" wp14:editId="4F6C3F73">
                  <wp:extent cx="1311215" cy="647796"/>
                  <wp:effectExtent l="0" t="0" r="381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22554" cy="653398"/>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756FDBA5" w14:textId="0A7AD94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5.9</w:t>
            </w:r>
          </w:p>
        </w:tc>
        <w:tc>
          <w:tcPr>
            <w:tcW w:w="2025" w:type="dxa"/>
            <w:tcBorders>
              <w:top w:val="nil"/>
              <w:left w:val="nil"/>
              <w:bottom w:val="nil"/>
              <w:right w:val="nil"/>
            </w:tcBorders>
            <w:vAlign w:val="center"/>
          </w:tcPr>
          <w:p w14:paraId="6892F7E5" w14:textId="2A939E1E"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(colorimetric: Fe</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w:t>
            </w:r>
          </w:p>
        </w:tc>
        <w:tc>
          <w:tcPr>
            <w:tcW w:w="1458" w:type="dxa"/>
            <w:tcBorders>
              <w:top w:val="nil"/>
              <w:left w:val="nil"/>
              <w:bottom w:val="nil"/>
              <w:right w:val="nil"/>
            </w:tcBorders>
            <w:tcMar>
              <w:top w:w="28" w:type="dxa"/>
              <w:left w:w="102" w:type="dxa"/>
              <w:bottom w:w="28" w:type="dxa"/>
              <w:right w:w="102" w:type="dxa"/>
            </w:tcMar>
            <w:vAlign w:val="center"/>
          </w:tcPr>
          <w:p w14:paraId="693CEA99" w14:textId="689986C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{"citationItems":[{"id":"ITEM-1","itemData":{"DOI":"10.1016/J.SAA.2018.07.091","ISSN":"1386-1425","PMID":"30077953","abstract":"A new dual target chemosensor 1, 1,1</w:instrText>
            </w:r>
            <w:r w:rsidR="000F1B95">
              <w:rPr>
                <w:rFonts w:ascii="Times New Roman" w:hAnsi="Times New Roman" w:cs="Times New Roman" w:hint="eastAsia"/>
                <w:kern w:val="0"/>
                <w:sz w:val="24"/>
              </w:rPr>
              <w:instrText>′</w:instrText>
            </w:r>
            <w:r w:rsidR="000F1B95">
              <w:rPr>
                <w:rFonts w:ascii="Times New Roman" w:hAnsi="Times New Roman" w:cs="Times New Roman"/>
                <w:kern w:val="0"/>
                <w:sz w:val="24"/>
              </w:rPr>
              <w:instrText>‑((1E,1</w:instrText>
            </w:r>
            <w:r w:rsidR="000F1B95">
              <w:rPr>
                <w:rFonts w:ascii="Times New Roman" w:hAnsi="Times New Roman" w:cs="Times New Roman" w:hint="eastAsia"/>
                <w:kern w:val="0"/>
                <w:sz w:val="24"/>
              </w:rPr>
              <w:instrText>′</w:instrText>
            </w:r>
            <w:r w:rsidR="000F1B95">
              <w:rPr>
                <w:rFonts w:ascii="Times New Roman" w:hAnsi="Times New Roman" w:cs="Times New Roman"/>
                <w:kern w:val="0"/>
                <w:sz w:val="24"/>
              </w:rPr>
              <w:instrText>E)‑((thiobis(ethane‑2,1‑diyl))bis(azanylylidene))bis(methanylylidene))bis(naphthalen‑2‑ol), was prepared by the reaction of a hydroxy-naphthaldehyde and a thiobis(ethylamine). Sensor 1 detected In3+ with turn-on fluorescence and Fe3+ via the change of color from colorless to pale violet. The sensing behaviors of 1 toward In3+ and Fe3+ were studied through photophysical experiments, ESI-mass, NMR titration, and theoretical calculations. In particular, 1 can discriminate In3+ from Al3+ and Fe3+ from Fe2+. Limits of detection for the analysis of In3+ and Fe3+ ions turned out to be 5.89 μM and 0.30 μM, respectively. In addition, sensor 1 functioned practically as a naked-eye test strip for Fe3+ and could be recycled by using EDTA for In3+ and DFO for Fe3+.","author":[{"dropping-particle":"","family":"Lee","given":"Seong Youl","non-dropping-particle":"","parse-names":false,"suffix":""},{"dropping-particle":"","family":"Yang","given":"Minuk","non-dropping-particle":"","parse-names":false,"suffix":""},{"dropping-particle":"","family":"Kim","given":"Cheal","non-dropping-particle":"","parse-names":false,"suffix":""}],"container-title":"Spectrochimica Acta Part A: Molecular and Biomolecular Spectroscopy","id":"ITEM-1","issued":{"date-parts":[["2018","12","5"]]},"page":"622-629","publisher":"Elsevier","title":"A dual target chemosensor for the fluorometric detection of In&lt;sup&gt;3+&lt;/sup&gt; and colorimetric detection of Fe&lt;sup&gt;3+&lt;/sup&gt;","type":"article-journal","volume":"205"},"uris":["http://www.mendeley.com/documents/?uuid=d771faab-34a5-30c2-ae20-0c18568e1513"]}],"mendeley":{"formattedCitation":"[2]","plainTextFormattedCitation":"[2]","previouslyFormattedCitation":"&lt;sup&gt;[&lt;sup&gt;2&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[2]</w:t>
            </w:r>
            <w:r w:rsidRPr="0069504D">
              <w:rPr>
                <w:rFonts w:ascii="Times New Roman" w:hAnsi="Times New Roman" w:cs="Times New Roman"/>
                <w:kern w:val="0"/>
                <w:sz w:val="24"/>
              </w:rPr>
              <w:fldChar w:fldCharType="end"/>
            </w:r>
          </w:p>
        </w:tc>
      </w:tr>
      <w:tr w:rsidR="0069504D" w:rsidRPr="0069504D" w14:paraId="740B1184" w14:textId="77777777" w:rsidTr="0098689A">
        <w:trPr>
          <w:trHeight w:val="254"/>
          <w:jc w:val="center"/>
        </w:trPr>
        <w:tc>
          <w:tcPr>
            <w:tcW w:w="1134" w:type="dxa"/>
            <w:tcBorders>
              <w:top w:val="nil"/>
              <w:left w:val="nil"/>
              <w:bottom w:val="nil"/>
              <w:right w:val="nil"/>
            </w:tcBorders>
            <w:vAlign w:val="center"/>
          </w:tcPr>
          <w:p w14:paraId="7B384C7B"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3</w:t>
            </w:r>
          </w:p>
        </w:tc>
        <w:tc>
          <w:tcPr>
            <w:tcW w:w="2835" w:type="dxa"/>
            <w:tcBorders>
              <w:top w:val="nil"/>
              <w:left w:val="nil"/>
              <w:bottom w:val="nil"/>
              <w:right w:val="nil"/>
            </w:tcBorders>
            <w:tcMar>
              <w:top w:w="28" w:type="dxa"/>
              <w:left w:w="102" w:type="dxa"/>
              <w:bottom w:w="28" w:type="dxa"/>
              <w:right w:w="102" w:type="dxa"/>
            </w:tcMar>
            <w:vAlign w:val="center"/>
          </w:tcPr>
          <w:p w14:paraId="39DB1620" w14:textId="3FF85689"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351C93C5" wp14:editId="06CB1132">
                  <wp:extent cx="1402228" cy="914400"/>
                  <wp:effectExtent l="0" t="0" r="762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22589" cy="927678"/>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24ECA4D1" w14:textId="25ED64BD"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9.6</w:t>
            </w:r>
          </w:p>
        </w:tc>
        <w:tc>
          <w:tcPr>
            <w:tcW w:w="2025" w:type="dxa"/>
            <w:tcBorders>
              <w:top w:val="nil"/>
              <w:left w:val="nil"/>
              <w:bottom w:val="nil"/>
              <w:right w:val="nil"/>
            </w:tcBorders>
            <w:vAlign w:val="center"/>
          </w:tcPr>
          <w:p w14:paraId="44F9C87E" w14:textId="0C0924C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3D8D6290" w14:textId="4403F7E1"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 xml:space="preserve">ADDIN CSL_CITATION {"citationItems":[{"id":"ITEM-1","itemData":{"DOI":"10.1016/J.INOCHE.2019.107752","ISSN":"1387-7003","abstract":"A highly selective thiourea-naphthol based fluorescent chemosensor SC ((E)-2-((8-hydroxy-2,3,6,7-tetrahydro-1H,5H-pyrido[3,2,1-ij] quinolin-9-yl) methylene)-N-(naphthalen-1-yl) hydrazine-1-carbothioamide) for sensing In3+ was developed. Sensor SC could detect In3+ by a fluorescent turn-on method in aqueous solution. The detection limit of SC for In3+ is calculated to be 9.62 </w:instrText>
            </w:r>
            <w:r w:rsidR="000F1B95">
              <w:rPr>
                <w:rFonts w:ascii="Times New Roman" w:hAnsi="Times New Roman" w:cs="Times New Roman" w:hint="eastAsia"/>
                <w:kern w:val="0"/>
                <w:sz w:val="24"/>
              </w:rPr>
              <w:instrText>μ</w:instrText>
            </w:r>
            <w:r w:rsidR="000F1B95">
              <w:rPr>
                <w:rFonts w:ascii="Times New Roman" w:hAnsi="Times New Roman" w:cs="Times New Roman"/>
                <w:kern w:val="0"/>
                <w:sz w:val="24"/>
              </w:rPr>
              <w:instrText>M. In addition, sensor SC successfully functioned as a visible fluorescent test kit for detecting In3+, and quantification of In3+ was also successful in real water samples with satisfactory recovery. Sensing mechanism of SC towards In3+ was identified by fluorescent and UV–vis titrations, FT-IR, NMR titration, ESI-MS and theoretical calculations.","author":[{"dropping-particle":"","family":"Lee","given":"Su Chan","non-dropping-particle":"","parse-names":false,"suffix":""},{"dropping-particle":"","family":"Kim","given":"Cheal","non-dropping-particle":"","parse-names":false,"suffix":""}],"container-title":"Inorganic Chemistry Communications","id":"ITEM-1","issued":{"date-parts":[["2020","2","1"]]},"page":"107752","publisher":"Elsevier","title":"A thiourea-naphthol based turn-on fluorescent sensor for detecting In&lt;sup&gt;3+&lt;/sup&gt; and its application","type":"article-journal","volume":"112"},"uris":["http://www.mendeley.com/documents/?uuid=189834c6-9e42-3e32-99c5-50464a06883f"]}],"mendeley":{"formattedCitation":"[3]","plainTextFormattedCitation":"[3]","previouslyFormattedCitation":"&lt;sup&gt;[&lt;sup&gt;3&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[3]</w:t>
            </w:r>
            <w:r w:rsidRPr="0069504D">
              <w:rPr>
                <w:rFonts w:ascii="Times New Roman" w:hAnsi="Times New Roman" w:cs="Times New Roman"/>
                <w:kern w:val="0"/>
                <w:sz w:val="24"/>
              </w:rPr>
              <w:fldChar w:fldCharType="end"/>
            </w:r>
          </w:p>
        </w:tc>
      </w:tr>
      <w:tr w:rsidR="0069504D" w:rsidRPr="0069504D" w14:paraId="57A7FC11" w14:textId="77777777" w:rsidTr="0098689A">
        <w:trPr>
          <w:trHeight w:val="254"/>
          <w:jc w:val="center"/>
        </w:trPr>
        <w:tc>
          <w:tcPr>
            <w:tcW w:w="1134" w:type="dxa"/>
            <w:tcBorders>
              <w:top w:val="nil"/>
              <w:left w:val="nil"/>
              <w:bottom w:val="nil"/>
              <w:right w:val="nil"/>
            </w:tcBorders>
            <w:vAlign w:val="center"/>
          </w:tcPr>
          <w:p w14:paraId="67ABE1AC"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4</w:t>
            </w:r>
          </w:p>
        </w:tc>
        <w:tc>
          <w:tcPr>
            <w:tcW w:w="2835" w:type="dxa"/>
            <w:tcBorders>
              <w:top w:val="nil"/>
              <w:left w:val="nil"/>
              <w:bottom w:val="nil"/>
              <w:right w:val="nil"/>
            </w:tcBorders>
            <w:tcMar>
              <w:top w:w="28" w:type="dxa"/>
              <w:left w:w="102" w:type="dxa"/>
              <w:bottom w:w="28" w:type="dxa"/>
              <w:right w:w="102" w:type="dxa"/>
            </w:tcMar>
            <w:vAlign w:val="center"/>
          </w:tcPr>
          <w:p w14:paraId="47FD72E7" w14:textId="12F2A47D"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019D07D6" wp14:editId="375F6CA7">
                  <wp:extent cx="872496" cy="1285875"/>
                  <wp:effectExtent l="0" t="0" r="381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83550" cy="1302166"/>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612DE594" w14:textId="7C029FE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6</w:t>
            </w:r>
            <w:r w:rsidR="009D6482" w:rsidRPr="0069504D">
              <w:rPr>
                <w:rFonts w:ascii="Times New Roman" w:hAnsi="Times New Roman" w:cs="Times New Roman"/>
                <w:kern w:val="0"/>
                <w:sz w:val="24"/>
              </w:rPr>
              <w:t>.</w:t>
            </w:r>
            <w:r w:rsidRPr="0069504D">
              <w:rPr>
                <w:rFonts w:ascii="Times New Roman" w:hAnsi="Times New Roman" w:cs="Times New Roman"/>
                <w:kern w:val="0"/>
                <w:sz w:val="24"/>
              </w:rPr>
              <w:t>4</w:t>
            </w:r>
            <w:r w:rsidR="009D6482" w:rsidRPr="0069504D">
              <w:rPr>
                <w:rFonts w:ascii="Times New Roman" w:hAnsi="Times New Roman" w:cs="Times New Roman" w:hint="eastAsia"/>
                <w:kern w:val="0"/>
                <w:sz w:val="24"/>
              </w:rPr>
              <w:t>×</w:t>
            </w:r>
            <w:r w:rsidR="009D6482" w:rsidRPr="0069504D">
              <w:rPr>
                <w:rFonts w:ascii="Times New Roman" w:hAnsi="Times New Roman" w:cs="Times New Roman" w:hint="eastAsia"/>
                <w:kern w:val="0"/>
                <w:sz w:val="24"/>
              </w:rPr>
              <w:t>1</w:t>
            </w:r>
            <w:r w:rsidR="009D6482" w:rsidRPr="0069504D">
              <w:rPr>
                <w:rFonts w:ascii="Times New Roman" w:hAnsi="Times New Roman" w:cs="Times New Roman"/>
                <w:kern w:val="0"/>
                <w:sz w:val="24"/>
              </w:rPr>
              <w:t>0</w:t>
            </w:r>
            <w:r w:rsidR="009D6482" w:rsidRPr="0069504D">
              <w:rPr>
                <w:rFonts w:ascii="Times New Roman" w:hAnsi="Times New Roman" w:cs="Times New Roman"/>
                <w:kern w:val="0"/>
                <w:sz w:val="24"/>
                <w:vertAlign w:val="superscript"/>
              </w:rPr>
              <w:t>-1</w:t>
            </w:r>
          </w:p>
        </w:tc>
        <w:tc>
          <w:tcPr>
            <w:tcW w:w="2025" w:type="dxa"/>
            <w:tcBorders>
              <w:top w:val="nil"/>
              <w:left w:val="nil"/>
              <w:bottom w:val="nil"/>
              <w:right w:val="nil"/>
            </w:tcBorders>
            <w:vAlign w:val="center"/>
          </w:tcPr>
          <w:p w14:paraId="07E993E7" w14:textId="710DF610"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26DBC1D6" w14:textId="0E6958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{"citationItems":[{"id":"ITEM-1","itemData":{"DOI":"10.1080/10739149.2022.2033987/SUPPL_FILE/LIST_A_2033987_SM7343.DOCX","ISSN":"15256030","abstract":"A new thiourea–quinoline-based chemosensor ATU (1-(4-acetylphenyl)-3-(quinolin-8-yl)thiourea) was developed for the determination of In3+ using the fluorescence turn-on response. ATU was able to determine In3+ in the presence of Ga3+ and Al3+. The results of a Job’s plot and electrospray ionization–mass spectrometry (ESI–MS) showed that ATU bound to In3+ in a 1:2 stoichiometry ratio. The detection limit for In3+ was 0.64 μM and the binding constant (K) was 5.0 × 1010 M−2, which is the highest value for In3+ chemosensors reported to date. Furthermore, ATU was employed in fluorescent test kits to detect In3+. Moreover, the mechanism of ATU for In3+ determination was evaluated by 1H nuclear magnetic resonance (NMR) titrations and density functional theory (DFT) calculations.","author":[{"dropping-particle":"","family":"Lee","given":"Minji","non-dropping-particle":"","parse-names":false,"suffix":""},{"dropping-particle":"","family":"Lee","given":"Jae Jun","non-dropping-particle":"","parse-names":false,"suffix":""},{"dropping-particle":"","family":"Kim","given":"Cheal","non-dropping-particle":"","parse-names":false,"suffix":""}],"container-title":"Instrumentation Science and Technology","id":"ITEM-1","issue":"5","issued":{"date-parts":[["2022"]]},"page":"481-495","publisher":"Taylor and Francis Ltd.","title":"Sensitive fluorescent determination of indium (III) by a thiourea–quinoline-based chemosensor","type":"article-journal","volume":"50"},"uris":["http://www.mendeley.com/documents/?uuid=1c8b5a03-d1e2-3e75-8627-1e888e00bcc8"]}],"mendeley":{"formattedCitation":"[4]","plainTextFormattedCitation":"[4]","previouslyFormattedCitation":"&lt;sup&gt;[&lt;sup&gt;4&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[4]</w:t>
            </w:r>
            <w:r w:rsidRPr="0069504D">
              <w:rPr>
                <w:rFonts w:ascii="Times New Roman" w:hAnsi="Times New Roman" w:cs="Times New Roman"/>
                <w:kern w:val="0"/>
                <w:sz w:val="24"/>
              </w:rPr>
              <w:fldChar w:fldCharType="end"/>
            </w:r>
          </w:p>
        </w:tc>
      </w:tr>
      <w:tr w:rsidR="0069504D" w:rsidRPr="0069504D" w14:paraId="57079A09" w14:textId="77777777" w:rsidTr="0098689A">
        <w:trPr>
          <w:trHeight w:val="254"/>
          <w:jc w:val="center"/>
        </w:trPr>
        <w:tc>
          <w:tcPr>
            <w:tcW w:w="1134" w:type="dxa"/>
            <w:tcBorders>
              <w:top w:val="nil"/>
              <w:left w:val="nil"/>
              <w:bottom w:val="nil"/>
              <w:right w:val="nil"/>
            </w:tcBorders>
            <w:vAlign w:val="center"/>
          </w:tcPr>
          <w:p w14:paraId="627E0365"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5</w:t>
            </w:r>
          </w:p>
        </w:tc>
        <w:tc>
          <w:tcPr>
            <w:tcW w:w="2835" w:type="dxa"/>
            <w:tcBorders>
              <w:top w:val="nil"/>
              <w:left w:val="nil"/>
              <w:bottom w:val="nil"/>
              <w:right w:val="nil"/>
            </w:tcBorders>
            <w:tcMar>
              <w:top w:w="28" w:type="dxa"/>
              <w:left w:w="102" w:type="dxa"/>
              <w:bottom w:w="28" w:type="dxa"/>
              <w:right w:w="102" w:type="dxa"/>
            </w:tcMar>
            <w:vAlign w:val="center"/>
          </w:tcPr>
          <w:p w14:paraId="17553720" w14:textId="678939F5"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16815A73" wp14:editId="62D81310">
                  <wp:extent cx="1526540" cy="698402"/>
                  <wp:effectExtent l="0" t="0" r="0" b="6985"/>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37318" cy="703333"/>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3B307CA6" w14:textId="03427A8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5</w:t>
            </w:r>
            <w:r w:rsidR="00DE44CF" w:rsidRPr="0069504D">
              <w:rPr>
                <w:rFonts w:ascii="Times New Roman" w:hAnsi="Times New Roman" w:cs="Times New Roman"/>
                <w:kern w:val="0"/>
                <w:sz w:val="24"/>
              </w:rPr>
              <w:t>.</w:t>
            </w:r>
            <w:r w:rsidRPr="0069504D">
              <w:rPr>
                <w:rFonts w:ascii="Times New Roman" w:hAnsi="Times New Roman" w:cs="Times New Roman"/>
                <w:kern w:val="0"/>
                <w:sz w:val="24"/>
              </w:rPr>
              <w:t>0</w:t>
            </w:r>
            <w:r w:rsidR="00DE44CF" w:rsidRPr="0069504D">
              <w:rPr>
                <w:rFonts w:ascii="Times New Roman" w:hAnsi="Times New Roman" w:cs="Times New Roman" w:hint="eastAsia"/>
                <w:kern w:val="0"/>
                <w:sz w:val="24"/>
              </w:rPr>
              <w:t>×</w:t>
            </w:r>
            <w:r w:rsidR="00DE44CF" w:rsidRPr="0069504D">
              <w:rPr>
                <w:rFonts w:ascii="Times New Roman" w:hAnsi="Times New Roman" w:cs="Times New Roman" w:hint="eastAsia"/>
                <w:kern w:val="0"/>
                <w:sz w:val="24"/>
              </w:rPr>
              <w:t>1</w:t>
            </w:r>
            <w:r w:rsidR="00DE44CF" w:rsidRPr="0069504D">
              <w:rPr>
                <w:rFonts w:ascii="Times New Roman" w:hAnsi="Times New Roman" w:cs="Times New Roman"/>
                <w:kern w:val="0"/>
                <w:sz w:val="24"/>
              </w:rPr>
              <w:t>0</w:t>
            </w:r>
            <w:r w:rsidR="00DE44CF" w:rsidRPr="0069504D">
              <w:rPr>
                <w:rFonts w:ascii="Times New Roman" w:hAnsi="Times New Roman" w:cs="Times New Roman"/>
                <w:kern w:val="0"/>
                <w:sz w:val="24"/>
                <w:vertAlign w:val="superscript"/>
              </w:rPr>
              <w:t>-2</w:t>
            </w:r>
          </w:p>
        </w:tc>
        <w:tc>
          <w:tcPr>
            <w:tcW w:w="2025" w:type="dxa"/>
            <w:tcBorders>
              <w:top w:val="nil"/>
              <w:left w:val="nil"/>
              <w:bottom w:val="nil"/>
              <w:right w:val="nil"/>
            </w:tcBorders>
            <w:vAlign w:val="center"/>
          </w:tcPr>
          <w:p w14:paraId="15A50E79" w14:textId="0444F3D4"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Zn</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 xml:space="preserve"> (colorimetric: ClO</w:t>
            </w:r>
            <w:r w:rsidRPr="0069504D">
              <w:rPr>
                <w:rFonts w:ascii="Times New Roman" w:hAnsi="Times New Roman" w:cs="Times New Roman"/>
                <w:kern w:val="0"/>
                <w:sz w:val="24"/>
                <w:vertAlign w:val="superscript"/>
              </w:rPr>
              <w:t>-</w:t>
            </w:r>
            <w:r w:rsidRPr="0069504D">
              <w:rPr>
                <w:rFonts w:ascii="Times New Roman" w:hAnsi="Times New Roman" w:cs="Times New Roman"/>
                <w:kern w:val="0"/>
                <w:sz w:val="24"/>
              </w:rPr>
              <w:t>)</w:t>
            </w:r>
          </w:p>
        </w:tc>
        <w:tc>
          <w:tcPr>
            <w:tcW w:w="1458" w:type="dxa"/>
            <w:tcBorders>
              <w:top w:val="nil"/>
              <w:left w:val="nil"/>
              <w:bottom w:val="nil"/>
              <w:right w:val="nil"/>
            </w:tcBorders>
            <w:tcMar>
              <w:top w:w="28" w:type="dxa"/>
              <w:left w:w="102" w:type="dxa"/>
              <w:bottom w:w="28" w:type="dxa"/>
              <w:right w:w="102" w:type="dxa"/>
            </w:tcMar>
            <w:vAlign w:val="center"/>
          </w:tcPr>
          <w:p w14:paraId="7828F9E4" w14:textId="4881C16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{"citationItems":[{"id":"ITEM-1","itemData":{"DOI":"10.1039/C9NJ00899C","ISSN":"13699261","abstract":"A new multi-target sensor, HQD ((E)-5-(diethylamino)-2-((2-(quinolin-2-yl)hydrazono)methyl)phenol), based on the hydrazono-quinoline moiety, was developed. Sensor HQD showed selectivity toward In3+ and Zn2+via fluorescence turn-on and ClO-via color change from yellow to colorless. The respective limits of detection for In3+, Zn2+ and ClO- were calculated to be 0.05, 0.08 and 3.10 μM, and were far below the WHO standard for zinc in drinking water (76.5 μM). Moreover, quantification of In3+ and Zn2+ was possible in real water samples. The processes of detection of In3+, Zn2+ and ClO- by HQD were demonstrated with the analyses of ESI-MS data, Job's plots, UV-Vis and 1H NMR titrations and computational studies.","author":[{"dropping-particle":"","family":"Kim","given":"Ahran","non-dropping-particle":"","parse-names":false,"suffix":""},{"dropping-particle":"","family":"Kim","given":"Cheal","non-dropping-particle":"","parse-names":false,"suffix":""}],"container-title":"New Journal of Chemistry","id":"ITEM-1","issue":"19","issued":{"date-parts":[["2019","5","14"]]},"page":"7320-7328","publisher":"Royal Society of Chemistry","title":"A hydrazono-quinoline-based chemosensor sensing In&lt;sup&gt;3+&lt;/sup&gt; and Zn&lt;sup&gt;2+&lt;/sup&gt; via fluorescence turn-on and ClO&lt;sup&gt;−&lt;/sup&gt; via color change in aqueous solution","type":"article-journal","volume":"43"},"uris":["http://www.mendeley.com/documents/?uuid=eb8f695e-5847-3559-99cc-a73d9daca3c0"]}],"mendeley":{"formattedCitation":"[5]","plainTextFormattedCitation":"[5]","previouslyFormattedCitation":"&lt;sup&gt;[&lt;sup&gt;5&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[5]</w:t>
            </w:r>
            <w:r w:rsidRPr="0069504D">
              <w:rPr>
                <w:rFonts w:ascii="Times New Roman" w:hAnsi="Times New Roman" w:cs="Times New Roman"/>
                <w:kern w:val="0"/>
                <w:sz w:val="24"/>
              </w:rPr>
              <w:fldChar w:fldCharType="end"/>
            </w:r>
          </w:p>
        </w:tc>
      </w:tr>
      <w:tr w:rsidR="0069504D" w:rsidRPr="0069504D" w14:paraId="492D888D" w14:textId="77777777" w:rsidTr="0098689A">
        <w:trPr>
          <w:trHeight w:val="254"/>
          <w:jc w:val="center"/>
        </w:trPr>
        <w:tc>
          <w:tcPr>
            <w:tcW w:w="1134" w:type="dxa"/>
            <w:tcBorders>
              <w:top w:val="nil"/>
              <w:left w:val="nil"/>
              <w:bottom w:val="nil"/>
              <w:right w:val="nil"/>
            </w:tcBorders>
            <w:vAlign w:val="center"/>
          </w:tcPr>
          <w:p w14:paraId="59AD2EFF"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6</w:t>
            </w:r>
          </w:p>
        </w:tc>
        <w:tc>
          <w:tcPr>
            <w:tcW w:w="2835" w:type="dxa"/>
            <w:tcBorders>
              <w:top w:val="nil"/>
              <w:left w:val="nil"/>
              <w:bottom w:val="nil"/>
              <w:right w:val="nil"/>
            </w:tcBorders>
            <w:tcMar>
              <w:top w:w="28" w:type="dxa"/>
              <w:left w:w="102" w:type="dxa"/>
              <w:bottom w:w="28" w:type="dxa"/>
              <w:right w:w="102" w:type="dxa"/>
            </w:tcMar>
            <w:vAlign w:val="center"/>
          </w:tcPr>
          <w:p w14:paraId="63F0E3C5" w14:textId="6045C1ED"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6F2D87D2" wp14:editId="16604932">
                  <wp:extent cx="1666875" cy="691111"/>
                  <wp:effectExtent l="0" t="0" r="0" b="0"/>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79160" cy="696205"/>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2B5EF56D" w14:textId="0DAD2AF5"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2</w:t>
            </w:r>
            <w:r w:rsidR="00083A41" w:rsidRPr="0069504D">
              <w:rPr>
                <w:rFonts w:ascii="Times New Roman" w:hAnsi="Times New Roman" w:cs="Times New Roman"/>
                <w:kern w:val="0"/>
                <w:sz w:val="24"/>
              </w:rPr>
              <w:t>.</w:t>
            </w:r>
            <w:r w:rsidRPr="0069504D">
              <w:rPr>
                <w:rFonts w:ascii="Times New Roman" w:hAnsi="Times New Roman" w:cs="Times New Roman"/>
                <w:kern w:val="0"/>
                <w:sz w:val="24"/>
              </w:rPr>
              <w:t>0</w:t>
            </w:r>
            <w:r w:rsidR="00083A41" w:rsidRPr="0069504D">
              <w:rPr>
                <w:rFonts w:ascii="Times New Roman" w:hAnsi="Times New Roman" w:cs="Times New Roman" w:hint="eastAsia"/>
                <w:kern w:val="0"/>
                <w:sz w:val="24"/>
              </w:rPr>
              <w:t>×</w:t>
            </w:r>
            <w:r w:rsidR="00083A41" w:rsidRPr="0069504D">
              <w:rPr>
                <w:rFonts w:ascii="Times New Roman" w:hAnsi="Times New Roman" w:cs="Times New Roman" w:hint="eastAsia"/>
                <w:kern w:val="0"/>
                <w:sz w:val="24"/>
              </w:rPr>
              <w:t>1</w:t>
            </w:r>
            <w:r w:rsidR="00083A41" w:rsidRPr="0069504D">
              <w:rPr>
                <w:rFonts w:ascii="Times New Roman" w:hAnsi="Times New Roman" w:cs="Times New Roman"/>
                <w:kern w:val="0"/>
                <w:sz w:val="24"/>
              </w:rPr>
              <w:t>0</w:t>
            </w:r>
            <w:r w:rsidR="00083A41" w:rsidRPr="0069504D">
              <w:rPr>
                <w:rFonts w:ascii="Times New Roman" w:hAnsi="Times New Roman" w:cs="Times New Roman"/>
                <w:kern w:val="0"/>
                <w:sz w:val="24"/>
                <w:vertAlign w:val="superscript"/>
              </w:rPr>
              <w:t>-5</w:t>
            </w:r>
          </w:p>
        </w:tc>
        <w:tc>
          <w:tcPr>
            <w:tcW w:w="2025" w:type="dxa"/>
            <w:tcBorders>
              <w:top w:val="nil"/>
              <w:left w:val="nil"/>
              <w:bottom w:val="nil"/>
              <w:right w:val="nil"/>
            </w:tcBorders>
            <w:vAlign w:val="center"/>
          </w:tcPr>
          <w:p w14:paraId="2A245C3E" w14:textId="056D4C4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Ga</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Fe</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4FF37071" w14:textId="35150F3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{"citationItems":[{"id":"ITEM-1","itemData":{"DOI":"10.1016/J.MOLSTRUC.2021.131461","ISSN":"0022-2860","abstract":"A new fluorescent sensor, (E)-N'-((3-hydroxypyridin-2-yl)methylene)-4,5-dihydronaphtho[1,2-b]thiophene-2-carbohydrazide (LB3), was designed and synthesized based on 4,5-dihydronaphtho[1,2-b]thiophene-2-carbohydrazide and 3-hydroxypicolinaldehyde. LB3 not only exhibited fluorescence turn-on response towards Ga3+ with a detection limit of 4.42 × 10−9 M in DMSO/H2O (9:1) buffer solution, but also showed fluorescence turn-on response towards In3+ with a detection limit of 1.99 × 10−11 M in the DMF/H2O (9:1) buffer solution and the new formed complex LB3[In3+] could be further employed as the turn-off response towards Fe3+ with a detection limit of 1.67 × 10−8 M. Moreover, LB3 showed high sensitivity and selectivity towards Ga3+, In3+ and Fe3+ in the presence of other metal ions. The complexation ratio of LB3 to Ga3+, In3+ and Fe3+ were 1: 2, which were testified by mass spectrometry and the Job's plot. The structure of LB3 was performed by 1H NMR, 13C NMR, FTIR and mass spectrum.","author":[{"dropping-particle":"","family":"Zhang","given":"Yanxia","non-dropping-particle":"","parse-names":false,"suffix":""},{"dropping-particle":"","family":"Li","given":"Bing","non-dropping-particle":"","parse-names":false,"suffix":""}],"container-title":"Journal of Molecular Structure","id":"ITEM-1","issued":{"date-parts":[["2022","2","15"]]},"page":"131461","publisher":"Elsevier","title":"A multifunctional selective fluorescent chemosensor for detection of Ga&lt;sup&gt;3+&lt;/sup&gt;, In&lt;sup&gt;3+&lt;/sup&gt; and Fe&lt;sup&gt;3+&lt;/sup&gt; in different solvents","type":"article-journal","volume":"1250"},"uris":["http://www.mendeley.com/documents/?uuid=e26a27a3-3c2d-3f85-a764-bac74a8e7056"]}],"mendeley":{"formattedCitation":"[6]","plainTextFormattedCitation":"[6]","previouslyFormattedCitation":"&lt;sup&gt;[&lt;sup&gt;6&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[6]</w:t>
            </w:r>
            <w:r w:rsidRPr="0069504D">
              <w:rPr>
                <w:rFonts w:ascii="Times New Roman" w:hAnsi="Times New Roman" w:cs="Times New Roman"/>
                <w:kern w:val="0"/>
                <w:sz w:val="24"/>
              </w:rPr>
              <w:fldChar w:fldCharType="end"/>
            </w:r>
          </w:p>
        </w:tc>
      </w:tr>
      <w:tr w:rsidR="0069504D" w:rsidRPr="0069504D" w14:paraId="772846EB" w14:textId="77777777" w:rsidTr="0098689A">
        <w:trPr>
          <w:trHeight w:val="254"/>
          <w:jc w:val="center"/>
        </w:trPr>
        <w:tc>
          <w:tcPr>
            <w:tcW w:w="1134" w:type="dxa"/>
            <w:tcBorders>
              <w:top w:val="nil"/>
              <w:left w:val="nil"/>
              <w:bottom w:val="nil"/>
              <w:right w:val="nil"/>
            </w:tcBorders>
            <w:vAlign w:val="center"/>
          </w:tcPr>
          <w:p w14:paraId="72DC5978"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lastRenderedPageBreak/>
              <w:t>7</w:t>
            </w:r>
          </w:p>
        </w:tc>
        <w:tc>
          <w:tcPr>
            <w:tcW w:w="2835" w:type="dxa"/>
            <w:tcBorders>
              <w:top w:val="nil"/>
              <w:left w:val="nil"/>
              <w:bottom w:val="nil"/>
              <w:right w:val="nil"/>
            </w:tcBorders>
            <w:tcMar>
              <w:top w:w="28" w:type="dxa"/>
              <w:left w:w="102" w:type="dxa"/>
              <w:bottom w:w="28" w:type="dxa"/>
              <w:right w:w="102" w:type="dxa"/>
            </w:tcMar>
            <w:vAlign w:val="center"/>
          </w:tcPr>
          <w:p w14:paraId="0A613F0B" w14:textId="778A8867"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189FC0C5" wp14:editId="06E4CAB9">
                  <wp:extent cx="1173192" cy="1150362"/>
                  <wp:effectExtent l="0" t="0" r="8255" b="0"/>
                  <wp:docPr id="41"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88961" cy="1165824"/>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4FBC3295" w14:textId="3AC48FB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w:t>
            </w:r>
            <w:r w:rsidR="000D0FCF" w:rsidRPr="0069504D">
              <w:rPr>
                <w:rFonts w:ascii="Times New Roman" w:hAnsi="Times New Roman" w:cs="Times New Roman"/>
                <w:kern w:val="0"/>
                <w:sz w:val="24"/>
              </w:rPr>
              <w:t>.</w:t>
            </w:r>
            <w:r w:rsidRPr="0069504D">
              <w:rPr>
                <w:rFonts w:ascii="Times New Roman" w:hAnsi="Times New Roman" w:cs="Times New Roman"/>
                <w:kern w:val="0"/>
                <w:sz w:val="24"/>
              </w:rPr>
              <w:t>0</w:t>
            </w:r>
            <w:r w:rsidR="00165C4B" w:rsidRPr="0069504D">
              <w:rPr>
                <w:rFonts w:ascii="Times New Roman" w:hAnsi="Times New Roman" w:cs="Times New Roman" w:hint="eastAsia"/>
                <w:kern w:val="0"/>
                <w:sz w:val="24"/>
              </w:rPr>
              <w:t>×</w:t>
            </w:r>
            <w:r w:rsidR="00165C4B" w:rsidRPr="0069504D">
              <w:rPr>
                <w:rFonts w:ascii="Times New Roman" w:hAnsi="Times New Roman" w:cs="Times New Roman" w:hint="eastAsia"/>
                <w:kern w:val="0"/>
                <w:sz w:val="24"/>
              </w:rPr>
              <w:t>1</w:t>
            </w:r>
            <w:r w:rsidR="00165C4B" w:rsidRPr="0069504D">
              <w:rPr>
                <w:rFonts w:ascii="Times New Roman" w:hAnsi="Times New Roman" w:cs="Times New Roman"/>
                <w:kern w:val="0"/>
                <w:sz w:val="24"/>
              </w:rPr>
              <w:t>0</w:t>
            </w:r>
          </w:p>
        </w:tc>
        <w:tc>
          <w:tcPr>
            <w:tcW w:w="2025" w:type="dxa"/>
            <w:tcBorders>
              <w:top w:val="nil"/>
              <w:left w:val="nil"/>
              <w:bottom w:val="nil"/>
              <w:right w:val="nil"/>
            </w:tcBorders>
            <w:vAlign w:val="center"/>
          </w:tcPr>
          <w:p w14:paraId="2E0766C5" w14:textId="06EA3A36"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Co</w:t>
            </w:r>
            <w:r w:rsidRPr="0069504D">
              <w:rPr>
                <w:rFonts w:ascii="Times New Roman" w:hAnsi="Times New Roman" w:cs="Times New Roman"/>
                <w:kern w:val="0"/>
                <w:sz w:val="24"/>
                <w:vertAlign w:val="superscript"/>
              </w:rPr>
              <w:t>2+</w:t>
            </w:r>
          </w:p>
        </w:tc>
        <w:tc>
          <w:tcPr>
            <w:tcW w:w="1458" w:type="dxa"/>
            <w:tcBorders>
              <w:top w:val="nil"/>
              <w:left w:val="nil"/>
              <w:bottom w:val="nil"/>
              <w:right w:val="nil"/>
            </w:tcBorders>
            <w:tcMar>
              <w:top w:w="28" w:type="dxa"/>
              <w:left w:w="102" w:type="dxa"/>
              <w:bottom w:w="28" w:type="dxa"/>
              <w:right w:w="102" w:type="dxa"/>
            </w:tcMar>
            <w:vAlign w:val="center"/>
          </w:tcPr>
          <w:p w14:paraId="6CFE69A8" w14:textId="50447E94"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{"citationItems":[{"id":"ITEM-1","itemData":{"DOI":"10.3390/MOLECULES22091569","ISSN":"1420-3049","PMID":"28925958","abstract":"Spiropyran derivatives have been studied as light-regulated chemosensors for a variety of metal cations and anions, but there is little research on chemosensors that simultaneously detect multiple metal cations. In this study, a spiropyran derivative with isoquinoline, SP-IQ, was prepared and it functions investigated as a light-regulated sensor for both Co2+ and In3+ cations. A colorless nonfluorescent SP-IQ converts to a pink-colored fluorescent MC-IQ by UV irradiation or standing in the dark, and MC-IQ returns to SP-IQ with visible light. Upon UV irradiation with the Co2+ cation for 7 min, the stronger absorption at 540 nm and the similar fluorescence intensity at 640 nm are observed, compared to when no metal cation is added, due to the formation of a Co2+ complex with pink color and pink fluorescence. When placed in the dark with the In3+ cation for 7 h, the colorless solution of SP-IQ changes to the In3+ complex with yellow color and pink fluorescence, which shows strong absorption at 410 nm and strong fluorescence at 640 nm. Selective detection of the Co2+ cation with UV irradiation and the In3+ cation in the dark could be possible with SP-IQ by both absorption and fluorescence spectroscopy or by the naked eye.","author":[{"dropping-particle":"","family":"Kho","given":"Yong Min","non-dropping-particle":"","parse-names":false,"suffix":""},{"dropping-particle":"","family":"Shin","given":"Eun Ju","non-dropping-particle":"","parse-names":false,"suffix":""}],"container-title":"Molecules","id":"ITEM-1","issue":"9","issued":{"date-parts":[["2017","9","19"]]},"page":"1569","publisher":"Multidisciplinary Digital Publishing Institute","title":"Spiropyran-Isoquinoline Dyad as a Dual Chemosensor for Co(II) and In(III) Detection","type":"article-journal","volume":"22"},"uris":["http://www.mendeley.com/documents/?uuid=fc2961a6-3430-3af1-ab60-6a2f06ebc99b"]}],"mendeley":{"formattedCitation":"[7]","plainTextFormattedCitation":"[7]","previouslyFormattedCitation":"&lt;sup&gt;[&lt;sup&gt;7&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[7]</w:t>
            </w:r>
            <w:r w:rsidRPr="0069504D">
              <w:rPr>
                <w:rFonts w:ascii="Times New Roman" w:hAnsi="Times New Roman" w:cs="Times New Roman"/>
                <w:kern w:val="0"/>
                <w:sz w:val="24"/>
              </w:rPr>
              <w:fldChar w:fldCharType="end"/>
            </w:r>
          </w:p>
        </w:tc>
      </w:tr>
      <w:tr w:rsidR="0069504D" w:rsidRPr="0069504D" w14:paraId="03A02D1D" w14:textId="77777777" w:rsidTr="0098689A">
        <w:trPr>
          <w:trHeight w:val="254"/>
          <w:jc w:val="center"/>
        </w:trPr>
        <w:tc>
          <w:tcPr>
            <w:tcW w:w="1134" w:type="dxa"/>
            <w:tcBorders>
              <w:top w:val="nil"/>
              <w:left w:val="nil"/>
              <w:bottom w:val="nil"/>
              <w:right w:val="nil"/>
            </w:tcBorders>
            <w:vAlign w:val="center"/>
          </w:tcPr>
          <w:p w14:paraId="5F358CFF"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8</w:t>
            </w:r>
          </w:p>
        </w:tc>
        <w:tc>
          <w:tcPr>
            <w:tcW w:w="2835" w:type="dxa"/>
            <w:tcBorders>
              <w:top w:val="nil"/>
              <w:left w:val="nil"/>
              <w:bottom w:val="nil"/>
              <w:right w:val="nil"/>
            </w:tcBorders>
            <w:tcMar>
              <w:top w:w="28" w:type="dxa"/>
              <w:left w:w="102" w:type="dxa"/>
              <w:bottom w:w="28" w:type="dxa"/>
              <w:right w:w="102" w:type="dxa"/>
            </w:tcMar>
            <w:vAlign w:val="center"/>
          </w:tcPr>
          <w:p w14:paraId="246EF492" w14:textId="6F81711E"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53DD7E77" wp14:editId="1241E098">
                  <wp:extent cx="1707803" cy="653143"/>
                  <wp:effectExtent l="0" t="0" r="6985" b="0"/>
                  <wp:docPr id="42"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09702" cy="653869"/>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4FA94806" w14:textId="3E6B3EF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6</w:t>
            </w:r>
            <w:r w:rsidR="00F169F2" w:rsidRPr="0069504D">
              <w:rPr>
                <w:rFonts w:ascii="Times New Roman" w:hAnsi="Times New Roman" w:cs="Times New Roman"/>
                <w:kern w:val="0"/>
                <w:sz w:val="24"/>
              </w:rPr>
              <w:t>.</w:t>
            </w:r>
            <w:r w:rsidRPr="0069504D">
              <w:rPr>
                <w:rFonts w:ascii="Times New Roman" w:hAnsi="Times New Roman" w:cs="Times New Roman"/>
                <w:kern w:val="0"/>
                <w:sz w:val="24"/>
              </w:rPr>
              <w:t>3</w:t>
            </w:r>
            <w:r w:rsidR="00F169F2" w:rsidRPr="0069504D">
              <w:rPr>
                <w:rFonts w:ascii="Times New Roman" w:hAnsi="Times New Roman" w:cs="Times New Roman" w:hint="eastAsia"/>
                <w:kern w:val="0"/>
                <w:sz w:val="24"/>
              </w:rPr>
              <w:t>×</w:t>
            </w:r>
            <w:r w:rsidR="00F169F2" w:rsidRPr="0069504D">
              <w:rPr>
                <w:rFonts w:ascii="Times New Roman" w:hAnsi="Times New Roman" w:cs="Times New Roman" w:hint="eastAsia"/>
                <w:kern w:val="0"/>
                <w:sz w:val="24"/>
              </w:rPr>
              <w:t>1</w:t>
            </w:r>
            <w:r w:rsidR="00F169F2" w:rsidRPr="0069504D">
              <w:rPr>
                <w:rFonts w:ascii="Times New Roman" w:hAnsi="Times New Roman" w:cs="Times New Roman"/>
                <w:kern w:val="0"/>
                <w:sz w:val="24"/>
              </w:rPr>
              <w:t>0</w:t>
            </w:r>
            <w:r w:rsidR="00AA4E33" w:rsidRPr="0069504D">
              <w:rPr>
                <w:rFonts w:ascii="Times New Roman" w:hAnsi="Times New Roman" w:cs="Times New Roman"/>
                <w:kern w:val="0"/>
                <w:sz w:val="24"/>
                <w:vertAlign w:val="superscript"/>
              </w:rPr>
              <w:t>-2</w:t>
            </w:r>
          </w:p>
        </w:tc>
        <w:tc>
          <w:tcPr>
            <w:tcW w:w="2025" w:type="dxa"/>
            <w:tcBorders>
              <w:top w:val="nil"/>
              <w:left w:val="nil"/>
              <w:bottom w:val="nil"/>
              <w:right w:val="nil"/>
            </w:tcBorders>
            <w:vAlign w:val="center"/>
          </w:tcPr>
          <w:p w14:paraId="4DC6B3D8" w14:textId="14E394B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5AEE50D7" w14:textId="611414C0"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{"citationItems":[{"id":"ITEM-1","itemData":{"DOI":"10.1016/J.JPHOTOCHEM.2022.114257","ISSN":"1010-6030","abstract":"Herein, we synthesized and characterized a new probe N',N'-bis((E)-2-hydroxy-3-methyl benzylidene)pyridine-2,6-dicarbohydrazide (L) for the detection and quantification of In3+ ions. Probe L exhibits a significant fluorescence ON upon the addition of In3+ in DMSO:H2O (2:8, v/v) media with a detection limit as low as 62.7 nM. The key sensing ability of L towards In3+ was attributed to the chelation-enhanced fluorescence (CHEF). The binding stoichiometry between L and In3+ was found to be 1:2 by Job's plot, nuclear magnetic resonance (NMR), and mass analysis, with the calculated association constant of (Ka), 1.42 × 103 M−2 by Benesi-Hildebrand (BH) method. Various techniques such as 1H NMR, FTIR, ESI mass, and DFT analysis were used to determine the mechanism by which L binds to the In3+ ions. The detection of In3+ in water samples demonstrates that L might be used to detect In3+ ions in environmental samples. Notably, the bio-imaging revealed that L successfully detected In3+ ions in DrG cells and zebrafish larvae.","author":[{"dropping-particle":"","family":"Mujthaba Aatif","given":"A.","non-dropping-particle":"","parse-names":false,"suffix":""},{"dropping-particle":"","family":"Selva Kumar","given":"R.","non-dropping-particle":"","parse-names":false,"suffix":""},{"dropping-particle":"","family":"Joseph","given":"Suman","non-dropping-particle":"","parse-names":false,"suffix":""},{"dropping-particle":"","family":"Vetriarasu","given":"V.","non-dropping-particle":"","parse-names":false,"suffix":""},{"dropping-particle":"","family":"Abdul Majeed","given":"S.","non-dropping-particle":"","parse-names":false,"suffix":""},{"dropping-particle":"","family":"Ashok Kumar","given":"S. K.","non-dropping-particle":"","parse-names":false,"suffix":""}],"container-title":"Journal of Photochemistry and Photobiology A: Chemistry","id":"ITEM-1","issued":{"date-parts":[["2023","1","1"]]},"page":"114257","publisher":"Elsevier","title":"Pyridinecarbohydrazide-based fluorescent chemosensor for In&lt;sup&gt;3+&lt;/sup&gt; ions and its applications in water samples, live cells, and zebrafish imaging","type":"article-journal","volume":"434"},"uris":["http://www.mendeley.com/documents/?uuid=bf920d3f-b4b6-3205-b5b5-6adcebf41a1c"]}],"mendeley":{"formattedCitation":"[8]","plainTextFormattedCitation":"[8]","previouslyFormattedCitation":"&lt;sup&gt;[&lt;sup&gt;8&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[8]</w:t>
            </w:r>
            <w:r w:rsidRPr="0069504D">
              <w:rPr>
                <w:rFonts w:ascii="Times New Roman" w:hAnsi="Times New Roman" w:cs="Times New Roman"/>
                <w:kern w:val="0"/>
                <w:sz w:val="24"/>
              </w:rPr>
              <w:fldChar w:fldCharType="end"/>
            </w:r>
          </w:p>
        </w:tc>
      </w:tr>
      <w:tr w:rsidR="0069504D" w:rsidRPr="0069504D" w14:paraId="0FD76E9C" w14:textId="77777777" w:rsidTr="0098689A">
        <w:trPr>
          <w:trHeight w:val="254"/>
          <w:jc w:val="center"/>
        </w:trPr>
        <w:tc>
          <w:tcPr>
            <w:tcW w:w="1134" w:type="dxa"/>
            <w:tcBorders>
              <w:top w:val="nil"/>
              <w:left w:val="nil"/>
              <w:bottom w:val="nil"/>
              <w:right w:val="nil"/>
            </w:tcBorders>
            <w:vAlign w:val="center"/>
          </w:tcPr>
          <w:p w14:paraId="32EF5F51"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9</w:t>
            </w:r>
          </w:p>
        </w:tc>
        <w:tc>
          <w:tcPr>
            <w:tcW w:w="2835" w:type="dxa"/>
            <w:tcBorders>
              <w:top w:val="nil"/>
              <w:left w:val="nil"/>
              <w:bottom w:val="nil"/>
              <w:right w:val="nil"/>
            </w:tcBorders>
            <w:tcMar>
              <w:top w:w="28" w:type="dxa"/>
              <w:left w:w="102" w:type="dxa"/>
              <w:bottom w:w="28" w:type="dxa"/>
              <w:right w:w="102" w:type="dxa"/>
            </w:tcMar>
            <w:vAlign w:val="center"/>
          </w:tcPr>
          <w:p w14:paraId="24287F98" w14:textId="70E9EC8D" w:rsidR="0098689A" w:rsidRPr="0069504D" w:rsidRDefault="0098689A" w:rsidP="00986B49">
            <w:pPr>
              <w:widowControl/>
              <w:wordWrap/>
              <w:adjustRightInd w:val="0"/>
              <w:spacing w:afterLines="100" w:after="240" w:line="360" w:lineRule="auto"/>
              <w:jc w:val="center"/>
              <w:rPr>
                <w:rFonts w:ascii="Times New Roman" w:hAnsi="Times New Roman" w:cs="Times New Roman"/>
                <w:b/>
                <w:bCs/>
                <w:noProof/>
                <w:kern w:val="0"/>
                <w:sz w:val="24"/>
              </w:rPr>
            </w:pPr>
            <w:r w:rsidRPr="0069504D">
              <w:rPr>
                <w:rFonts w:ascii="Times New Roman" w:hAnsi="Times New Roman" w:cs="Times New Roman"/>
                <w:noProof/>
              </w:rPr>
              <w:drawing>
                <wp:inline distT="0" distB="0" distL="0" distR="0" wp14:anchorId="5924CDD7" wp14:editId="0451E257">
                  <wp:extent cx="1264722" cy="806147"/>
                  <wp:effectExtent l="0" t="0" r="0" b="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72923" cy="811374"/>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40B3A38A" w14:textId="312E128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1.7</w:t>
            </w:r>
          </w:p>
        </w:tc>
        <w:tc>
          <w:tcPr>
            <w:tcW w:w="2025" w:type="dxa"/>
            <w:tcBorders>
              <w:top w:val="nil"/>
              <w:left w:val="nil"/>
              <w:bottom w:val="nil"/>
              <w:right w:val="nil"/>
            </w:tcBorders>
            <w:vAlign w:val="center"/>
          </w:tcPr>
          <w:p w14:paraId="7BAC49F2" w14:textId="4A2F1A1E"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1B9DCD3D" w14:textId="5C8F3B9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{"citationItems":[{"id":"ITEM-1","itemData":{"DOI":"10.1016/J.JPHOTOCHEM.2022.114249","ISSN":"1010-6030","abstract":"A rhodanine-based fluorescence chemosensor HTO, 3-((2-hydroxybenzylidene)amino)-2-thioxothiazolidin-4-one, was prepared by the reaction of a 3-aminorhodanine and a salicylaldehyde for detecting In3+. HTO could detect In3+ with turn-on fluorescence in a near-perfect aqueous media. Detection limit was calculated to be 1.69 μM and the binding feature of HTO with In3+ was determined to be 1:1 by Job plot and ESI-mass. The sensing behavior of HTO toward In3+ was proposed by using photophysical experiments, ESI-mass and theoretical calculations. In a very rare case, HTO was successfully applied to detect In3+ in live organisms (Hela cells and zebrafish).","author":[{"dropping-particle":"","family":"Yang","given":"Minuk","non-dropping-particle":"","parse-names":false,"suffix":""},{"dropping-particle":"","family":"Lee","given":"Jae Jun","non-dropping-particle":"","parse-names":false,"suffix":""},{"dropping-particle":"","family":"Yun","given":"Dongju","non-dropping-particle":"","parse-names":false,"suffix":""},{"dropping-particle":"","family":"So","given":"Haeri","non-dropping-particle":"","parse-names":false,"suffix":""},{"dropping-particle":"","family":"Yi","given":"Yelim","non-dropping-particle":"","parse-names":false,"suffix":""},{"dropping-particle":"","family":"Lim","given":"Mi Hee","non-dropping-particle":"","parse-names":false,"suffix":""},{"dropping-particle":"","family":"Lee","given":"Hyojin","non-dropping-particle":"","parse-names":false,"suffix":""},{"dropping-particle":"","family":"Kim","given":"Ki Tae","non-dropping-particle":"","parse-names":false,"suffix":""},{"dropping-particle":"","family":"Kim","given":"Cheal","non-dropping-particle":"","parse-names":false,"suffix":""}],"container-title":"Journal of Photochemistry and Photobiology A: Chemistry","id":"ITEM-1","issued":{"date-parts":[["2023","1","1"]]},"page":"114249","publisher":"Elsevier","title":"In vitro and vivo application of a rhodanine-based fluorescence sensor for detection and bioimaging of In&lt;sup&gt;3+&lt;/sup&gt; at neutral pH","type":"article-journal","volume":"434"},"uris":["http://www.mendeley.com/documents/?uuid=68751f1b-6d91-378c-b4b0-094ca1284ec1"]}],"mendeley":{"formattedCitation":"[9]","plainTextFormattedCitation":"[9]","previouslyFormattedCitation":"&lt;sup&gt;[&lt;sup&gt;9&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[9]</w:t>
            </w:r>
            <w:r w:rsidRPr="0069504D">
              <w:rPr>
                <w:rFonts w:ascii="Times New Roman" w:hAnsi="Times New Roman" w:cs="Times New Roman"/>
                <w:kern w:val="0"/>
                <w:sz w:val="24"/>
              </w:rPr>
              <w:fldChar w:fldCharType="end"/>
            </w:r>
          </w:p>
        </w:tc>
      </w:tr>
      <w:tr w:rsidR="0069504D" w:rsidRPr="0069504D" w14:paraId="74186451" w14:textId="77777777" w:rsidTr="0098689A">
        <w:trPr>
          <w:trHeight w:val="254"/>
          <w:jc w:val="center"/>
        </w:trPr>
        <w:tc>
          <w:tcPr>
            <w:tcW w:w="1134" w:type="dxa"/>
            <w:tcBorders>
              <w:top w:val="nil"/>
              <w:left w:val="nil"/>
              <w:bottom w:val="nil"/>
              <w:right w:val="nil"/>
            </w:tcBorders>
            <w:vAlign w:val="center"/>
          </w:tcPr>
          <w:p w14:paraId="56BB1B28"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10</w:t>
            </w:r>
          </w:p>
        </w:tc>
        <w:tc>
          <w:tcPr>
            <w:tcW w:w="2835" w:type="dxa"/>
            <w:tcBorders>
              <w:top w:val="nil"/>
              <w:left w:val="nil"/>
              <w:bottom w:val="nil"/>
              <w:right w:val="nil"/>
            </w:tcBorders>
            <w:tcMar>
              <w:top w:w="28" w:type="dxa"/>
              <w:left w:w="102" w:type="dxa"/>
              <w:bottom w:w="28" w:type="dxa"/>
              <w:right w:w="102" w:type="dxa"/>
            </w:tcMar>
            <w:vAlign w:val="center"/>
          </w:tcPr>
          <w:p w14:paraId="630DA81E" w14:textId="318C4A66" w:rsidR="0098689A" w:rsidRPr="0069504D" w:rsidRDefault="0098689A" w:rsidP="00986B49">
            <w:pPr>
              <w:widowControl/>
              <w:wordWrap/>
              <w:adjustRightInd w:val="0"/>
              <w:spacing w:afterLines="100" w:after="240" w:line="360" w:lineRule="auto"/>
              <w:jc w:val="center"/>
              <w:rPr>
                <w:rFonts w:ascii="Times New Roman" w:eastAsia="맑은 고딕" w:hAnsi="Times New Roman" w:cs="Times New Roman"/>
                <w:noProof/>
                <w:szCs w:val="20"/>
              </w:rPr>
            </w:pPr>
            <w:r w:rsidRPr="0069504D">
              <w:rPr>
                <w:rFonts w:ascii="Times New Roman" w:hAnsi="Times New Roman" w:cs="Times New Roman"/>
                <w:noProof/>
              </w:rPr>
              <w:drawing>
                <wp:inline distT="0" distB="0" distL="0" distR="0" wp14:anchorId="6E0EED24" wp14:editId="5464E325">
                  <wp:extent cx="1721922" cy="685896"/>
                  <wp:effectExtent l="0" t="0" r="0" b="0"/>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28695" cy="688594"/>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1DF777E5" w14:textId="6AF3B3C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2</w:t>
            </w:r>
            <w:r w:rsidR="001E2429" w:rsidRPr="0069504D">
              <w:rPr>
                <w:rFonts w:ascii="Times New Roman" w:hAnsi="Times New Roman" w:cs="Times New Roman"/>
                <w:kern w:val="0"/>
                <w:sz w:val="24"/>
              </w:rPr>
              <w:t>.</w:t>
            </w:r>
            <w:r w:rsidRPr="0069504D">
              <w:rPr>
                <w:rFonts w:ascii="Times New Roman" w:hAnsi="Times New Roman" w:cs="Times New Roman"/>
                <w:kern w:val="0"/>
                <w:sz w:val="24"/>
              </w:rPr>
              <w:t>9</w:t>
            </w:r>
            <w:r w:rsidR="001E2429" w:rsidRPr="0069504D">
              <w:rPr>
                <w:rFonts w:ascii="Times New Roman" w:hAnsi="Times New Roman" w:cs="Times New Roman" w:hint="eastAsia"/>
                <w:kern w:val="0"/>
                <w:sz w:val="24"/>
              </w:rPr>
              <w:t>×</w:t>
            </w:r>
            <w:r w:rsidR="001E2429" w:rsidRPr="0069504D">
              <w:rPr>
                <w:rFonts w:ascii="Times New Roman" w:hAnsi="Times New Roman" w:cs="Times New Roman" w:hint="eastAsia"/>
                <w:kern w:val="0"/>
                <w:sz w:val="24"/>
              </w:rPr>
              <w:t>1</w:t>
            </w:r>
            <w:r w:rsidR="001E2429" w:rsidRPr="0069504D">
              <w:rPr>
                <w:rFonts w:ascii="Times New Roman" w:hAnsi="Times New Roman" w:cs="Times New Roman"/>
                <w:kern w:val="0"/>
                <w:sz w:val="24"/>
              </w:rPr>
              <w:t>0</w:t>
            </w:r>
            <w:r w:rsidR="00A80F06" w:rsidRPr="0069504D">
              <w:rPr>
                <w:rFonts w:ascii="Times New Roman" w:hAnsi="Times New Roman" w:cs="Times New Roman"/>
                <w:kern w:val="0"/>
                <w:sz w:val="24"/>
                <w:vertAlign w:val="superscript"/>
              </w:rPr>
              <w:t>-2</w:t>
            </w:r>
          </w:p>
        </w:tc>
        <w:tc>
          <w:tcPr>
            <w:tcW w:w="2025" w:type="dxa"/>
            <w:tcBorders>
              <w:top w:val="nil"/>
              <w:left w:val="nil"/>
              <w:bottom w:val="nil"/>
              <w:right w:val="nil"/>
            </w:tcBorders>
            <w:vAlign w:val="center"/>
          </w:tcPr>
          <w:p w14:paraId="4D7A4918" w14:textId="4A1DC2D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Zn</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 xml:space="preserve"> and PPi</w:t>
            </w:r>
          </w:p>
        </w:tc>
        <w:tc>
          <w:tcPr>
            <w:tcW w:w="1458" w:type="dxa"/>
            <w:tcBorders>
              <w:top w:val="nil"/>
              <w:left w:val="nil"/>
              <w:bottom w:val="nil"/>
              <w:right w:val="nil"/>
            </w:tcBorders>
            <w:tcMar>
              <w:top w:w="28" w:type="dxa"/>
              <w:left w:w="102" w:type="dxa"/>
              <w:bottom w:w="28" w:type="dxa"/>
              <w:right w:w="102" w:type="dxa"/>
            </w:tcMar>
            <w:vAlign w:val="center"/>
          </w:tcPr>
          <w:p w14:paraId="6752F1F0" w14:textId="26CBDEF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{"citationItems":[{"id":"ITEM-1","itemData":{"DOI":"10.1016/J.JPHOTOCHEM.2019.112348","ISSN":"1010-6030","abstract":"A simple multifunctional sensor, X, was designed and synthesized based on 8-hydroxy-2,3,6,7-tetrahydro-1H,5H-pyrido[3,2,1-ij]quinoline-9-carbaldehyde and imidazo[2,1-b]thiazole, which could sequentially identify Zn2+ and PPi in acetonitrile buffer solution through the presence or absence of fluorescent signals and could detect In3+ in DMF buffer solution with obvious fluorescence enhancement. The detection limit for Zn2+, PPi and In3+ were calculated to be 4.58 × 10−8 M, 1.07 × 10−8 M and 2.9 × 10−8 M, respectively. Moreover, X could quantitatively detect Zn2+, PPi and In3+ in real water samples with the satisfactory recovery rate (90.1 %–97.6 %) and RSD (0.86 %–3.09 %). In addition, the complexation ratio between X and metal ions (Zn2+ and In3+) was 1:1, which was proved by mass spectrometry titration. The binding mode and sensing mechanism of X to metal ions (Zn2+ and In3+) were verified by Gaussian calculation based on B3LYP/6-31 G(d) and B3LYP/LanL2DZ basis set.","author":[{"dropping-particle":"","family":"Xu","given":"Yuankang","non-dropping-particle":"","parse-names":false,"suffix":""},{"dropping-particle":"","family":"Yuan","given":"Shufang","non-dropping-particle":"","parse-names":false,"suffix":""},{"dropping-particle":"","family":"Zhang","given":"Yanxia","non-dropping-particle":"","parse-names":false,"suffix":""},{"dropping-particle":"","family":"Wang","given":"Hanyu","non-dropping-particle":"","parse-names":false,"suffix":""},{"dropping-particle":"","family":"Yang","given":"Xiaofeng","non-dropping-particle":"","parse-names":false,"suffix":""},{"dropping-particle":"","family":"Pei","given":"Meishan","non-dropping-particle":"","parse-names":false,"suffix":""},{"dropping-particle":"","family":"Zhang","given":"Guangyou","non-dropping-particle":"","parse-names":false,"suffix":""}],"container-title":"Journal of Photochemistry and Photobiology A: Chemistry","id":"ITEM-1","issued":{"date-parts":[["2020","4","1"]]},"page":"112348","publisher":"Elsevier","title":"A new multifunctional sensor for sequential recognizing of Zn&lt;sup&gt;2+&lt;/sup&gt; and PPi in acetonitrile solution and detection of In&lt;sup&gt;3+&lt;/sup&gt; in DMF solution","type":"article-journal","volume":"392"},"uris":["http://www.mendeley.com/documents/?uuid=b42f98e6-fefa-3d02-a78d-8eca3b77eb7f"]}],"mendeley":{"formattedCitation":"[10]","plainTextFormattedCitation":"[10]","previouslyFormattedCitation":"&lt;sup&gt;[&lt;sup&gt;10&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[10]</w:t>
            </w:r>
            <w:r w:rsidRPr="0069504D">
              <w:rPr>
                <w:rFonts w:ascii="Times New Roman" w:hAnsi="Times New Roman" w:cs="Times New Roman"/>
                <w:kern w:val="0"/>
                <w:sz w:val="24"/>
              </w:rPr>
              <w:fldChar w:fldCharType="end"/>
            </w:r>
          </w:p>
        </w:tc>
      </w:tr>
      <w:tr w:rsidR="0069504D" w:rsidRPr="0069504D" w14:paraId="5F705DB0" w14:textId="77777777" w:rsidTr="0098689A">
        <w:trPr>
          <w:trHeight w:val="254"/>
          <w:jc w:val="center"/>
        </w:trPr>
        <w:tc>
          <w:tcPr>
            <w:tcW w:w="1134" w:type="dxa"/>
            <w:tcBorders>
              <w:top w:val="nil"/>
              <w:left w:val="nil"/>
              <w:bottom w:val="nil"/>
              <w:right w:val="nil"/>
            </w:tcBorders>
            <w:vAlign w:val="center"/>
          </w:tcPr>
          <w:p w14:paraId="66CD7959" w14:textId="7777777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11</w:t>
            </w:r>
          </w:p>
        </w:tc>
        <w:tc>
          <w:tcPr>
            <w:tcW w:w="2835" w:type="dxa"/>
            <w:tcBorders>
              <w:top w:val="nil"/>
              <w:left w:val="nil"/>
              <w:bottom w:val="nil"/>
              <w:right w:val="nil"/>
            </w:tcBorders>
            <w:tcMar>
              <w:top w:w="28" w:type="dxa"/>
              <w:left w:w="102" w:type="dxa"/>
              <w:bottom w:w="28" w:type="dxa"/>
              <w:right w:w="102" w:type="dxa"/>
            </w:tcMar>
            <w:vAlign w:val="center"/>
          </w:tcPr>
          <w:p w14:paraId="73B54A55" w14:textId="38CFE280"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1A3111A2" wp14:editId="3D6ADD7B">
                  <wp:extent cx="1282275" cy="1000664"/>
                  <wp:effectExtent l="0" t="0" r="0" b="9525"/>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97827" cy="1012801"/>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0CF19A84" w14:textId="13178997"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5</w:t>
            </w:r>
            <w:r w:rsidR="004741C5" w:rsidRPr="0069504D">
              <w:rPr>
                <w:rFonts w:ascii="Times New Roman" w:hAnsi="Times New Roman" w:cs="Times New Roman"/>
                <w:kern w:val="0"/>
                <w:sz w:val="24"/>
              </w:rPr>
              <w:t>.</w:t>
            </w:r>
            <w:r w:rsidRPr="0069504D">
              <w:rPr>
                <w:rFonts w:ascii="Times New Roman" w:hAnsi="Times New Roman" w:cs="Times New Roman"/>
                <w:kern w:val="0"/>
                <w:sz w:val="24"/>
              </w:rPr>
              <w:t>3</w:t>
            </w:r>
            <w:r w:rsidR="004741C5" w:rsidRPr="0069504D">
              <w:rPr>
                <w:rFonts w:ascii="Times New Roman" w:hAnsi="Times New Roman" w:cs="Times New Roman" w:hint="eastAsia"/>
                <w:kern w:val="0"/>
                <w:sz w:val="24"/>
              </w:rPr>
              <w:t>×</w:t>
            </w:r>
            <w:r w:rsidR="004741C5" w:rsidRPr="0069504D">
              <w:rPr>
                <w:rFonts w:ascii="Times New Roman" w:hAnsi="Times New Roman" w:cs="Times New Roman" w:hint="eastAsia"/>
                <w:kern w:val="0"/>
                <w:sz w:val="24"/>
              </w:rPr>
              <w:t>1</w:t>
            </w:r>
            <w:r w:rsidR="004741C5" w:rsidRPr="0069504D">
              <w:rPr>
                <w:rFonts w:ascii="Times New Roman" w:hAnsi="Times New Roman" w:cs="Times New Roman"/>
                <w:kern w:val="0"/>
                <w:sz w:val="24"/>
              </w:rPr>
              <w:t>0</w:t>
            </w:r>
            <w:r w:rsidR="004741C5" w:rsidRPr="0069504D">
              <w:rPr>
                <w:rFonts w:ascii="Times New Roman" w:hAnsi="Times New Roman" w:cs="Times New Roman"/>
                <w:kern w:val="0"/>
                <w:sz w:val="24"/>
                <w:vertAlign w:val="superscript"/>
              </w:rPr>
              <w:t>-1</w:t>
            </w:r>
          </w:p>
        </w:tc>
        <w:tc>
          <w:tcPr>
            <w:tcW w:w="2025" w:type="dxa"/>
            <w:tcBorders>
              <w:top w:val="nil"/>
              <w:left w:val="nil"/>
              <w:bottom w:val="nil"/>
              <w:right w:val="nil"/>
            </w:tcBorders>
            <w:vAlign w:val="center"/>
          </w:tcPr>
          <w:p w14:paraId="3FFDF0BD" w14:textId="75F38AB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Fe</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 xml:space="preserve"> and Fe</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0C0964E5" w14:textId="12B60DA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{"citationItems":[{"id":"ITEM-1","itemData":{"DOI":"10.1021/ACS.INORGCHEM.9B01478/ASSET/IMAGES/LARGE/IC9B01478_0008.JPEG","ISSN":"1520510X","PMID":"31584806","abstract":"Indium is a nonphysiological toxic metal widely used in industry. While misunderstood, its toxicity is proposed to be linked to a perturbation of Fe3+ homeostasis through the binding of In3+ ions to essential iron metalloproteins such as transferrins. Therefore, the monitoring of In3+ and Fe3+ in biological environments is of prime interest for both basic research and diagnosis. Here we report the design of a salen-type anthracene-based probe able to selectively sense and discriminate In3+ and Fe2+/3+ ions by fluoro-colorimetry.","author":[{"dropping-particle":"","family":"Finelli","given":"Alba","non-dropping-particle":"","parse-names":false,"suffix":""},{"dropping-particle":"","family":"Chabert","given":"Valentin","non-dropping-particle":"","parse-names":false,"suffix":""},{"dropping-particle":"","family":"Hérault","given":"Nelly","non-dropping-particle":"","parse-names":false,"suffix":""},{"dropping-particle":"","family":"Crochet","given":"Aurélien","non-dropping-particle":"","parse-names":false,"suffix":""},{"dropping-particle":"","family":"Kim","given":"Cheal","non-dropping-particle":"","parse-names":false,"suffix":""},{"dropping-particle":"","family":"Fromm","given":"Katharina M.","non-dropping-particle":"","parse-names":false,"suffix":""}],"container-title":"Inorganic Chemistry","id":"ITEM-1","issue":"20","issued":{"date-parts":[["2019","10","21"]]},"page":"13796-13806","publisher":"American Chemical Society","title":"Sequential Multiple-Target Sensor: In&lt;sup&gt;3+&lt;/sup&gt;, Fe&lt;sup&gt;2+&lt;/sup&gt;, and Fe&lt;sup&gt;3+&lt;/sup&gt; Discrimination by an Anthracene-Based Probe","type":"article-journal","volume":"58"},"uris":["http://www.mendeley.com/documents/?uuid=fb4ae67b-eaa0-3bb1-ab3e-c2edd1713586"]}],"mendeley":{"formattedCitation":"[11]","plainTextFormattedCitation":"[11]","previouslyFormattedCitation":"&lt;sup&gt;[&lt;sup&gt;11&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[11]</w:t>
            </w:r>
            <w:r w:rsidRPr="0069504D">
              <w:rPr>
                <w:rFonts w:ascii="Times New Roman" w:hAnsi="Times New Roman" w:cs="Times New Roman"/>
                <w:kern w:val="0"/>
                <w:sz w:val="24"/>
              </w:rPr>
              <w:fldChar w:fldCharType="end"/>
            </w:r>
          </w:p>
        </w:tc>
      </w:tr>
      <w:tr w:rsidR="0069504D" w:rsidRPr="0069504D" w14:paraId="524CAAF7" w14:textId="77777777" w:rsidTr="0098689A">
        <w:trPr>
          <w:trHeight w:val="343"/>
          <w:jc w:val="center"/>
        </w:trPr>
        <w:tc>
          <w:tcPr>
            <w:tcW w:w="1134" w:type="dxa"/>
            <w:tcBorders>
              <w:top w:val="nil"/>
              <w:left w:val="nil"/>
              <w:bottom w:val="nil"/>
              <w:right w:val="nil"/>
            </w:tcBorders>
            <w:vAlign w:val="center"/>
          </w:tcPr>
          <w:p w14:paraId="74C70120" w14:textId="105CA63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12</w:t>
            </w:r>
          </w:p>
        </w:tc>
        <w:tc>
          <w:tcPr>
            <w:tcW w:w="2835" w:type="dxa"/>
            <w:tcBorders>
              <w:top w:val="nil"/>
              <w:left w:val="nil"/>
              <w:bottom w:val="nil"/>
              <w:right w:val="nil"/>
            </w:tcBorders>
            <w:tcMar>
              <w:top w:w="28" w:type="dxa"/>
              <w:left w:w="102" w:type="dxa"/>
              <w:bottom w:w="28" w:type="dxa"/>
              <w:right w:w="102" w:type="dxa"/>
            </w:tcMar>
            <w:vAlign w:val="center"/>
          </w:tcPr>
          <w:p w14:paraId="118320D0" w14:textId="362B0B4B"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2C5D19C2" wp14:editId="47BF85C2">
                  <wp:extent cx="1662545" cy="947480"/>
                  <wp:effectExtent l="0" t="0" r="0" b="508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66711" cy="949854"/>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6E8E8C86" w14:textId="681D66C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No data</w:t>
            </w:r>
          </w:p>
        </w:tc>
        <w:tc>
          <w:tcPr>
            <w:tcW w:w="2025" w:type="dxa"/>
            <w:tcBorders>
              <w:top w:val="nil"/>
              <w:left w:val="nil"/>
              <w:bottom w:val="nil"/>
              <w:right w:val="nil"/>
            </w:tcBorders>
            <w:vAlign w:val="center"/>
          </w:tcPr>
          <w:p w14:paraId="13AE2DF0" w14:textId="6EBF69BD"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Pb</w:t>
            </w:r>
            <w:r w:rsidRPr="0069504D">
              <w:rPr>
                <w:rFonts w:ascii="Times New Roman" w:hAnsi="Times New Roman" w:cs="Times New Roman"/>
                <w:kern w:val="0"/>
                <w:sz w:val="24"/>
                <w:vertAlign w:val="superscript"/>
              </w:rPr>
              <w:t>2+</w:t>
            </w:r>
          </w:p>
        </w:tc>
        <w:tc>
          <w:tcPr>
            <w:tcW w:w="1458" w:type="dxa"/>
            <w:tcBorders>
              <w:top w:val="nil"/>
              <w:left w:val="nil"/>
              <w:bottom w:val="nil"/>
              <w:right w:val="nil"/>
            </w:tcBorders>
            <w:tcMar>
              <w:top w:w="28" w:type="dxa"/>
              <w:left w:w="102" w:type="dxa"/>
              <w:bottom w:w="28" w:type="dxa"/>
              <w:right w:w="102" w:type="dxa"/>
            </w:tcMar>
            <w:vAlign w:val="center"/>
          </w:tcPr>
          <w:p w14:paraId="1C24FEB8" w14:textId="742045A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{"citationItems":[{"id":"ITEM-1","itemData":{"DOI":"10.1021/IC050702V/SUPPL_FILE/IC050702VSI20050723_075824.PDF","ISSN":"00201669","PMID":"16241136","abstract":"New fluorogenic or/and chromogenic calix[4]arenes 1-3 with two facing amide groups linked to fluorescent pyrene units are synthesized. Orientations of the pyrene units are remote from each other in 1 and face-to-face π-stacked in 2, which produces different photophysical properties. In the excited state, the two pyrene units of 2 form a strong intramolecular excimer displaying an emission at 472 nm with a relatively weak monomer emission at 395 nm. In contrast, 1 exhibits only a monomer emission at 398 nm because intramolecular hydrogen bonding between the phenolic OH oxygens and the amide hydrogens prevents π-stacking of the two pyrene groups. Fluorescence changes upon addition of various metal ions show that 1 has a remarkably high selectivity for ln3+ over the other metal ions tested. Compound 1 forms 2:1 (metal:ligand), as well as 1:1 complexes, with ln3+, with fluorescence varying uniquely with the complex stoichiometry. Compound 3, which possess two pyrene units and two chromogenic azo groups, shows almost the same binding behavior toward metal ions as does 1, together with additional bathochromic shifts of the absorption maximum. Compared with 1, compound 3 emits a considerably weaker fluorescence, which is attributed to electron transfer from the pyrene units to the nitro groups of the phenylazo moieties. © 2005 American Chemical Society.","author":[{"dropping-particle":"","family":"Sung","given":"Kuk Kim","non-dropping-particle":"","parse-names":false,"suffix":""},{"dropping-particle":"","family":"Su","given":"Ho Kim","non-dropping-particle":"","parse-names":false,"suffix":""},{"dropping-particle":"","family":"Hyun","given":"Jung Kim","non-dropping-particle":"","parse-names":false,"suffix":""},{"dropping-particle":"","family":"Seoung","given":"Ho Lee","non-dropping-particle":"","parse-names":false,"suffix":""},{"dropping-particle":"","family":"Lee","given":"Soon W.","non-dropping-particle":"","parse-names":false,"suffix":""},{"dropping-particle":"","family":"Ko","given":"Jaejung","non-dropping-particle":"","parse-names":false,"suffix":""},{"dropping-particle":"","family":"Bartsch","given":"Richard A.","non-dropping-particle":"","parse-names":false,"suffix":""},{"dropping-particle":"","family":"Jong","given":"Seung Kim","non-dropping-particle":"","parse-names":false,"suffix":""}],"container-title":"Inorganic Chemistry","id":"ITEM-1","issue":"22","issued":{"date-parts":[["2005","10","31"]]},"page":"7866-7875","publisher":" American Chemical Society ","title":"Indium(III)-induced fluorescent excimer formation and extinction in calix[4]arene-fluoroionophores","type":"article-journal","volume":"44"},"uris":["http://www.mendeley.com/documents/?uuid=588b523a-e21f-3794-91e6-04852580b6e4"]}],"mendeley":{"formattedCitation":"[12]","plainTextFormattedCitation":"[12]","previouslyFormattedCitation":"&lt;sup&gt;[&lt;sup&gt;12&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[12]</w:t>
            </w:r>
            <w:r w:rsidRPr="0069504D">
              <w:rPr>
                <w:rFonts w:ascii="Times New Roman" w:hAnsi="Times New Roman" w:cs="Times New Roman"/>
                <w:kern w:val="0"/>
                <w:sz w:val="24"/>
              </w:rPr>
              <w:fldChar w:fldCharType="end"/>
            </w:r>
          </w:p>
        </w:tc>
      </w:tr>
      <w:tr w:rsidR="0069504D" w:rsidRPr="0069504D" w14:paraId="6A657A23" w14:textId="77777777" w:rsidTr="0098689A">
        <w:trPr>
          <w:trHeight w:val="304"/>
          <w:jc w:val="center"/>
        </w:trPr>
        <w:tc>
          <w:tcPr>
            <w:tcW w:w="1134" w:type="dxa"/>
            <w:tcBorders>
              <w:top w:val="nil"/>
              <w:left w:val="nil"/>
              <w:bottom w:val="nil"/>
              <w:right w:val="nil"/>
            </w:tcBorders>
            <w:vAlign w:val="center"/>
          </w:tcPr>
          <w:p w14:paraId="6247A291" w14:textId="2C91BAB4"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13</w:t>
            </w:r>
          </w:p>
        </w:tc>
        <w:tc>
          <w:tcPr>
            <w:tcW w:w="2835" w:type="dxa"/>
            <w:tcBorders>
              <w:top w:val="nil"/>
              <w:left w:val="nil"/>
              <w:bottom w:val="nil"/>
              <w:right w:val="nil"/>
            </w:tcBorders>
            <w:tcMar>
              <w:top w:w="28" w:type="dxa"/>
              <w:left w:w="102" w:type="dxa"/>
              <w:bottom w:w="28" w:type="dxa"/>
              <w:right w:w="102" w:type="dxa"/>
            </w:tcMar>
            <w:vAlign w:val="center"/>
          </w:tcPr>
          <w:p w14:paraId="71347089" w14:textId="667FA0EA"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494D1C88" wp14:editId="197B47A9">
                  <wp:extent cx="1638468" cy="570015"/>
                  <wp:effectExtent l="0" t="0" r="0" b="1905"/>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47900" cy="573296"/>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03CE2C23" w14:textId="647C6F49"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4</w:t>
            </w:r>
            <w:r w:rsidR="00037ADE" w:rsidRPr="0069504D">
              <w:rPr>
                <w:rFonts w:ascii="Times New Roman" w:hAnsi="Times New Roman" w:cs="Times New Roman"/>
                <w:kern w:val="0"/>
                <w:sz w:val="24"/>
              </w:rPr>
              <w:t>.</w:t>
            </w:r>
            <w:r w:rsidRPr="0069504D">
              <w:rPr>
                <w:rFonts w:ascii="Times New Roman" w:hAnsi="Times New Roman" w:cs="Times New Roman"/>
                <w:kern w:val="0"/>
                <w:sz w:val="24"/>
              </w:rPr>
              <w:t>5</w:t>
            </w:r>
            <w:r w:rsidR="00037ADE" w:rsidRPr="0069504D">
              <w:rPr>
                <w:rFonts w:ascii="Times New Roman" w:hAnsi="Times New Roman" w:cs="Times New Roman" w:hint="eastAsia"/>
                <w:kern w:val="0"/>
                <w:sz w:val="24"/>
              </w:rPr>
              <w:t>×</w:t>
            </w:r>
            <w:r w:rsidR="00037ADE" w:rsidRPr="0069504D">
              <w:rPr>
                <w:rFonts w:ascii="Times New Roman" w:hAnsi="Times New Roman" w:cs="Times New Roman" w:hint="eastAsia"/>
                <w:kern w:val="0"/>
                <w:sz w:val="24"/>
              </w:rPr>
              <w:t>1</w:t>
            </w:r>
            <w:r w:rsidR="00037ADE" w:rsidRPr="0069504D">
              <w:rPr>
                <w:rFonts w:ascii="Times New Roman" w:hAnsi="Times New Roman" w:cs="Times New Roman"/>
                <w:kern w:val="0"/>
                <w:sz w:val="24"/>
              </w:rPr>
              <w:t>0</w:t>
            </w:r>
            <w:r w:rsidR="00037ADE" w:rsidRPr="0069504D">
              <w:rPr>
                <w:rFonts w:ascii="Times New Roman" w:hAnsi="Times New Roman" w:cs="Times New Roman"/>
                <w:kern w:val="0"/>
                <w:sz w:val="24"/>
                <w:vertAlign w:val="superscript"/>
              </w:rPr>
              <w:t>-2</w:t>
            </w:r>
          </w:p>
        </w:tc>
        <w:tc>
          <w:tcPr>
            <w:tcW w:w="2025" w:type="dxa"/>
            <w:tcBorders>
              <w:top w:val="nil"/>
              <w:left w:val="nil"/>
              <w:bottom w:val="nil"/>
              <w:right w:val="nil"/>
            </w:tcBorders>
            <w:vAlign w:val="center"/>
          </w:tcPr>
          <w:p w14:paraId="73DC93E2" w14:textId="038E7210"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PPi</w:t>
            </w:r>
          </w:p>
        </w:tc>
        <w:tc>
          <w:tcPr>
            <w:tcW w:w="1458" w:type="dxa"/>
            <w:tcBorders>
              <w:top w:val="nil"/>
              <w:left w:val="nil"/>
              <w:bottom w:val="nil"/>
              <w:right w:val="nil"/>
            </w:tcBorders>
            <w:tcMar>
              <w:top w:w="28" w:type="dxa"/>
              <w:left w:w="102" w:type="dxa"/>
              <w:bottom w:w="28" w:type="dxa"/>
              <w:right w:w="102" w:type="dxa"/>
            </w:tcMar>
            <w:vAlign w:val="center"/>
          </w:tcPr>
          <w:p w14:paraId="70222EAC" w14:textId="02A61ED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{"citationItems":[{"id":"ITEM-1","itemData":{"DOI":"10.1039/D0NJ03076G","ISSN":"13699261","abstract":"A double Schiff base T as acceptor for metal ions derived from thiophene-2,5-dicarboxylic acid was designed and synthesized, and showed a high selectivity for In3+ in a DMF/H2O buffer solution. T exhibited a 300-fold fluorescence enhancement upon the addition of In3+, accompanying a visual color change from dark (Φ = 0.009) to bright yellow (Φ = 0.197). The complex T-In3+ could serve as a secondary sensor for PPi, which displayed recyclability upon the sequential addition of In3+ and PPi. The detection limits were calculated to be 4.48 × 10-8 M for In3+ and 4.4 × 10-6 M for PPi, respectively. According to Job's plot, T and In3+ tended to form 1:2 complexes with the binding affinity of 2.3 × 109 M2. The fluorescence behavior of T towards In3+ was primarily explained by the photoinduced electron transfer (PET) process based on theoretical calculations using Gaussian 09. Moreover, T could be applicable for indium detection in tap water with satisfactory recovery and RSD. This journal is","author":[{"dropping-particle":"","family":"Xing","given":"Yujing","non-dropping-particle":"","parse-names":false,"suffix":""},{"dropping-particle":"","family":"Liu","given":"Zhihua","non-dropping-particle":"","parse-names":false,"suffix":""},{"dropping-particle":"","family":"Xu","given":"Yuankang","non-dropping-particle":"","parse-names":false,"suffix":""},{"dropping-particle":"","family":"Wang","given":"Hanyu","non-dropping-particle":"","parse-names":false,"suffix":""},{"dropping-particle":"","family":"Li","given":"Linlin","non-dropping-particle":"","parse-names":false,"suffix":""},{"dropping-particle":"","family":"Li","given":"Bing","non-dropping-particle":"","parse-names":false,"suffix":""},{"dropping-particle":"","family":"Yang","given":"Xiaofeng","non-dropping-particle":"","parse-names":false,"suffix":""},{"dropping-particle":"","family":"Pei","given":"Meishan","non-dropping-particle":"","parse-names":false,"suffix":""},{"dropping-particle":"","family":"Zhang","given":"Guangyou","non-dropping-particle":"","parse-names":false,"suffix":""}],"container-title":"New Journal of Chemistry","id":"ITEM-1","issue":"32","issued":{"date-parts":[["2020","8","17"]]},"page":"13875-13881","publisher":"Royal Society of Chemistry","title":"Double Schiff base from thiophene-2,5-dicarboxylic acid as an “off–on–off” fluorescence sensor for the sequential detection of In&lt;sup&gt;3+&lt;/sup&gt; and PPi","type":"article-journal","volume":"44"},"uris":["http://www.mendeley.com/documents/?uuid=48e852fb-46ce-39a8-a130-4973140a9e82"]}],"mendeley":{"formattedCitation":"[13]","plainTextFormattedCitation":"[13]","previouslyFormattedCitation":"&lt;sup&gt;[&lt;sup&gt;13&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[13]</w:t>
            </w:r>
            <w:r w:rsidRPr="0069504D">
              <w:rPr>
                <w:rFonts w:ascii="Times New Roman" w:hAnsi="Times New Roman" w:cs="Times New Roman"/>
                <w:kern w:val="0"/>
                <w:sz w:val="24"/>
              </w:rPr>
              <w:fldChar w:fldCharType="end"/>
            </w:r>
          </w:p>
        </w:tc>
      </w:tr>
      <w:tr w:rsidR="0069504D" w:rsidRPr="0069504D" w14:paraId="48735431" w14:textId="77777777" w:rsidTr="0098689A">
        <w:trPr>
          <w:trHeight w:val="277"/>
          <w:jc w:val="center"/>
        </w:trPr>
        <w:tc>
          <w:tcPr>
            <w:tcW w:w="1134" w:type="dxa"/>
            <w:tcBorders>
              <w:top w:val="nil"/>
              <w:left w:val="nil"/>
              <w:bottom w:val="nil"/>
              <w:right w:val="nil"/>
            </w:tcBorders>
            <w:vAlign w:val="center"/>
          </w:tcPr>
          <w:p w14:paraId="520B8215" w14:textId="3B4EE91C"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lastRenderedPageBreak/>
              <w:t>14</w:t>
            </w:r>
          </w:p>
        </w:tc>
        <w:tc>
          <w:tcPr>
            <w:tcW w:w="2835" w:type="dxa"/>
            <w:tcBorders>
              <w:top w:val="nil"/>
              <w:left w:val="nil"/>
              <w:bottom w:val="nil"/>
              <w:right w:val="nil"/>
            </w:tcBorders>
            <w:tcMar>
              <w:top w:w="28" w:type="dxa"/>
              <w:left w:w="102" w:type="dxa"/>
              <w:bottom w:w="28" w:type="dxa"/>
              <w:right w:w="102" w:type="dxa"/>
            </w:tcMar>
            <w:vAlign w:val="center"/>
          </w:tcPr>
          <w:p w14:paraId="1E8A32A7" w14:textId="7F836FA5"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705F0280" wp14:editId="2978CC41">
                  <wp:extent cx="1743549" cy="681355"/>
                  <wp:effectExtent l="0" t="0" r="9525" b="4445"/>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55570" cy="686053"/>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36C5EE09" w14:textId="4EBB8C1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8</w:t>
            </w:r>
            <w:r w:rsidR="00A24084" w:rsidRPr="0069504D">
              <w:rPr>
                <w:rFonts w:ascii="Times New Roman" w:hAnsi="Times New Roman" w:cs="Times New Roman"/>
                <w:kern w:val="0"/>
                <w:sz w:val="24"/>
              </w:rPr>
              <w:t>.</w:t>
            </w:r>
            <w:r w:rsidRPr="0069504D">
              <w:rPr>
                <w:rFonts w:ascii="Times New Roman" w:hAnsi="Times New Roman" w:cs="Times New Roman"/>
                <w:kern w:val="0"/>
                <w:sz w:val="24"/>
              </w:rPr>
              <w:t>1</w:t>
            </w:r>
            <w:r w:rsidR="00A24084" w:rsidRPr="0069504D">
              <w:rPr>
                <w:rFonts w:ascii="Times New Roman" w:hAnsi="Times New Roman" w:cs="Times New Roman" w:hint="eastAsia"/>
                <w:kern w:val="0"/>
                <w:sz w:val="24"/>
              </w:rPr>
              <w:t>×</w:t>
            </w:r>
            <w:r w:rsidR="00A24084" w:rsidRPr="0069504D">
              <w:rPr>
                <w:rFonts w:ascii="Times New Roman" w:hAnsi="Times New Roman" w:cs="Times New Roman" w:hint="eastAsia"/>
                <w:kern w:val="0"/>
                <w:sz w:val="24"/>
              </w:rPr>
              <w:t>1</w:t>
            </w:r>
            <w:r w:rsidR="00A24084" w:rsidRPr="0069504D">
              <w:rPr>
                <w:rFonts w:ascii="Times New Roman" w:hAnsi="Times New Roman" w:cs="Times New Roman"/>
                <w:kern w:val="0"/>
                <w:sz w:val="24"/>
              </w:rPr>
              <w:t>0</w:t>
            </w:r>
            <w:r w:rsidR="00A24084" w:rsidRPr="0069504D">
              <w:rPr>
                <w:rFonts w:ascii="Times New Roman" w:hAnsi="Times New Roman" w:cs="Times New Roman"/>
                <w:kern w:val="0"/>
                <w:sz w:val="24"/>
                <w:vertAlign w:val="superscript"/>
              </w:rPr>
              <w:t>-3</w:t>
            </w:r>
          </w:p>
        </w:tc>
        <w:tc>
          <w:tcPr>
            <w:tcW w:w="2025" w:type="dxa"/>
            <w:tcBorders>
              <w:top w:val="nil"/>
              <w:left w:val="nil"/>
              <w:bottom w:val="nil"/>
              <w:right w:val="nil"/>
            </w:tcBorders>
            <w:vAlign w:val="center"/>
          </w:tcPr>
          <w:p w14:paraId="70BD809C" w14:textId="755A2E4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Fe</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30FBD6FC" w14:textId="3080D06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hint="eastAsia"/>
                <w:kern w:val="0"/>
                <w:sz w:val="24"/>
              </w:rPr>
              <w:instrText>ADDIN CSL_CITATION {"citationItems":[{"id":"ITEM-1","itemData":{"DOI":"10.1039/D1NJ00929J","ISSN":"13699261","abstract":"A Schiff baseN</w:instrText>
            </w:r>
            <w:r w:rsidR="000F1B95">
              <w:rPr>
                <w:rFonts w:ascii="Times New Roman" w:hAnsi="Times New Roman" w:cs="Times New Roman" w:hint="eastAsia"/>
                <w:kern w:val="0"/>
                <w:sz w:val="24"/>
              </w:rPr>
              <w:instrText>′</w:instrText>
            </w:r>
            <w:r w:rsidR="000F1B95">
              <w:rPr>
                <w:rFonts w:ascii="Times New Roman" w:hAnsi="Times New Roman" w:cs="Times New Roman" w:hint="eastAsia"/>
                <w:kern w:val="0"/>
                <w:sz w:val="24"/>
              </w:rPr>
              <w:instrText>-(3-ethoxy-2-hydroxybenzylidene)-4,5-dihydronaphtho[1,2-b]thiophene-2-carbohydrazide (LB2) was designed and synthesized</w:instrText>
            </w:r>
            <w:r w:rsidR="000F1B95">
              <w:rPr>
                <w:rFonts w:ascii="Times New Roman" w:hAnsi="Times New Roman" w:cs="Times New Roman"/>
                <w:kern w:val="0"/>
                <w:sz w:val="24"/>
              </w:rPr>
              <w:instrText xml:space="preserve"> based on 4,5-dihydronaphtho[1,2-b]thiophene-2-carbohydrazide and 3-ethoxy-2-hydroxybenzaldehyde, and could be used as a sensor to identify In3+and Fe3+through fluorescence ‘off-on-off’ behavior. The probeLB2showed high sensitivity and selectivity towards In3+and Fe3+in the presence of other metal ions with detection limits of 8.05 × 10−9M and 2.59 × 10−8M, respectively. The structure ofLB2was characterized by1H NMR,13C NMR, FTIR and mass spectrometry. The complexation ratio ofLB2to In3+and Fe3+was 1 : 1 for both which was verified by mass spectrometry and the Job plot. The binding mode and sensing mechanism ofLB2with In3+and Fe3+were also verified.","author":[{"dropping-particle":"","family":"Li","given":"Bing","non-dropping-particle":"","parse-names":false,"suffix":""},{"dropping-particle":"","family":"Liu","given":"Zhihua","non-dropping-particle":"","parse-names":false,"suffix":""},{"dropping-particle":"","family":"Li","given":"Linlin","non-dropping-particle":"","parse-names":false,"suffix":""},{"dropping-particle":"","family":"Xing","given":"Yujing","non-dropping-particle":"","parse-names":false,"suffix":""},{"dropping-particle":"","family":"Liu","given":"Yuanying","non-dropping-particle":"","parse-names":false,"suffix":""},{"dropping-particle":"","family":"Yang","given":"Xiaofeng","non-dropping-particle":"","parse-names":false,"suffix":""},{"dropping-particle":"","family":"Pei","given":"Meishan","non-dropping-particle":"","parse-names":false,"suffix":""},{"dropping-particle":"","family":"Zhang","given":"Guangyou","non-dropping-particle":"","parse-names":false,"suffix":""}],"container-title":"New Journal of Chemistry","id":"ITEM-1","issue":"15","issued":{"date-parts":[["2021","4","19"]]},"page":"6753-6759","publisher":"Royal Society of Chemistry","title":"A Schiff base sensor for relay monitoring of In&lt;sup&gt;3+&lt;/sup&gt; and Fe&lt;sup&gt;3+&lt;/sup&gt; through “off–on–off” fluorescent signals","type":"article-journal","volume":"45"},"uris":["http://www.mendeley.com/documents/?uuid=89c7597d-c633-3c7f-bb1e-91ae32031e1e"]}],"mendeley":{"formattedCitation":"[14]","plainTextFormattedCitation":"[14]","previouslyFormattedCitation":"&lt;sup&gt;[&lt;sup&gt;14&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[14]</w:t>
            </w:r>
            <w:r w:rsidRPr="0069504D">
              <w:rPr>
                <w:rFonts w:ascii="Times New Roman" w:hAnsi="Times New Roman" w:cs="Times New Roman"/>
                <w:kern w:val="0"/>
                <w:sz w:val="24"/>
              </w:rPr>
              <w:fldChar w:fldCharType="end"/>
            </w:r>
          </w:p>
        </w:tc>
      </w:tr>
      <w:tr w:rsidR="0069504D" w:rsidRPr="0069504D" w14:paraId="1CC90E61" w14:textId="77777777" w:rsidTr="0098689A">
        <w:trPr>
          <w:trHeight w:val="277"/>
          <w:jc w:val="center"/>
        </w:trPr>
        <w:tc>
          <w:tcPr>
            <w:tcW w:w="1134" w:type="dxa"/>
            <w:tcBorders>
              <w:top w:val="nil"/>
              <w:left w:val="nil"/>
              <w:bottom w:val="nil"/>
              <w:right w:val="nil"/>
            </w:tcBorders>
            <w:vAlign w:val="center"/>
          </w:tcPr>
          <w:p w14:paraId="0B71C30E" w14:textId="1EDBB5FA"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15</w:t>
            </w:r>
          </w:p>
        </w:tc>
        <w:tc>
          <w:tcPr>
            <w:tcW w:w="2835" w:type="dxa"/>
            <w:tcBorders>
              <w:top w:val="nil"/>
              <w:left w:val="nil"/>
              <w:bottom w:val="nil"/>
              <w:right w:val="nil"/>
            </w:tcBorders>
            <w:tcMar>
              <w:top w:w="28" w:type="dxa"/>
              <w:left w:w="102" w:type="dxa"/>
              <w:bottom w:w="28" w:type="dxa"/>
              <w:right w:w="102" w:type="dxa"/>
            </w:tcMar>
            <w:vAlign w:val="center"/>
          </w:tcPr>
          <w:p w14:paraId="2654AF1A" w14:textId="113559A1"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46BC2DFC" wp14:editId="1A409363">
                  <wp:extent cx="1719365" cy="51758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19785" cy="517711"/>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19CE4912" w14:textId="52F56B3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w:t>
            </w:r>
            <w:r w:rsidR="00A24084" w:rsidRPr="0069504D">
              <w:rPr>
                <w:rFonts w:ascii="Times New Roman" w:hAnsi="Times New Roman" w:cs="Times New Roman"/>
                <w:kern w:val="0"/>
                <w:sz w:val="24"/>
              </w:rPr>
              <w:t>.</w:t>
            </w:r>
            <w:r w:rsidRPr="0069504D">
              <w:rPr>
                <w:rFonts w:ascii="Times New Roman" w:hAnsi="Times New Roman" w:cs="Times New Roman"/>
                <w:kern w:val="0"/>
                <w:sz w:val="24"/>
              </w:rPr>
              <w:t>0</w:t>
            </w:r>
            <w:r w:rsidR="00A24084" w:rsidRPr="0069504D">
              <w:rPr>
                <w:rFonts w:ascii="Times New Roman" w:hAnsi="Times New Roman" w:cs="Times New Roman" w:hint="eastAsia"/>
                <w:kern w:val="0"/>
                <w:sz w:val="24"/>
              </w:rPr>
              <w:t>×</w:t>
            </w:r>
            <w:r w:rsidR="00A24084" w:rsidRPr="0069504D">
              <w:rPr>
                <w:rFonts w:ascii="Times New Roman" w:hAnsi="Times New Roman" w:cs="Times New Roman" w:hint="eastAsia"/>
                <w:kern w:val="0"/>
                <w:sz w:val="24"/>
              </w:rPr>
              <w:t>1</w:t>
            </w:r>
            <w:r w:rsidR="00A24084" w:rsidRPr="0069504D">
              <w:rPr>
                <w:rFonts w:ascii="Times New Roman" w:hAnsi="Times New Roman" w:cs="Times New Roman"/>
                <w:kern w:val="0"/>
                <w:sz w:val="24"/>
              </w:rPr>
              <w:t>0</w:t>
            </w:r>
            <w:r w:rsidR="00A24084" w:rsidRPr="0069504D">
              <w:rPr>
                <w:rFonts w:ascii="Times New Roman" w:hAnsi="Times New Roman" w:cs="Times New Roman"/>
                <w:kern w:val="0"/>
                <w:sz w:val="24"/>
                <w:vertAlign w:val="superscript"/>
              </w:rPr>
              <w:t>-3</w:t>
            </w:r>
          </w:p>
        </w:tc>
        <w:tc>
          <w:tcPr>
            <w:tcW w:w="2025" w:type="dxa"/>
            <w:tcBorders>
              <w:top w:val="nil"/>
              <w:left w:val="nil"/>
              <w:bottom w:val="nil"/>
              <w:right w:val="nil"/>
            </w:tcBorders>
            <w:vAlign w:val="center"/>
          </w:tcPr>
          <w:p w14:paraId="4B3960E9" w14:textId="442AD84C"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Zn</w:t>
            </w:r>
            <w:r w:rsidRPr="0069504D">
              <w:rPr>
                <w:rFonts w:ascii="Times New Roman" w:hAnsi="Times New Roman" w:cs="Times New Roman"/>
                <w:kern w:val="0"/>
                <w:sz w:val="24"/>
                <w:vertAlign w:val="superscript"/>
              </w:rPr>
              <w:t>2+</w:t>
            </w:r>
          </w:p>
        </w:tc>
        <w:tc>
          <w:tcPr>
            <w:tcW w:w="1458" w:type="dxa"/>
            <w:tcBorders>
              <w:top w:val="nil"/>
              <w:left w:val="nil"/>
              <w:bottom w:val="nil"/>
              <w:right w:val="nil"/>
            </w:tcBorders>
            <w:tcMar>
              <w:top w:w="28" w:type="dxa"/>
              <w:left w:w="102" w:type="dxa"/>
              <w:bottom w:w="28" w:type="dxa"/>
              <w:right w:w="102" w:type="dxa"/>
            </w:tcMar>
            <w:vAlign w:val="center"/>
          </w:tcPr>
          <w:p w14:paraId="73479917" w14:textId="15D0C599"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{"citationItems":[{"id":"ITEM-1","itemData":{"DOI":"10.1039/C9PP00408D","ISSN":"1474-9092","PMID":"32022080","abstract":"A new simple and easily synthesized multitarget sensor, (E)-N’-(4-(diethylamino)-2-hydroxybenzylidene) midazo[2,1-b]thiazole-6-carbohydrazide (X), was designed and synthesized using imidazo[2,1-b]thiazole-6-carboxylic acid and 4-(diethylamino)-2-hydroxybenzaldehyde. X could be used as a sensor to detect In3+ in DMF-H2O buffer solution and detect Zn2+ in EtOH–H2O buffer solution through fluorescence enhancement with detection limits of 1.02 × 10−9 M and 5.5 × 10−9 M, respectively. X exhibited an efficient “off–on–off” fluorescence behavior by cyclic addition of metal ions (In3+ and Zn2+) and EDTA. The stoichiometry between X and metal ions (In3+ and Zn2+) was 1:1. The binding mode and sensing mechanism of X with metal ions (In3+ and Zn2+) was verified by theoretical calculations using Gaussian 09 based on B3LYP/6–31G(d) and B3LYP/LANL2DZ basis, respectively. Moreover, X could be applied as a potential sensor for the quantitative detection of In3+ and Zn2+ with a satisfactory recovery and relative standard deviation (RSD) in real water samples.","author":[{"dropping-particle":"","family":"Xu","given":"Yuankang","non-dropping-particle":"","parse-names":false,"suffix":""},{"dropping-particle":"","family":"Zhao","given":"Songfang","non-dropping-particle":"","parse-names":false,"suffix":""},{"dropping-particle":"","family":"Zhang","given":"Yanxia","non-dropping-particle":"","parse-names":false,"suffix":""},{"dropping-particle":"","family":"Wang","given":"Hanyu","non-dropping-particle":"","parse-names":false,"suffix":""},{"dropping-particle":"","family":"Yang","given":"Xiaofeng","non-dropping-particle":"","parse-names":false,"suffix":""},{"dropping-particle":"","family":"Pei","given":"Meishan","non-dropping-particle":"","parse-names":false,"suffix":""},{"dropping-particle":"","family":"Zhang","given":"Guangyou","non-dropping-particle":"","parse-names":false,"suffix":""}],"container-title":"Photochemical &amp; Photobiological Sciences 2020 19:2","id":"ITEM-1","issue":"2","issued":{"date-parts":[["2020","10","27"]]},"page":"289-298","publisher":"Springer","title":"A selective “turn-on” sensor for recognizing In&lt;sup&gt;3+&lt;/sup&gt; and Zn&lt;sup&gt;2+&lt;/sup&gt; in respective systems based on imidazo [2,1-Whiazole","type":"article-journal","volume":"19"},"uris":["http://www.mendeley.com/documents/?uuid=801ca697-b3f4-3c56-9ffb-edea08344442"]}],"mendeley":{"formattedCitation":"[15]","plainTextFormattedCitation":"[15]","previouslyFormattedCitation":"&lt;sup&gt;[&lt;sup&gt;15&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[15]</w:t>
            </w:r>
            <w:r w:rsidRPr="0069504D">
              <w:rPr>
                <w:rFonts w:ascii="Times New Roman" w:hAnsi="Times New Roman" w:cs="Times New Roman"/>
                <w:kern w:val="0"/>
                <w:sz w:val="24"/>
              </w:rPr>
              <w:fldChar w:fldCharType="end"/>
            </w:r>
          </w:p>
        </w:tc>
      </w:tr>
      <w:tr w:rsidR="0069504D" w:rsidRPr="0069504D" w14:paraId="2D0E6281" w14:textId="77777777" w:rsidTr="0098689A">
        <w:trPr>
          <w:trHeight w:val="277"/>
          <w:jc w:val="center"/>
        </w:trPr>
        <w:tc>
          <w:tcPr>
            <w:tcW w:w="1134" w:type="dxa"/>
            <w:tcBorders>
              <w:top w:val="nil"/>
              <w:left w:val="nil"/>
              <w:bottom w:val="nil"/>
              <w:right w:val="nil"/>
            </w:tcBorders>
            <w:vAlign w:val="center"/>
          </w:tcPr>
          <w:p w14:paraId="68395F00" w14:textId="69114FE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16</w:t>
            </w:r>
          </w:p>
        </w:tc>
        <w:tc>
          <w:tcPr>
            <w:tcW w:w="2835" w:type="dxa"/>
            <w:tcBorders>
              <w:top w:val="nil"/>
              <w:left w:val="nil"/>
              <w:bottom w:val="nil"/>
              <w:right w:val="nil"/>
            </w:tcBorders>
            <w:tcMar>
              <w:top w:w="28" w:type="dxa"/>
              <w:left w:w="102" w:type="dxa"/>
              <w:bottom w:w="28" w:type="dxa"/>
              <w:right w:w="102" w:type="dxa"/>
            </w:tcMar>
            <w:vAlign w:val="center"/>
          </w:tcPr>
          <w:p w14:paraId="7BFE72F1" w14:textId="4A618480"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1A24EEC8" wp14:editId="3A62F22A">
                  <wp:extent cx="1258466" cy="1061050"/>
                  <wp:effectExtent l="0" t="0" r="0" b="635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58466" cy="1061050"/>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6B8C6FA0" w14:textId="78CA6C98"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No data</w:t>
            </w:r>
          </w:p>
        </w:tc>
        <w:tc>
          <w:tcPr>
            <w:tcW w:w="2025" w:type="dxa"/>
            <w:tcBorders>
              <w:top w:val="nil"/>
              <w:left w:val="nil"/>
              <w:bottom w:val="nil"/>
              <w:right w:val="nil"/>
            </w:tcBorders>
            <w:vAlign w:val="center"/>
          </w:tcPr>
          <w:p w14:paraId="04919F8C" w14:textId="4DCF4A3E"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Zn</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 xml:space="preserve"> (colorimetric: Cu</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 xml:space="preserve"> and Co</w:t>
            </w:r>
            <w:r w:rsidRPr="0069504D">
              <w:rPr>
                <w:rFonts w:ascii="Times New Roman" w:hAnsi="Times New Roman" w:cs="Times New Roman"/>
                <w:kern w:val="0"/>
                <w:sz w:val="24"/>
                <w:vertAlign w:val="superscript"/>
              </w:rPr>
              <w:t>2+</w:t>
            </w:r>
            <w:r w:rsidRPr="0069504D">
              <w:rPr>
                <w:rFonts w:ascii="Times New Roman" w:hAnsi="Times New Roman" w:cs="Times New Roman"/>
                <w:kern w:val="0"/>
                <w:sz w:val="24"/>
              </w:rPr>
              <w:t>)</w:t>
            </w:r>
          </w:p>
        </w:tc>
        <w:tc>
          <w:tcPr>
            <w:tcW w:w="1458" w:type="dxa"/>
            <w:tcBorders>
              <w:top w:val="nil"/>
              <w:left w:val="nil"/>
              <w:bottom w:val="nil"/>
              <w:right w:val="nil"/>
            </w:tcBorders>
            <w:tcMar>
              <w:top w:w="28" w:type="dxa"/>
              <w:left w:w="102" w:type="dxa"/>
              <w:bottom w:w="28" w:type="dxa"/>
              <w:right w:w="102" w:type="dxa"/>
            </w:tcMar>
            <w:vAlign w:val="center"/>
          </w:tcPr>
          <w:p w14:paraId="61A25E74" w14:textId="7268CEC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hint="eastAsia"/>
                <w:kern w:val="0"/>
                <w:sz w:val="24"/>
              </w:rPr>
              <w:instrText>ADDIN CSL_CITATION {"citationItems":[{"id":"ITEM-1","itemData":{"DOI":"10.1016/J.JIEC.2018.04.040","ISSN":"1226-086X","abstract":"A new versatile chemosensor 1 ((Z)-N</w:instrText>
            </w:r>
            <w:r w:rsidR="000F1B95">
              <w:rPr>
                <w:rFonts w:ascii="Times New Roman" w:hAnsi="Times New Roman" w:cs="Times New Roman" w:hint="eastAsia"/>
                <w:kern w:val="0"/>
                <w:sz w:val="24"/>
              </w:rPr>
              <w:instrText>′</w:instrText>
            </w:r>
            <w:r w:rsidR="000F1B95">
              <w:rPr>
                <w:rFonts w:ascii="Times New Roman" w:hAnsi="Times New Roman" w:cs="Times New Roman" w:hint="eastAsia"/>
                <w:kern w:val="0"/>
                <w:sz w:val="24"/>
              </w:rPr>
              <w:instrText>-(quinolin-2-ylmethylene)furan-2-carbohydrazide), based on quinoline and furan, has been</w:instrText>
            </w:r>
            <w:r w:rsidR="000F1B95">
              <w:rPr>
                <w:rFonts w:ascii="Times New Roman" w:hAnsi="Times New Roman" w:cs="Times New Roman"/>
                <w:kern w:val="0"/>
                <w:sz w:val="24"/>
              </w:rPr>
              <w:instrText xml:space="preserve"> synthesized. Sensor 1 showed immediate responses toward Zn2+ and In3+ ions through selective fluorescence enhancement in different solvent conditions, respectively. In addition, sensor 1 could detect Cu2+ and Co2+ by “naked eye” color changes from colorless to pale yellow in a near-perfect aqueous solution. This observation was the first case that a single sensor can detect the four metal ions. The binding modes of 1 to Zn2+, In3+, Cu2+ and Co2+ were verified through Job plots and ESI-mass spectrometry analyses. The limits of detection (0.33 μM, 0.23 μM and 0.06 μM) for Zn2+, Cu2+ and Co2+ were far lower than the World Health Organization (WHO) guidelines (76 μM for Zn2+ and 31.5 μM for Cu2+) and Department of Environmental Protection (DEP) guideline (1.7 μM for Co2+) for drinking water. Moreover, sensor 1 could quantify Zn2+ and Co2+ in water samples. The sensing mechanisms of Zn2+, In3+ and Cu2+ by sensor 1 were explained by theoretical calculations.","author":[{"dropping-particle":"","family":"Kim","given":"Ahran","non-dropping-particle":"","parse-names":false,"suffix":""},{"dropping-particle":"","family":"Kang","given":"Ji Hye","non-dropping-particle":"","parse-names":false,"suffix":""},{"dropping-particle":"","family":"Jang","given":"Hyo Jung","non-dropping-particle":"","parse-names":false,"suffix":""},{"dropping-particle":"","family":"Kim","given":"Cheal","non-dropping-particle":"","parse-names":false,"suffix":""}],"container-title":"Journal of Industrial and Engineering Chemistry","id":"ITEM-1","issued":{"date-parts":[["2018","9","25"]]},"page":"290-299","publisher":"Elsevier","title":"Fluorescent detection of Zn(II) and In(III) and colorimetric detection of Cu(II) and Co(II) by a versatile chemosensor","type":"article-journal","volume":"65"},"uris":["http://www.mendeley.com/documents/?uuid=f79b4dd5-ef1d-3950-8d8d-ea1cd695f3db"]}],"mendeley":{"formattedCitation":"[16]","plainTextFormattedCitation":"[16]","previouslyFormattedCitation":"&lt;sup&gt;[&lt;sup&gt;16&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[16]</w:t>
            </w:r>
            <w:r w:rsidRPr="0069504D">
              <w:rPr>
                <w:rFonts w:ascii="Times New Roman" w:hAnsi="Times New Roman" w:cs="Times New Roman"/>
                <w:kern w:val="0"/>
                <w:sz w:val="24"/>
              </w:rPr>
              <w:fldChar w:fldCharType="end"/>
            </w:r>
          </w:p>
        </w:tc>
      </w:tr>
      <w:tr w:rsidR="0069504D" w:rsidRPr="0069504D" w14:paraId="485CCB90" w14:textId="77777777" w:rsidTr="0098689A">
        <w:trPr>
          <w:trHeight w:val="1932"/>
          <w:jc w:val="center"/>
        </w:trPr>
        <w:tc>
          <w:tcPr>
            <w:tcW w:w="1134" w:type="dxa"/>
            <w:tcBorders>
              <w:top w:val="nil"/>
              <w:left w:val="nil"/>
              <w:bottom w:val="nil"/>
              <w:right w:val="nil"/>
            </w:tcBorders>
            <w:vAlign w:val="center"/>
          </w:tcPr>
          <w:p w14:paraId="1BE5CAF4" w14:textId="232BDAF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17</w:t>
            </w:r>
          </w:p>
        </w:tc>
        <w:tc>
          <w:tcPr>
            <w:tcW w:w="2835" w:type="dxa"/>
            <w:tcBorders>
              <w:top w:val="nil"/>
              <w:left w:val="nil"/>
              <w:bottom w:val="nil"/>
              <w:right w:val="nil"/>
            </w:tcBorders>
            <w:tcMar>
              <w:top w:w="28" w:type="dxa"/>
              <w:left w:w="102" w:type="dxa"/>
              <w:bottom w:w="28" w:type="dxa"/>
              <w:right w:w="102" w:type="dxa"/>
            </w:tcMar>
            <w:vAlign w:val="center"/>
          </w:tcPr>
          <w:p w14:paraId="59A7AF2E" w14:textId="25F15C63"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3771F6DD" wp14:editId="00F10DC1">
                  <wp:extent cx="1715368" cy="802257"/>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21241" cy="805004"/>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10F86EED" w14:textId="669B087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6</w:t>
            </w:r>
            <w:r w:rsidR="00932568" w:rsidRPr="0069504D">
              <w:rPr>
                <w:rFonts w:ascii="Times New Roman" w:hAnsi="Times New Roman" w:cs="Times New Roman"/>
                <w:kern w:val="0"/>
                <w:sz w:val="24"/>
              </w:rPr>
              <w:t>.</w:t>
            </w:r>
            <w:r w:rsidRPr="0069504D">
              <w:rPr>
                <w:rFonts w:ascii="Times New Roman" w:hAnsi="Times New Roman" w:cs="Times New Roman"/>
                <w:kern w:val="0"/>
                <w:sz w:val="24"/>
              </w:rPr>
              <w:t>1</w:t>
            </w:r>
            <w:r w:rsidR="00932568" w:rsidRPr="0069504D">
              <w:rPr>
                <w:rFonts w:ascii="Times New Roman" w:hAnsi="Times New Roman" w:cs="Times New Roman" w:hint="eastAsia"/>
                <w:kern w:val="0"/>
                <w:sz w:val="24"/>
              </w:rPr>
              <w:t>×</w:t>
            </w:r>
            <w:r w:rsidR="00932568" w:rsidRPr="0069504D">
              <w:rPr>
                <w:rFonts w:ascii="Times New Roman" w:hAnsi="Times New Roman" w:cs="Times New Roman" w:hint="eastAsia"/>
                <w:kern w:val="0"/>
                <w:sz w:val="24"/>
              </w:rPr>
              <w:t>1</w:t>
            </w:r>
            <w:r w:rsidR="00932568" w:rsidRPr="0069504D">
              <w:rPr>
                <w:rFonts w:ascii="Times New Roman" w:hAnsi="Times New Roman" w:cs="Times New Roman"/>
                <w:kern w:val="0"/>
                <w:sz w:val="24"/>
              </w:rPr>
              <w:t>0</w:t>
            </w:r>
            <w:r w:rsidR="00932568" w:rsidRPr="0069504D">
              <w:rPr>
                <w:rFonts w:ascii="Times New Roman" w:hAnsi="Times New Roman" w:cs="Times New Roman"/>
                <w:kern w:val="0"/>
                <w:sz w:val="24"/>
                <w:vertAlign w:val="superscript"/>
              </w:rPr>
              <w:t>-1</w:t>
            </w:r>
          </w:p>
        </w:tc>
        <w:tc>
          <w:tcPr>
            <w:tcW w:w="2025" w:type="dxa"/>
            <w:tcBorders>
              <w:top w:val="nil"/>
              <w:left w:val="nil"/>
              <w:bottom w:val="nil"/>
              <w:right w:val="nil"/>
            </w:tcBorders>
            <w:vAlign w:val="center"/>
          </w:tcPr>
          <w:p w14:paraId="3A486675" w14:textId="74B10436"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068F73DE" w14:textId="370CFCEE"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hint="eastAsia"/>
                <w:kern w:val="0"/>
                <w:sz w:val="24"/>
              </w:rPr>
              <w:instrText>ADDIN CSL_CITATION {"citationItems":[{"id":"ITEM-1","itemData":{"DOI":"10.1016/J.INOCHE.2018.09.037","ISSN":"1387-7003","abstract":"A thiophene-based chemosensor TP, ((Z)-N</w:instrText>
            </w:r>
            <w:r w:rsidR="000F1B95">
              <w:rPr>
                <w:rFonts w:ascii="Times New Roman" w:hAnsi="Times New Roman" w:cs="Times New Roman" w:hint="eastAsia"/>
                <w:kern w:val="0"/>
                <w:sz w:val="24"/>
              </w:rPr>
              <w:instrText>′</w:instrText>
            </w:r>
            <w:r w:rsidR="000F1B95">
              <w:rPr>
                <w:rFonts w:ascii="Times New Roman" w:hAnsi="Times New Roman" w:cs="Times New Roman" w:hint="eastAsia"/>
                <w:kern w:val="0"/>
                <w:sz w:val="24"/>
              </w:rPr>
              <w:instrText>-(pyridine-2-ylmethylene)thiophene-2-carbohydrazide), was synthesized and characte</w:instrText>
            </w:r>
            <w:r w:rsidR="000F1B95">
              <w:rPr>
                <w:rFonts w:ascii="Times New Roman" w:hAnsi="Times New Roman" w:cs="Times New Roman"/>
                <w:kern w:val="0"/>
                <w:sz w:val="24"/>
              </w:rPr>
              <w:instrText>rized. TP showed a significant fluorescence enhancement only in the presence of In3+. Importantly, the detection limit was calculated to be 0.61 μM, which is the lowest one reported to date. Job plot and ESI-mass analyses indicated that two TP molecules bind to one In3+ ion. In addition, the sensing mechanism of TP towards In3+ was proposed as chelation-enhanced fluorescence (CHEF) effect from the theoretical calculations.","author":[{"dropping-particle":"","family":"Cho","given":"Hanna","non-dropping-particle":"","parse-names":false,"suffix":""},{"dropping-particle":"","family":"Chae","given":"Ju Byeong","non-dropping-particle":"","parse-names":false,"suffix":""},{"dropping-particle":"","family":"Kim","given":"Cheal","non-dropping-particle":"","parse-names":false,"suffix":""}],"container-title":"Inorganic Chemistry Communications","id":"ITEM-1","issued":{"date-parts":[["2018","11","1"]]},"page":"171-175","publisher":"Elsevier","title":"A thiophene-based blue-fluorescent emitting chemosensor for detecting indium (III) ion","type":"article-journal","volume":"97"},"uris":["http://www.mendeley.com/documents/?uuid=69e43fcd-a10e-347e-9504-317c573b5d33"]}],"mendeley":{"formattedCitation":"[17]","plainTextFormattedCitation":"[17]","previouslyFormattedCitation":"&lt;sup&gt;[&lt;sup&gt;17&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[17]</w:t>
            </w:r>
            <w:r w:rsidRPr="0069504D">
              <w:rPr>
                <w:rFonts w:ascii="Times New Roman" w:hAnsi="Times New Roman" w:cs="Times New Roman"/>
                <w:kern w:val="0"/>
                <w:sz w:val="24"/>
              </w:rPr>
              <w:fldChar w:fldCharType="end"/>
            </w:r>
          </w:p>
        </w:tc>
      </w:tr>
      <w:tr w:rsidR="0069504D" w:rsidRPr="0069504D" w14:paraId="6850376F" w14:textId="77777777" w:rsidTr="0098689A">
        <w:trPr>
          <w:trHeight w:val="2481"/>
          <w:jc w:val="center"/>
        </w:trPr>
        <w:tc>
          <w:tcPr>
            <w:tcW w:w="1134" w:type="dxa"/>
            <w:tcBorders>
              <w:top w:val="nil"/>
              <w:left w:val="nil"/>
              <w:bottom w:val="nil"/>
              <w:right w:val="nil"/>
            </w:tcBorders>
            <w:vAlign w:val="center"/>
          </w:tcPr>
          <w:p w14:paraId="60732080" w14:textId="1A9E7D30"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18</w:t>
            </w:r>
          </w:p>
        </w:tc>
        <w:tc>
          <w:tcPr>
            <w:tcW w:w="2835" w:type="dxa"/>
            <w:tcBorders>
              <w:top w:val="nil"/>
              <w:left w:val="nil"/>
              <w:bottom w:val="nil"/>
              <w:right w:val="nil"/>
            </w:tcBorders>
            <w:tcMar>
              <w:top w:w="28" w:type="dxa"/>
              <w:left w:w="102" w:type="dxa"/>
              <w:bottom w:w="28" w:type="dxa"/>
              <w:right w:w="102" w:type="dxa"/>
            </w:tcMar>
            <w:vAlign w:val="center"/>
          </w:tcPr>
          <w:p w14:paraId="3BB2A87D" w14:textId="4658449D"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noProof/>
              </w:rPr>
              <w:drawing>
                <wp:inline distT="0" distB="0" distL="0" distR="0" wp14:anchorId="434D0AE9" wp14:editId="3AA94615">
                  <wp:extent cx="1737860" cy="1017917"/>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43146" cy="1021013"/>
                          </a:xfrm>
                          <a:prstGeom prst="rect">
                            <a:avLst/>
                          </a:prstGeom>
                        </pic:spPr>
                      </pic:pic>
                    </a:graphicData>
                  </a:graphic>
                </wp:inline>
              </w:drawing>
            </w:r>
          </w:p>
        </w:tc>
        <w:tc>
          <w:tcPr>
            <w:tcW w:w="1991" w:type="dxa"/>
            <w:tcBorders>
              <w:top w:val="nil"/>
              <w:left w:val="nil"/>
              <w:bottom w:val="nil"/>
              <w:right w:val="nil"/>
            </w:tcBorders>
            <w:tcMar>
              <w:top w:w="28" w:type="dxa"/>
              <w:left w:w="102" w:type="dxa"/>
              <w:bottom w:w="28" w:type="dxa"/>
              <w:right w:w="102" w:type="dxa"/>
            </w:tcMar>
            <w:vAlign w:val="center"/>
          </w:tcPr>
          <w:p w14:paraId="4FF6A305" w14:textId="5452DF3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8</w:t>
            </w:r>
            <w:r w:rsidR="00E349B1" w:rsidRPr="0069504D">
              <w:rPr>
                <w:rFonts w:ascii="Times New Roman" w:hAnsi="Times New Roman" w:cs="Times New Roman"/>
                <w:kern w:val="0"/>
                <w:sz w:val="24"/>
              </w:rPr>
              <w:t>.</w:t>
            </w:r>
            <w:r w:rsidRPr="0069504D">
              <w:rPr>
                <w:rFonts w:ascii="Times New Roman" w:hAnsi="Times New Roman" w:cs="Times New Roman"/>
                <w:kern w:val="0"/>
                <w:sz w:val="24"/>
              </w:rPr>
              <w:t>9</w:t>
            </w:r>
            <w:r w:rsidR="00E349B1" w:rsidRPr="0069504D">
              <w:rPr>
                <w:rFonts w:ascii="Times New Roman" w:hAnsi="Times New Roman" w:cs="Times New Roman" w:hint="eastAsia"/>
                <w:kern w:val="0"/>
                <w:sz w:val="24"/>
              </w:rPr>
              <w:t>×</w:t>
            </w:r>
            <w:r w:rsidR="00E349B1" w:rsidRPr="0069504D">
              <w:rPr>
                <w:rFonts w:ascii="Times New Roman" w:hAnsi="Times New Roman" w:cs="Times New Roman" w:hint="eastAsia"/>
                <w:kern w:val="0"/>
                <w:sz w:val="24"/>
              </w:rPr>
              <w:t>1</w:t>
            </w:r>
            <w:r w:rsidR="00E349B1" w:rsidRPr="0069504D">
              <w:rPr>
                <w:rFonts w:ascii="Times New Roman" w:hAnsi="Times New Roman" w:cs="Times New Roman"/>
                <w:kern w:val="0"/>
                <w:sz w:val="24"/>
              </w:rPr>
              <w:t>0</w:t>
            </w:r>
            <w:r w:rsidR="00E349B1" w:rsidRPr="0069504D">
              <w:rPr>
                <w:rFonts w:ascii="Times New Roman" w:hAnsi="Times New Roman" w:cs="Times New Roman"/>
                <w:kern w:val="0"/>
                <w:sz w:val="24"/>
                <w:vertAlign w:val="superscript"/>
              </w:rPr>
              <w:t>-1</w:t>
            </w:r>
          </w:p>
        </w:tc>
        <w:tc>
          <w:tcPr>
            <w:tcW w:w="2025" w:type="dxa"/>
            <w:tcBorders>
              <w:top w:val="nil"/>
              <w:left w:val="nil"/>
              <w:bottom w:val="nil"/>
              <w:right w:val="nil"/>
            </w:tcBorders>
            <w:vAlign w:val="center"/>
          </w:tcPr>
          <w:p w14:paraId="6E7C1DB4" w14:textId="798F2D01"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p>
        </w:tc>
        <w:tc>
          <w:tcPr>
            <w:tcW w:w="1458" w:type="dxa"/>
            <w:tcBorders>
              <w:top w:val="nil"/>
              <w:left w:val="nil"/>
              <w:bottom w:val="nil"/>
              <w:right w:val="nil"/>
            </w:tcBorders>
            <w:tcMar>
              <w:top w:w="28" w:type="dxa"/>
              <w:left w:w="102" w:type="dxa"/>
              <w:bottom w:w="28" w:type="dxa"/>
              <w:right w:w="102" w:type="dxa"/>
            </w:tcMar>
            <w:vAlign w:val="center"/>
          </w:tcPr>
          <w:p w14:paraId="2A8C6D77" w14:textId="2DEC69C3"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fldChar w:fldCharType="begin" w:fldLock="1"/>
            </w:r>
            <w:r w:rsidR="000F1B95">
              <w:rPr>
                <w:rFonts w:ascii="Times New Roman" w:hAnsi="Times New Roman" w:cs="Times New Roman"/>
                <w:kern w:val="0"/>
                <w:sz w:val="24"/>
              </w:rPr>
              <w:instrText>ADDIN CSL_CITATION {"citationItems":[{"id":"ITEM-1","itemData":{"DOI":"10.1007/S10895-018-2299-Z/FIGURES/7","ISSN":"10530509","PMID":"30251064","abstract":"A highly selective chemosensor BHC ((E)-N-benzhydryl-2-((2-hydroxynaphthalen-1-yl)methylene)hydrazine-1-carbothioamide) for detecting indium(III) was synthesized. Sensor BHC can detect In(III) by a fluorescence turn-on method. The detection limit was analyzed to be 0.89 μM. Importantly, this value is the lowest among those previously known for fluorescent turn-on In(III) chemosensors. Based on the analytical methods like ESI-mass, Job plot, and theoretical calculations, the detection mechanism for In(III) was illustrated to be chelation-enhanced fluorescence (CHEF) effect. Additionally, sensor BHC was successfully applied to test strips.","author":[{"dropping-particle":"","family":"Kim","given":"Cheal","non-dropping-particle":"","parse-names":false,"suffix":""},{"dropping-particle":"","family":"Chae","given":"Ju Byeong","non-dropping-particle":"","parse-names":false,"suffix":""}],"container-title":"Journal of Fluorescence","id":"ITEM-1","issue":"6","issued":{"date-parts":[["2018","11","1"]]},"page":"1363-1370","publisher":"Springer New York LLC","title":"A Highly Selective Fluorescent Chemosensor for Detecting Indium(III) with a Low Detection Limit and its Application","type":"article-journal","volume":"28"},"uris":["http://www.mendeley.com/documents/?uuid=cf813f4a-cb4f-3c38-9b7c-4b1312419fe5"]}],"mendeley":{"formattedCitation":"[18]","plainTextFormattedCitation":"[18]","previouslyFormattedCitation":"&lt;sup&gt;[&lt;sup&gt;18&lt;/sup&gt;]&lt;/sup&gt;"},"properties":{"noteIndex":0},"schema":"https://github.com/citation-style-language/schema/raw/master/csl-citation.json"}</w:instrText>
            </w:r>
            <w:r w:rsidRPr="0069504D">
              <w:rPr>
                <w:rFonts w:ascii="Times New Roman" w:hAnsi="Times New Roman" w:cs="Times New Roman"/>
                <w:kern w:val="0"/>
                <w:sz w:val="24"/>
              </w:rPr>
              <w:fldChar w:fldCharType="separate"/>
            </w:r>
            <w:r w:rsidR="003E2FB8" w:rsidRPr="000F1B95">
              <w:rPr>
                <w:rFonts w:ascii="Times New Roman" w:hAnsi="Times New Roman" w:cs="Times New Roman"/>
                <w:noProof/>
                <w:kern w:val="0"/>
                <w:sz w:val="24"/>
              </w:rPr>
              <w:t>[18]</w:t>
            </w:r>
            <w:r w:rsidRPr="0069504D">
              <w:rPr>
                <w:rFonts w:ascii="Times New Roman" w:hAnsi="Times New Roman" w:cs="Times New Roman"/>
                <w:kern w:val="0"/>
                <w:sz w:val="24"/>
              </w:rPr>
              <w:fldChar w:fldCharType="end"/>
            </w:r>
          </w:p>
        </w:tc>
      </w:tr>
      <w:tr w:rsidR="0069504D" w:rsidRPr="0069504D" w14:paraId="2F62109C" w14:textId="77777777" w:rsidTr="0098689A">
        <w:trPr>
          <w:trHeight w:val="2224"/>
          <w:jc w:val="center"/>
        </w:trPr>
        <w:tc>
          <w:tcPr>
            <w:tcW w:w="1134" w:type="dxa"/>
            <w:tcBorders>
              <w:top w:val="nil"/>
              <w:left w:val="nil"/>
              <w:bottom w:val="single" w:sz="2" w:space="0" w:color="000000"/>
              <w:right w:val="nil"/>
            </w:tcBorders>
            <w:vAlign w:val="center"/>
          </w:tcPr>
          <w:p w14:paraId="46CDCD02" w14:textId="251B80F3"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19</w:t>
            </w:r>
          </w:p>
        </w:tc>
        <w:tc>
          <w:tcPr>
            <w:tcW w:w="2835" w:type="dxa"/>
            <w:tcBorders>
              <w:top w:val="nil"/>
              <w:left w:val="nil"/>
              <w:bottom w:val="single" w:sz="2" w:space="0" w:color="000000"/>
              <w:right w:val="nil"/>
            </w:tcBorders>
            <w:tcMar>
              <w:top w:w="28" w:type="dxa"/>
              <w:left w:w="102" w:type="dxa"/>
              <w:bottom w:w="28" w:type="dxa"/>
              <w:right w:w="102" w:type="dxa"/>
            </w:tcMar>
            <w:vAlign w:val="center"/>
          </w:tcPr>
          <w:p w14:paraId="603E900E" w14:textId="20315EB6" w:rsidR="0098689A" w:rsidRPr="0069504D" w:rsidRDefault="0098689A" w:rsidP="00986B49">
            <w:pPr>
              <w:widowControl/>
              <w:wordWrap/>
              <w:adjustRightInd w:val="0"/>
              <w:spacing w:afterLines="100" w:after="240" w:line="360" w:lineRule="auto"/>
              <w:jc w:val="center"/>
              <w:rPr>
                <w:rFonts w:ascii="Times New Roman" w:hAnsi="Times New Roman" w:cs="Times New Roman"/>
                <w:b/>
                <w:bCs/>
                <w:kern w:val="0"/>
                <w:sz w:val="24"/>
              </w:rPr>
            </w:pPr>
            <w:r w:rsidRPr="0069504D">
              <w:rPr>
                <w:rFonts w:ascii="Times New Roman" w:hAnsi="Times New Roman" w:cs="Times New Roman"/>
                <w:b/>
                <w:bCs/>
                <w:noProof/>
                <w:kern w:val="0"/>
                <w:sz w:val="24"/>
              </w:rPr>
              <w:drawing>
                <wp:inline distT="0" distB="0" distL="0" distR="0" wp14:anchorId="210B2FA1" wp14:editId="0AF26A7A">
                  <wp:extent cx="1794815" cy="1164566"/>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921" cy="1186696"/>
                          </a:xfrm>
                          <a:prstGeom prst="rect">
                            <a:avLst/>
                          </a:prstGeom>
                          <a:noFill/>
                        </pic:spPr>
                      </pic:pic>
                    </a:graphicData>
                  </a:graphic>
                </wp:inline>
              </w:drawing>
            </w:r>
          </w:p>
        </w:tc>
        <w:tc>
          <w:tcPr>
            <w:tcW w:w="1991" w:type="dxa"/>
            <w:tcBorders>
              <w:top w:val="nil"/>
              <w:left w:val="nil"/>
              <w:bottom w:val="single" w:sz="2" w:space="0" w:color="000000"/>
              <w:right w:val="nil"/>
            </w:tcBorders>
            <w:tcMar>
              <w:top w:w="28" w:type="dxa"/>
              <w:left w:w="102" w:type="dxa"/>
              <w:bottom w:w="28" w:type="dxa"/>
              <w:right w:w="102" w:type="dxa"/>
            </w:tcMar>
            <w:vAlign w:val="center"/>
          </w:tcPr>
          <w:p w14:paraId="5B294A1E" w14:textId="7D72C35F"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8</w:t>
            </w:r>
            <w:r w:rsidR="00E349B1" w:rsidRPr="0069504D">
              <w:rPr>
                <w:rFonts w:ascii="Times New Roman" w:hAnsi="Times New Roman" w:cs="Times New Roman"/>
                <w:kern w:val="0"/>
                <w:sz w:val="24"/>
              </w:rPr>
              <w:t>.</w:t>
            </w:r>
            <w:r w:rsidRPr="0069504D">
              <w:rPr>
                <w:rFonts w:ascii="Times New Roman" w:hAnsi="Times New Roman" w:cs="Times New Roman"/>
                <w:kern w:val="0"/>
                <w:sz w:val="24"/>
              </w:rPr>
              <w:t>3</w:t>
            </w:r>
            <w:r w:rsidR="00E349B1" w:rsidRPr="0069504D">
              <w:rPr>
                <w:rFonts w:ascii="Times New Roman" w:hAnsi="Times New Roman" w:cs="Times New Roman" w:hint="eastAsia"/>
                <w:kern w:val="0"/>
                <w:sz w:val="24"/>
              </w:rPr>
              <w:t>×</w:t>
            </w:r>
            <w:r w:rsidR="00E349B1" w:rsidRPr="0069504D">
              <w:rPr>
                <w:rFonts w:ascii="Times New Roman" w:hAnsi="Times New Roman" w:cs="Times New Roman" w:hint="eastAsia"/>
                <w:kern w:val="0"/>
                <w:sz w:val="24"/>
              </w:rPr>
              <w:t>1</w:t>
            </w:r>
            <w:r w:rsidR="00E349B1" w:rsidRPr="0069504D">
              <w:rPr>
                <w:rFonts w:ascii="Times New Roman" w:hAnsi="Times New Roman" w:cs="Times New Roman"/>
                <w:kern w:val="0"/>
                <w:sz w:val="24"/>
              </w:rPr>
              <w:t>0</w:t>
            </w:r>
            <w:r w:rsidR="00E349B1" w:rsidRPr="0069504D">
              <w:rPr>
                <w:rFonts w:ascii="Times New Roman" w:hAnsi="Times New Roman" w:cs="Times New Roman"/>
                <w:kern w:val="0"/>
                <w:sz w:val="24"/>
                <w:vertAlign w:val="superscript"/>
              </w:rPr>
              <w:t>-1</w:t>
            </w:r>
          </w:p>
        </w:tc>
        <w:tc>
          <w:tcPr>
            <w:tcW w:w="2025" w:type="dxa"/>
            <w:tcBorders>
              <w:top w:val="nil"/>
              <w:left w:val="nil"/>
              <w:bottom w:val="single" w:sz="2" w:space="0" w:color="000000"/>
              <w:right w:val="nil"/>
            </w:tcBorders>
            <w:vAlign w:val="center"/>
          </w:tcPr>
          <w:p w14:paraId="49DDC776" w14:textId="61B43A6B"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In</w:t>
            </w:r>
            <w:r w:rsidRPr="0069504D">
              <w:rPr>
                <w:rFonts w:ascii="Times New Roman" w:hAnsi="Times New Roman" w:cs="Times New Roman"/>
                <w:kern w:val="0"/>
                <w:sz w:val="24"/>
                <w:vertAlign w:val="superscript"/>
              </w:rPr>
              <w:t>3+</w:t>
            </w:r>
            <w:r w:rsidRPr="0069504D">
              <w:rPr>
                <w:rFonts w:ascii="Times New Roman" w:hAnsi="Times New Roman" w:cs="Times New Roman"/>
                <w:kern w:val="0"/>
                <w:sz w:val="24"/>
              </w:rPr>
              <w:t xml:space="preserve"> and ClO</w:t>
            </w:r>
            <w:r w:rsidRPr="0069504D">
              <w:rPr>
                <w:rFonts w:ascii="Times New Roman" w:hAnsi="Times New Roman" w:cs="Times New Roman"/>
                <w:kern w:val="0"/>
                <w:sz w:val="24"/>
                <w:vertAlign w:val="superscript"/>
              </w:rPr>
              <w:t>-</w:t>
            </w:r>
          </w:p>
        </w:tc>
        <w:tc>
          <w:tcPr>
            <w:tcW w:w="1458" w:type="dxa"/>
            <w:tcBorders>
              <w:top w:val="nil"/>
              <w:left w:val="nil"/>
              <w:bottom w:val="single" w:sz="2" w:space="0" w:color="000000"/>
              <w:right w:val="nil"/>
            </w:tcBorders>
            <w:tcMar>
              <w:top w:w="28" w:type="dxa"/>
              <w:left w:w="102" w:type="dxa"/>
              <w:bottom w:w="28" w:type="dxa"/>
              <w:right w:w="102" w:type="dxa"/>
            </w:tcMar>
            <w:vAlign w:val="center"/>
          </w:tcPr>
          <w:p w14:paraId="5C39C5B1" w14:textId="4A93EFA2" w:rsidR="0098689A" w:rsidRPr="0069504D" w:rsidRDefault="0098689A" w:rsidP="00986B49">
            <w:pPr>
              <w:widowControl/>
              <w:wordWrap/>
              <w:adjustRightInd w:val="0"/>
              <w:spacing w:afterLines="100" w:after="240" w:line="360" w:lineRule="auto"/>
              <w:jc w:val="center"/>
              <w:rPr>
                <w:rFonts w:ascii="Times New Roman" w:hAnsi="Times New Roman" w:cs="Times New Roman"/>
                <w:kern w:val="0"/>
                <w:sz w:val="24"/>
              </w:rPr>
            </w:pPr>
            <w:r w:rsidRPr="0069504D">
              <w:rPr>
                <w:rFonts w:ascii="Times New Roman" w:hAnsi="Times New Roman" w:cs="Times New Roman"/>
                <w:kern w:val="0"/>
                <w:sz w:val="24"/>
              </w:rPr>
              <w:t>This work</w:t>
            </w:r>
          </w:p>
        </w:tc>
      </w:tr>
    </w:tbl>
    <w:bookmarkEnd w:id="4"/>
    <w:p w14:paraId="11597D49" w14:textId="060EB770" w:rsidR="00274B34" w:rsidRPr="0069504D" w:rsidRDefault="002E7271">
      <w:pPr>
        <w:widowControl/>
        <w:wordWrap/>
        <w:autoSpaceDE/>
        <w:autoSpaceDN/>
        <w:rPr>
          <w:rFonts w:ascii="Times New Roman" w:hAnsi="Times New Roman" w:cs="Times New Roman"/>
          <w:b/>
          <w:sz w:val="24"/>
        </w:rPr>
      </w:pPr>
      <w:r w:rsidRPr="0069504D">
        <w:rPr>
          <w:rFonts w:ascii="Times New Roman" w:hAnsi="Times New Roman" w:cs="Times New Roman"/>
          <w:b/>
          <w:sz w:val="24"/>
        </w:rPr>
        <w:t xml:space="preserve">        </w:t>
      </w:r>
    </w:p>
    <w:p w14:paraId="7DA00911" w14:textId="77777777" w:rsidR="00697F7F" w:rsidRPr="0069504D" w:rsidRDefault="00697F7F">
      <w:pPr>
        <w:widowControl/>
        <w:wordWrap/>
        <w:autoSpaceDE/>
        <w:autoSpaceDN/>
        <w:rPr>
          <w:rFonts w:ascii="Times New Roman" w:hAnsi="Times New Roman" w:cs="Times New Roman"/>
          <w:b/>
          <w:sz w:val="24"/>
        </w:rPr>
      </w:pPr>
    </w:p>
    <w:p w14:paraId="0B653985" w14:textId="6B05F3C1" w:rsidR="00AC44C6" w:rsidRPr="0069504D" w:rsidRDefault="00BD69A8" w:rsidP="0016007D">
      <w:pPr>
        <w:wordWrap/>
        <w:adjustRightInd w:val="0"/>
        <w:spacing w:line="360" w:lineRule="auto"/>
        <w:jc w:val="left"/>
        <w:rPr>
          <w:rFonts w:ascii="Times New Roman" w:hAnsi="Times New Roman" w:cs="Times New Roman"/>
          <w:b/>
          <w:sz w:val="24"/>
        </w:rPr>
      </w:pPr>
      <w:r w:rsidRPr="0069504D">
        <w:rPr>
          <w:rFonts w:ascii="Times New Roman" w:hAnsi="Times New Roman" w:cs="Times New Roman"/>
          <w:b/>
          <w:sz w:val="24"/>
        </w:rPr>
        <w:lastRenderedPageBreak/>
        <w:t>Reference</w:t>
      </w:r>
    </w:p>
    <w:p w14:paraId="3D1AD1B8" w14:textId="1956E5C7" w:rsidR="000F1B95" w:rsidRPr="000F1B95" w:rsidRDefault="0016007D" w:rsidP="000F1B95">
      <w:pPr>
        <w:wordWrap/>
        <w:adjustRightInd w:val="0"/>
        <w:spacing w:line="360" w:lineRule="auto"/>
        <w:ind w:left="640" w:hanging="640"/>
        <w:jc w:val="left"/>
        <w:rPr>
          <w:rFonts w:ascii="Times New Roman" w:hAnsi="Times New Roman" w:cs="Times New Roman"/>
          <w:noProof/>
          <w:kern w:val="0"/>
          <w:sz w:val="24"/>
          <w:szCs w:val="24"/>
        </w:rPr>
      </w:pPr>
      <w:r w:rsidRPr="0069504D">
        <w:rPr>
          <w:rFonts w:ascii="Times New Roman" w:eastAsia="SimSun" w:hAnsi="Times New Roman" w:cs="Times New Roman"/>
          <w:sz w:val="24"/>
          <w:lang w:eastAsia="zh-CN"/>
        </w:rPr>
        <w:fldChar w:fldCharType="begin" w:fldLock="1"/>
      </w:r>
      <w:r w:rsidRPr="0069504D">
        <w:rPr>
          <w:rFonts w:ascii="Times New Roman" w:eastAsia="SimSun" w:hAnsi="Times New Roman" w:cs="Times New Roman"/>
          <w:sz w:val="24"/>
          <w:lang w:eastAsia="zh-CN"/>
        </w:rPr>
        <w:instrText xml:space="preserve">ADDIN Mendeley Bibliography CSL_BIBLIOGRAPHY </w:instrText>
      </w:r>
      <w:r w:rsidRPr="0069504D">
        <w:rPr>
          <w:rFonts w:ascii="Times New Roman" w:eastAsia="SimSun" w:hAnsi="Times New Roman" w:cs="Times New Roman"/>
          <w:sz w:val="24"/>
          <w:lang w:eastAsia="zh-CN"/>
        </w:rPr>
        <w:fldChar w:fldCharType="separate"/>
      </w:r>
      <w:r w:rsidR="000F1B95" w:rsidRPr="000F1B95">
        <w:rPr>
          <w:rFonts w:ascii="Times New Roman" w:hAnsi="Times New Roman" w:cs="Times New Roman"/>
          <w:noProof/>
          <w:kern w:val="0"/>
          <w:sz w:val="24"/>
          <w:szCs w:val="24"/>
        </w:rPr>
        <w:t xml:space="preserve">1. </w:t>
      </w:r>
      <w:r w:rsidR="000F1B95" w:rsidRPr="000F1B95">
        <w:rPr>
          <w:rFonts w:ascii="Times New Roman" w:hAnsi="Times New Roman" w:cs="Times New Roman"/>
          <w:noProof/>
          <w:kern w:val="0"/>
          <w:sz w:val="24"/>
          <w:szCs w:val="24"/>
        </w:rPr>
        <w:tab/>
        <w:t>Jang HJ, Kang JH, Yun D, Kim C (2018) A multifunctional selective “turn-on” fluorescent chemosensor for detection of Group IIIA ions Al</w:t>
      </w:r>
      <w:r w:rsidR="000F1B95" w:rsidRPr="000F1B95">
        <w:rPr>
          <w:rFonts w:ascii="Times New Roman" w:hAnsi="Times New Roman" w:cs="Times New Roman"/>
          <w:noProof/>
          <w:kern w:val="0"/>
          <w:sz w:val="24"/>
          <w:szCs w:val="24"/>
          <w:vertAlign w:val="superscript"/>
        </w:rPr>
        <w:t>3+</w:t>
      </w:r>
      <w:r w:rsidR="000F1B95" w:rsidRPr="000F1B95">
        <w:rPr>
          <w:rFonts w:ascii="Times New Roman" w:hAnsi="Times New Roman" w:cs="Times New Roman"/>
          <w:noProof/>
          <w:kern w:val="0"/>
          <w:sz w:val="24"/>
          <w:szCs w:val="24"/>
        </w:rPr>
        <w:t>, Ga</w:t>
      </w:r>
      <w:r w:rsidR="000F1B95" w:rsidRPr="000F1B95">
        <w:rPr>
          <w:rFonts w:ascii="Times New Roman" w:hAnsi="Times New Roman" w:cs="Times New Roman"/>
          <w:noProof/>
          <w:kern w:val="0"/>
          <w:sz w:val="24"/>
          <w:szCs w:val="24"/>
          <w:vertAlign w:val="superscript"/>
        </w:rPr>
        <w:t>3+</w:t>
      </w:r>
      <w:r w:rsidR="000F1B95" w:rsidRPr="000F1B95">
        <w:rPr>
          <w:rFonts w:ascii="Times New Roman" w:hAnsi="Times New Roman" w:cs="Times New Roman"/>
          <w:noProof/>
          <w:kern w:val="0"/>
          <w:sz w:val="24"/>
          <w:szCs w:val="24"/>
        </w:rPr>
        <w:t xml:space="preserve"> and In</w:t>
      </w:r>
      <w:r w:rsidR="000F1B95" w:rsidRPr="000F1B95">
        <w:rPr>
          <w:rFonts w:ascii="Times New Roman" w:hAnsi="Times New Roman" w:cs="Times New Roman"/>
          <w:noProof/>
          <w:kern w:val="0"/>
          <w:sz w:val="24"/>
          <w:szCs w:val="24"/>
          <w:vertAlign w:val="superscript"/>
        </w:rPr>
        <w:t>3+</w:t>
      </w:r>
      <w:r w:rsidR="000F1B95" w:rsidRPr="000F1B95">
        <w:rPr>
          <w:rFonts w:ascii="Times New Roman" w:hAnsi="Times New Roman" w:cs="Times New Roman"/>
          <w:noProof/>
          <w:kern w:val="0"/>
          <w:sz w:val="24"/>
          <w:szCs w:val="24"/>
        </w:rPr>
        <w:t>. Photochem Photobiol Sci 17:1247–1255</w:t>
      </w:r>
    </w:p>
    <w:p w14:paraId="48EC636C"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2. </w:t>
      </w:r>
      <w:r w:rsidRPr="000F1B95">
        <w:rPr>
          <w:rFonts w:ascii="Times New Roman" w:hAnsi="Times New Roman" w:cs="Times New Roman"/>
          <w:noProof/>
          <w:kern w:val="0"/>
          <w:sz w:val="24"/>
          <w:szCs w:val="24"/>
        </w:rPr>
        <w:tab/>
        <w:t>Lee SY, Yang M, Kim C (2018) A dual target chemosensor for the fluorometric detection of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colorimetric detection of Fe</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Spectrochim Acta A Mol Biomol Spectrosc 205:622–629</w:t>
      </w:r>
    </w:p>
    <w:p w14:paraId="2FAF0F6F"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3. </w:t>
      </w:r>
      <w:r w:rsidRPr="000F1B95">
        <w:rPr>
          <w:rFonts w:ascii="Times New Roman" w:hAnsi="Times New Roman" w:cs="Times New Roman"/>
          <w:noProof/>
          <w:kern w:val="0"/>
          <w:sz w:val="24"/>
          <w:szCs w:val="24"/>
        </w:rPr>
        <w:tab/>
        <w:t>Lee SC, Kim C (2020) A thiourea-naphthol based turn-on fluorescent sensor for detecting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its application. Inorg Chem Commun 112:107752</w:t>
      </w:r>
    </w:p>
    <w:p w14:paraId="69EFF00F"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4. </w:t>
      </w:r>
      <w:r w:rsidRPr="000F1B95">
        <w:rPr>
          <w:rFonts w:ascii="Times New Roman" w:hAnsi="Times New Roman" w:cs="Times New Roman"/>
          <w:noProof/>
          <w:kern w:val="0"/>
          <w:sz w:val="24"/>
          <w:szCs w:val="24"/>
        </w:rPr>
        <w:tab/>
        <w:t>Lee M, Lee JJ, Kim C (2022) Sensitive fluorescent determination of indium (III) by a thiourea–quinoline-based chemosensor. Instrum Sci Technol 50:481–495</w:t>
      </w:r>
    </w:p>
    <w:p w14:paraId="34D96E61"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5. </w:t>
      </w:r>
      <w:r w:rsidRPr="000F1B95">
        <w:rPr>
          <w:rFonts w:ascii="Times New Roman" w:hAnsi="Times New Roman" w:cs="Times New Roman"/>
          <w:noProof/>
          <w:kern w:val="0"/>
          <w:sz w:val="24"/>
          <w:szCs w:val="24"/>
        </w:rPr>
        <w:tab/>
        <w:t>Kim A, Kim C (2019) A hydrazono-quinoline-based chemosensor sensing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Zn</w:t>
      </w:r>
      <w:r w:rsidRPr="000F1B95">
        <w:rPr>
          <w:rFonts w:ascii="Times New Roman" w:hAnsi="Times New Roman" w:cs="Times New Roman"/>
          <w:noProof/>
          <w:kern w:val="0"/>
          <w:sz w:val="24"/>
          <w:szCs w:val="24"/>
          <w:vertAlign w:val="superscript"/>
        </w:rPr>
        <w:t>2+</w:t>
      </w:r>
      <w:r w:rsidRPr="000F1B95">
        <w:rPr>
          <w:rFonts w:ascii="Times New Roman" w:hAnsi="Times New Roman" w:cs="Times New Roman"/>
          <w:noProof/>
          <w:kern w:val="0"/>
          <w:sz w:val="24"/>
          <w:szCs w:val="24"/>
        </w:rPr>
        <w:t xml:space="preserve"> via fluorescence turn-on and ClO</w:t>
      </w:r>
      <w:r w:rsidRPr="000F1B95">
        <w:rPr>
          <w:rFonts w:ascii="Times New Roman" w:hAnsi="Times New Roman" w:cs="Times New Roman"/>
          <w:noProof/>
          <w:kern w:val="0"/>
          <w:sz w:val="24"/>
          <w:szCs w:val="24"/>
          <w:vertAlign w:val="superscript"/>
        </w:rPr>
        <w:t>−</w:t>
      </w:r>
      <w:r w:rsidRPr="000F1B95">
        <w:rPr>
          <w:rFonts w:ascii="Times New Roman" w:hAnsi="Times New Roman" w:cs="Times New Roman"/>
          <w:noProof/>
          <w:kern w:val="0"/>
          <w:sz w:val="24"/>
          <w:szCs w:val="24"/>
        </w:rPr>
        <w:t xml:space="preserve"> via color change in aqueous solution. New J Chem 43:7320–7328</w:t>
      </w:r>
    </w:p>
    <w:p w14:paraId="146C4D8B"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6. </w:t>
      </w:r>
      <w:r w:rsidRPr="000F1B95">
        <w:rPr>
          <w:rFonts w:ascii="Times New Roman" w:hAnsi="Times New Roman" w:cs="Times New Roman"/>
          <w:noProof/>
          <w:kern w:val="0"/>
          <w:sz w:val="24"/>
          <w:szCs w:val="24"/>
        </w:rPr>
        <w:tab/>
        <w:t>Zhang Y, Li B (2022) A multifunctional selective fluorescent chemosensor for detection of Ga</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Fe</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in different solvents. J Mol Struct 1250:131461</w:t>
      </w:r>
    </w:p>
    <w:p w14:paraId="19E779DB"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7. </w:t>
      </w:r>
      <w:r w:rsidRPr="000F1B95">
        <w:rPr>
          <w:rFonts w:ascii="Times New Roman" w:hAnsi="Times New Roman" w:cs="Times New Roman"/>
          <w:noProof/>
          <w:kern w:val="0"/>
          <w:sz w:val="24"/>
          <w:szCs w:val="24"/>
        </w:rPr>
        <w:tab/>
        <w:t>Kho YM, Shin EJ (2017) Spiropyran-Isoquinoline Dyad as a Dual Chemosensor for Co(II) and In(III) Detection. Molecules 22:1569</w:t>
      </w:r>
    </w:p>
    <w:p w14:paraId="603A8E6A"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8. </w:t>
      </w:r>
      <w:r w:rsidRPr="000F1B95">
        <w:rPr>
          <w:rFonts w:ascii="Times New Roman" w:hAnsi="Times New Roman" w:cs="Times New Roman"/>
          <w:noProof/>
          <w:kern w:val="0"/>
          <w:sz w:val="24"/>
          <w:szCs w:val="24"/>
        </w:rPr>
        <w:tab/>
        <w:t>Mujthaba Aatif A, Selva Kumar R, Joseph S, et al (2023) Pyridinecarbohydrazide-based fluorescent chemosensor for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ions and its applications in water samples, live cells, and zebrafish imaging. J Photochem Photobiol A Chem 434:114257</w:t>
      </w:r>
    </w:p>
    <w:p w14:paraId="417659C4"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9. </w:t>
      </w:r>
      <w:r w:rsidRPr="000F1B95">
        <w:rPr>
          <w:rFonts w:ascii="Times New Roman" w:hAnsi="Times New Roman" w:cs="Times New Roman"/>
          <w:noProof/>
          <w:kern w:val="0"/>
          <w:sz w:val="24"/>
          <w:szCs w:val="24"/>
        </w:rPr>
        <w:tab/>
        <w:t>Yang M, Lee JJ, Yun D, et al (2023) In vitro and vivo application of a rhodanine-based fluorescence sensor for detection and bioimaging of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at neutral pH. J Photochem Photobiol A Chem 434:114249</w:t>
      </w:r>
    </w:p>
    <w:p w14:paraId="745E8533"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10. </w:t>
      </w:r>
      <w:r w:rsidRPr="000F1B95">
        <w:rPr>
          <w:rFonts w:ascii="Times New Roman" w:hAnsi="Times New Roman" w:cs="Times New Roman"/>
          <w:noProof/>
          <w:kern w:val="0"/>
          <w:sz w:val="24"/>
          <w:szCs w:val="24"/>
        </w:rPr>
        <w:tab/>
        <w:t>Xu Y, Yuan S, Zhang Y, et al (2020) A new multifunctional sensor for sequential recognizing of Zn</w:t>
      </w:r>
      <w:r w:rsidRPr="000F1B95">
        <w:rPr>
          <w:rFonts w:ascii="Times New Roman" w:hAnsi="Times New Roman" w:cs="Times New Roman"/>
          <w:noProof/>
          <w:kern w:val="0"/>
          <w:sz w:val="24"/>
          <w:szCs w:val="24"/>
          <w:vertAlign w:val="superscript"/>
        </w:rPr>
        <w:t>2+</w:t>
      </w:r>
      <w:r w:rsidRPr="000F1B95">
        <w:rPr>
          <w:rFonts w:ascii="Times New Roman" w:hAnsi="Times New Roman" w:cs="Times New Roman"/>
          <w:noProof/>
          <w:kern w:val="0"/>
          <w:sz w:val="24"/>
          <w:szCs w:val="24"/>
        </w:rPr>
        <w:t xml:space="preserve"> and PPi in acetonitrile solution and detection of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in DMF solution. </w:t>
      </w:r>
      <w:r w:rsidRPr="000F1B95">
        <w:rPr>
          <w:rFonts w:ascii="Times New Roman" w:hAnsi="Times New Roman" w:cs="Times New Roman"/>
          <w:noProof/>
          <w:kern w:val="0"/>
          <w:sz w:val="24"/>
          <w:szCs w:val="24"/>
        </w:rPr>
        <w:lastRenderedPageBreak/>
        <w:t>J Photochem Photobiol A Chem 392:112348</w:t>
      </w:r>
    </w:p>
    <w:p w14:paraId="6928DCED"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11. </w:t>
      </w:r>
      <w:r w:rsidRPr="000F1B95">
        <w:rPr>
          <w:rFonts w:ascii="Times New Roman" w:hAnsi="Times New Roman" w:cs="Times New Roman"/>
          <w:noProof/>
          <w:kern w:val="0"/>
          <w:sz w:val="24"/>
          <w:szCs w:val="24"/>
        </w:rPr>
        <w:tab/>
        <w:t>Finelli A, Chabert V, Hérault N, et al (2019) Sequential Multiple-Target Sensor: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Fe</w:t>
      </w:r>
      <w:r w:rsidRPr="000F1B95">
        <w:rPr>
          <w:rFonts w:ascii="Times New Roman" w:hAnsi="Times New Roman" w:cs="Times New Roman"/>
          <w:noProof/>
          <w:kern w:val="0"/>
          <w:sz w:val="24"/>
          <w:szCs w:val="24"/>
          <w:vertAlign w:val="superscript"/>
        </w:rPr>
        <w:t>2+</w:t>
      </w:r>
      <w:r w:rsidRPr="000F1B95">
        <w:rPr>
          <w:rFonts w:ascii="Times New Roman" w:hAnsi="Times New Roman" w:cs="Times New Roman"/>
          <w:noProof/>
          <w:kern w:val="0"/>
          <w:sz w:val="24"/>
          <w:szCs w:val="24"/>
        </w:rPr>
        <w:t>, and Fe</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Discrimination by an Anthracene-Based Probe. Inorg Chem 58:13796–13806</w:t>
      </w:r>
    </w:p>
    <w:p w14:paraId="5FB06369"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12. </w:t>
      </w:r>
      <w:r w:rsidRPr="000F1B95">
        <w:rPr>
          <w:rFonts w:ascii="Times New Roman" w:hAnsi="Times New Roman" w:cs="Times New Roman"/>
          <w:noProof/>
          <w:kern w:val="0"/>
          <w:sz w:val="24"/>
          <w:szCs w:val="24"/>
        </w:rPr>
        <w:tab/>
        <w:t>Sung KK, Su HK, Hyun JK, et al (2005) Indium(III)-induced fluorescent excimer formation and extinction in calix[4]arene-fluoroionophores. Inorg Chem 44:7866–7875</w:t>
      </w:r>
    </w:p>
    <w:p w14:paraId="0CE2A1E4"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13. </w:t>
      </w:r>
      <w:r w:rsidRPr="000F1B95">
        <w:rPr>
          <w:rFonts w:ascii="Times New Roman" w:hAnsi="Times New Roman" w:cs="Times New Roman"/>
          <w:noProof/>
          <w:kern w:val="0"/>
          <w:sz w:val="24"/>
          <w:szCs w:val="24"/>
        </w:rPr>
        <w:tab/>
        <w:t>Xing Y, Liu Z, Xu Y, et al (2020) Double Schiff base from thiophene-2,5-dicarboxylic acid as an “off–on–off” fluorescence sensor for the sequential detection of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PPi. New J Chem 44:13875–13881</w:t>
      </w:r>
    </w:p>
    <w:p w14:paraId="6D696D22"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14. </w:t>
      </w:r>
      <w:r w:rsidRPr="000F1B95">
        <w:rPr>
          <w:rFonts w:ascii="Times New Roman" w:hAnsi="Times New Roman" w:cs="Times New Roman"/>
          <w:noProof/>
          <w:kern w:val="0"/>
          <w:sz w:val="24"/>
          <w:szCs w:val="24"/>
        </w:rPr>
        <w:tab/>
        <w:t>Li B, Liu Z, Li L, et al (2021) A Schiff base sensor for relay monitoring of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Fe</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through “off–on–off” fluorescent signals. New J Chem 45:6753–6759</w:t>
      </w:r>
    </w:p>
    <w:p w14:paraId="008CB23B"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15. </w:t>
      </w:r>
      <w:r w:rsidRPr="000F1B95">
        <w:rPr>
          <w:rFonts w:ascii="Times New Roman" w:hAnsi="Times New Roman" w:cs="Times New Roman"/>
          <w:noProof/>
          <w:kern w:val="0"/>
          <w:sz w:val="24"/>
          <w:szCs w:val="24"/>
        </w:rPr>
        <w:tab/>
        <w:t>Xu Y, Zhao S, Zhang Y, et al (2020) A selective “turn-on” sensor for recognizing In</w:t>
      </w:r>
      <w:r w:rsidRPr="000F1B95">
        <w:rPr>
          <w:rFonts w:ascii="Times New Roman" w:hAnsi="Times New Roman" w:cs="Times New Roman"/>
          <w:noProof/>
          <w:kern w:val="0"/>
          <w:sz w:val="24"/>
          <w:szCs w:val="24"/>
          <w:vertAlign w:val="superscript"/>
        </w:rPr>
        <w:t>3+</w:t>
      </w:r>
      <w:r w:rsidRPr="000F1B95">
        <w:rPr>
          <w:rFonts w:ascii="Times New Roman" w:hAnsi="Times New Roman" w:cs="Times New Roman"/>
          <w:noProof/>
          <w:kern w:val="0"/>
          <w:sz w:val="24"/>
          <w:szCs w:val="24"/>
        </w:rPr>
        <w:t xml:space="preserve"> and Zn</w:t>
      </w:r>
      <w:r w:rsidRPr="000F1B95">
        <w:rPr>
          <w:rFonts w:ascii="Times New Roman" w:hAnsi="Times New Roman" w:cs="Times New Roman"/>
          <w:noProof/>
          <w:kern w:val="0"/>
          <w:sz w:val="24"/>
          <w:szCs w:val="24"/>
          <w:vertAlign w:val="superscript"/>
        </w:rPr>
        <w:t>2+</w:t>
      </w:r>
      <w:r w:rsidRPr="000F1B95">
        <w:rPr>
          <w:rFonts w:ascii="Times New Roman" w:hAnsi="Times New Roman" w:cs="Times New Roman"/>
          <w:noProof/>
          <w:kern w:val="0"/>
          <w:sz w:val="24"/>
          <w:szCs w:val="24"/>
        </w:rPr>
        <w:t xml:space="preserve"> in respective systems based on imidazo [2,1-Whiazole. Photochem Photobiol Sci 2020 192 19:289–298</w:t>
      </w:r>
    </w:p>
    <w:p w14:paraId="309E4518"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16. </w:t>
      </w:r>
      <w:r w:rsidRPr="000F1B95">
        <w:rPr>
          <w:rFonts w:ascii="Times New Roman" w:hAnsi="Times New Roman" w:cs="Times New Roman"/>
          <w:noProof/>
          <w:kern w:val="0"/>
          <w:sz w:val="24"/>
          <w:szCs w:val="24"/>
        </w:rPr>
        <w:tab/>
        <w:t>Kim A, Kang JH, Jang HJ, Kim C (2018) Fluorescent detection of Zn(II) and In(III) and colorimetric detection of Cu(II) and Co(II) by a versatile chemosensor. J Ind Eng Chem 65:290–299</w:t>
      </w:r>
    </w:p>
    <w:p w14:paraId="42CD8462"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kern w:val="0"/>
          <w:sz w:val="24"/>
          <w:szCs w:val="24"/>
        </w:rPr>
      </w:pPr>
      <w:r w:rsidRPr="000F1B95">
        <w:rPr>
          <w:rFonts w:ascii="Times New Roman" w:hAnsi="Times New Roman" w:cs="Times New Roman"/>
          <w:noProof/>
          <w:kern w:val="0"/>
          <w:sz w:val="24"/>
          <w:szCs w:val="24"/>
        </w:rPr>
        <w:t xml:space="preserve">17. </w:t>
      </w:r>
      <w:r w:rsidRPr="000F1B95">
        <w:rPr>
          <w:rFonts w:ascii="Times New Roman" w:hAnsi="Times New Roman" w:cs="Times New Roman"/>
          <w:noProof/>
          <w:kern w:val="0"/>
          <w:sz w:val="24"/>
          <w:szCs w:val="24"/>
        </w:rPr>
        <w:tab/>
        <w:t>Cho H, Chae JB, Kim C (2018) A thiophene-based blue-fluorescent emitting chemosensor for detecting indium (III) ion. Inorg Chem Commun 97:171–175</w:t>
      </w:r>
    </w:p>
    <w:p w14:paraId="615C80B3" w14:textId="77777777" w:rsidR="000F1B95" w:rsidRPr="000F1B95" w:rsidRDefault="000F1B95" w:rsidP="000F1B95">
      <w:pPr>
        <w:wordWrap/>
        <w:adjustRightInd w:val="0"/>
        <w:spacing w:line="360" w:lineRule="auto"/>
        <w:ind w:left="640" w:hanging="640"/>
        <w:jc w:val="left"/>
        <w:rPr>
          <w:rFonts w:ascii="Times New Roman" w:hAnsi="Times New Roman" w:cs="Times New Roman"/>
          <w:noProof/>
          <w:sz w:val="24"/>
        </w:rPr>
      </w:pPr>
      <w:r w:rsidRPr="000F1B95">
        <w:rPr>
          <w:rFonts w:ascii="Times New Roman" w:hAnsi="Times New Roman" w:cs="Times New Roman"/>
          <w:noProof/>
          <w:kern w:val="0"/>
          <w:sz w:val="24"/>
          <w:szCs w:val="24"/>
        </w:rPr>
        <w:t xml:space="preserve">18. </w:t>
      </w:r>
      <w:r w:rsidRPr="000F1B95">
        <w:rPr>
          <w:rFonts w:ascii="Times New Roman" w:hAnsi="Times New Roman" w:cs="Times New Roman"/>
          <w:noProof/>
          <w:kern w:val="0"/>
          <w:sz w:val="24"/>
          <w:szCs w:val="24"/>
        </w:rPr>
        <w:tab/>
        <w:t>Kim C, Chae JB (2018) A Highly Selective Fluorescent Chemosensor for Detecting Indium(III) with a Low Detection Limit and its Application. J Fluoresc 28:1363–1370</w:t>
      </w:r>
    </w:p>
    <w:p w14:paraId="4DDF6EC8" w14:textId="412D4820" w:rsidR="00F003F1" w:rsidRPr="0069504D" w:rsidRDefault="0016007D" w:rsidP="00F003F1">
      <w:pPr>
        <w:widowControl/>
        <w:wordWrap/>
        <w:autoSpaceDE/>
        <w:autoSpaceDN/>
        <w:rPr>
          <w:rFonts w:ascii="Times New Roman" w:eastAsia="SimSun" w:hAnsi="Times New Roman" w:cs="Times New Roman"/>
          <w:sz w:val="24"/>
          <w:lang w:eastAsia="zh-CN"/>
        </w:rPr>
      </w:pPr>
      <w:r w:rsidRPr="0069504D">
        <w:rPr>
          <w:rFonts w:ascii="Times New Roman" w:eastAsia="SimSun" w:hAnsi="Times New Roman" w:cs="Times New Roman"/>
          <w:sz w:val="24"/>
          <w:lang w:eastAsia="zh-CN"/>
        </w:rPr>
        <w:lastRenderedPageBreak/>
        <w:fldChar w:fldCharType="end"/>
      </w:r>
      <w:r w:rsidR="00F003F1" w:rsidRPr="0069504D">
        <w:rPr>
          <w:rFonts w:ascii="Times New Roman" w:eastAsia="SimSun" w:hAnsi="Times New Roman" w:cs="Times New Roman"/>
          <w:noProof/>
          <w:sz w:val="24"/>
          <w:lang w:eastAsia="zh-CN"/>
        </w:rPr>
        <w:drawing>
          <wp:inline distT="0" distB="0" distL="0" distR="0" wp14:anchorId="1E34D6E3" wp14:editId="15DD3AD6">
            <wp:extent cx="6102389" cy="4250607"/>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3815" cy="4258566"/>
                    </a:xfrm>
                    <a:prstGeom prst="rect">
                      <a:avLst/>
                    </a:prstGeom>
                    <a:noFill/>
                  </pic:spPr>
                </pic:pic>
              </a:graphicData>
            </a:graphic>
          </wp:inline>
        </w:drawing>
      </w:r>
    </w:p>
    <w:p w14:paraId="464F3E61" w14:textId="1A261449" w:rsidR="00F003F1" w:rsidRPr="0069504D" w:rsidRDefault="00F003F1" w:rsidP="00F003F1">
      <w:pPr>
        <w:widowControl/>
        <w:wordWrap/>
        <w:autoSpaceDE/>
        <w:autoSpaceDN/>
        <w:rPr>
          <w:rFonts w:ascii="Times New Roman" w:eastAsia="SimSun" w:hAnsi="Times New Roman" w:cs="Times New Roman"/>
          <w:sz w:val="24"/>
          <w:lang w:eastAsia="zh-CN"/>
        </w:rPr>
      </w:pPr>
      <w:r w:rsidRPr="0069504D">
        <w:rPr>
          <w:rFonts w:ascii="Times New Roman" w:hAnsi="Times New Roman" w:cs="Times New Roman"/>
          <w:b/>
          <w:sz w:val="24"/>
        </w:rPr>
        <w:t>Fig</w:t>
      </w:r>
      <w:r w:rsidR="00F169F4">
        <w:rPr>
          <w:rFonts w:ascii="Times New Roman" w:hAnsi="Times New Roman" w:cs="Times New Roman"/>
          <w:b/>
          <w:sz w:val="24"/>
        </w:rPr>
        <w:t>ure</w:t>
      </w:r>
      <w:r w:rsidRPr="0069504D">
        <w:rPr>
          <w:rFonts w:ascii="Times New Roman" w:hAnsi="Times New Roman" w:cs="Times New Roman"/>
          <w:b/>
          <w:sz w:val="24"/>
        </w:rPr>
        <w:t xml:space="preserve"> S1 </w:t>
      </w:r>
      <w:r w:rsidRPr="0069504D">
        <w:rPr>
          <w:rFonts w:ascii="Times New Roman" w:hAnsi="Times New Roman" w:cs="Times New Roman"/>
          <w:sz w:val="24"/>
          <w:vertAlign w:val="superscript"/>
        </w:rPr>
        <w:t>1</w:t>
      </w:r>
      <w:r w:rsidRPr="0069504D">
        <w:rPr>
          <w:rFonts w:ascii="Times New Roman" w:hAnsi="Times New Roman" w:cs="Times New Roman"/>
          <w:sz w:val="24"/>
        </w:rPr>
        <w:t xml:space="preserve">H NMR spectrum of </w:t>
      </w:r>
      <w:r w:rsidRPr="0069504D">
        <w:rPr>
          <w:rFonts w:ascii="Times New Roman" w:hAnsi="Times New Roman" w:cs="Times New Roman"/>
          <w:b/>
          <w:sz w:val="24"/>
        </w:rPr>
        <w:t xml:space="preserve">BHC </w:t>
      </w:r>
      <w:r w:rsidRPr="0069504D">
        <w:rPr>
          <w:rFonts w:ascii="Times New Roman" w:hAnsi="Times New Roman" w:cs="Times New Roman"/>
          <w:sz w:val="24"/>
        </w:rPr>
        <w:t>in DMSO-</w:t>
      </w:r>
      <w:r w:rsidRPr="0069504D">
        <w:rPr>
          <w:rFonts w:ascii="Times New Roman" w:hAnsi="Times New Roman" w:cs="Times New Roman"/>
          <w:i/>
          <w:sz w:val="24"/>
        </w:rPr>
        <w:t>d</w:t>
      </w:r>
      <w:r w:rsidRPr="0069504D">
        <w:rPr>
          <w:rFonts w:ascii="Times New Roman" w:hAnsi="Times New Roman" w:cs="Times New Roman"/>
          <w:i/>
          <w:sz w:val="24"/>
          <w:vertAlign w:val="subscript"/>
        </w:rPr>
        <w:t>6</w:t>
      </w:r>
      <w:r w:rsidRPr="0069504D">
        <w:rPr>
          <w:rFonts w:ascii="Times New Roman" w:hAnsi="Times New Roman" w:cs="Times New Roman"/>
          <w:sz w:val="24"/>
        </w:rPr>
        <w:t>.</w:t>
      </w:r>
    </w:p>
    <w:p w14:paraId="7C2B3081" w14:textId="4989FFEC" w:rsidR="005855BF" w:rsidRPr="0069504D" w:rsidRDefault="005855BF">
      <w:pPr>
        <w:widowControl/>
        <w:wordWrap/>
        <w:autoSpaceDE/>
        <w:autoSpaceDN/>
        <w:rPr>
          <w:rFonts w:ascii="Times New Roman" w:eastAsia="SimSun" w:hAnsi="Times New Roman" w:cs="Times New Roman"/>
          <w:sz w:val="24"/>
          <w:lang w:eastAsia="zh-CN"/>
        </w:rPr>
      </w:pPr>
      <w:r w:rsidRPr="0069504D">
        <w:rPr>
          <w:rFonts w:ascii="Times New Roman" w:eastAsia="SimSun" w:hAnsi="Times New Roman" w:cs="Times New Roman"/>
          <w:sz w:val="24"/>
          <w:lang w:eastAsia="zh-CN"/>
        </w:rPr>
        <w:br w:type="page"/>
      </w:r>
    </w:p>
    <w:p w14:paraId="704F4345" w14:textId="1F25B062" w:rsidR="00B1704B" w:rsidRPr="0069504D" w:rsidRDefault="005855BF" w:rsidP="00DA6E9D">
      <w:pPr>
        <w:wordWrap/>
        <w:adjustRightInd w:val="0"/>
        <w:spacing w:line="360" w:lineRule="auto"/>
        <w:jc w:val="left"/>
        <w:rPr>
          <w:rFonts w:ascii="Times New Roman" w:hAnsi="Times New Roman" w:cs="Times New Roman"/>
          <w:b/>
          <w:sz w:val="24"/>
        </w:rPr>
      </w:pPr>
      <w:r w:rsidRPr="0069504D">
        <w:rPr>
          <w:rFonts w:ascii="Times New Roman" w:hAnsi="Times New Roman" w:cs="Times New Roman"/>
          <w:b/>
          <w:noProof/>
          <w:sz w:val="24"/>
        </w:rPr>
        <w:lastRenderedPageBreak/>
        <w:drawing>
          <wp:inline distT="0" distB="0" distL="0" distR="0" wp14:anchorId="65C379E6" wp14:editId="722D28FA">
            <wp:extent cx="6038139" cy="4272384"/>
            <wp:effectExtent l="0" t="0" r="127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5292" cy="4277445"/>
                    </a:xfrm>
                    <a:prstGeom prst="rect">
                      <a:avLst/>
                    </a:prstGeom>
                    <a:noFill/>
                  </pic:spPr>
                </pic:pic>
              </a:graphicData>
            </a:graphic>
          </wp:inline>
        </w:drawing>
      </w:r>
    </w:p>
    <w:p w14:paraId="05F49907" w14:textId="12667428" w:rsidR="00DA1C1A" w:rsidRPr="0069504D" w:rsidRDefault="00F169F4" w:rsidP="00DA1C1A">
      <w:pPr>
        <w:widowControl/>
        <w:wordWrap/>
        <w:autoSpaceDE/>
        <w:autoSpaceDN/>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sz w:val="24"/>
        </w:rPr>
        <w:t xml:space="preserve"> </w:t>
      </w:r>
      <w:r w:rsidR="00DA1C1A" w:rsidRPr="0069504D">
        <w:rPr>
          <w:rFonts w:ascii="Times New Roman" w:hAnsi="Times New Roman" w:cs="Times New Roman"/>
          <w:b/>
          <w:sz w:val="24"/>
        </w:rPr>
        <w:t>S</w:t>
      </w:r>
      <w:r w:rsidR="00F003F1" w:rsidRPr="0069504D">
        <w:rPr>
          <w:rFonts w:ascii="Times New Roman" w:hAnsi="Times New Roman" w:cs="Times New Roman"/>
          <w:b/>
          <w:sz w:val="24"/>
        </w:rPr>
        <w:t>2</w:t>
      </w:r>
      <w:r w:rsidR="00DA1C1A" w:rsidRPr="0069504D">
        <w:rPr>
          <w:rFonts w:ascii="Times New Roman" w:hAnsi="Times New Roman" w:cs="Times New Roman"/>
          <w:b/>
          <w:sz w:val="24"/>
        </w:rPr>
        <w:t xml:space="preserve"> </w:t>
      </w:r>
      <w:r w:rsidR="00DA1C1A" w:rsidRPr="0069504D">
        <w:rPr>
          <w:rFonts w:ascii="Times New Roman" w:hAnsi="Times New Roman" w:cs="Times New Roman"/>
          <w:sz w:val="24"/>
          <w:vertAlign w:val="superscript"/>
        </w:rPr>
        <w:t>1</w:t>
      </w:r>
      <w:r w:rsidR="00DA1C1A" w:rsidRPr="0069504D">
        <w:rPr>
          <w:rFonts w:ascii="Times New Roman" w:hAnsi="Times New Roman" w:cs="Times New Roman"/>
          <w:sz w:val="24"/>
        </w:rPr>
        <w:t xml:space="preserve">H NMR spectrum of </w:t>
      </w:r>
      <w:r w:rsidR="00F003F1" w:rsidRPr="0069504D">
        <w:rPr>
          <w:rFonts w:ascii="Times New Roman" w:hAnsi="Times New Roman" w:cs="Times New Roman"/>
          <w:b/>
          <w:bCs/>
          <w:sz w:val="24"/>
        </w:rPr>
        <w:t>BQC</w:t>
      </w:r>
      <w:r w:rsidR="00DA1C1A" w:rsidRPr="0069504D">
        <w:rPr>
          <w:rFonts w:ascii="Times New Roman" w:hAnsi="Times New Roman" w:cs="Times New Roman"/>
          <w:b/>
          <w:sz w:val="24"/>
        </w:rPr>
        <w:t xml:space="preserve"> </w:t>
      </w:r>
      <w:r w:rsidR="00DA1C1A" w:rsidRPr="0069504D">
        <w:rPr>
          <w:rFonts w:ascii="Times New Roman" w:hAnsi="Times New Roman" w:cs="Times New Roman"/>
          <w:sz w:val="24"/>
        </w:rPr>
        <w:t>in DM</w:t>
      </w:r>
      <w:r w:rsidR="00FA4456" w:rsidRPr="0069504D">
        <w:rPr>
          <w:rFonts w:ascii="Times New Roman" w:hAnsi="Times New Roman" w:cs="Times New Roman"/>
          <w:sz w:val="24"/>
        </w:rPr>
        <w:t>F-</w:t>
      </w:r>
      <w:r w:rsidR="00FA4456" w:rsidRPr="0069504D">
        <w:rPr>
          <w:rFonts w:ascii="Times New Roman" w:hAnsi="Times New Roman" w:cs="Times New Roman"/>
          <w:i/>
          <w:sz w:val="24"/>
        </w:rPr>
        <w:t>d</w:t>
      </w:r>
      <w:r w:rsidR="00FA4456" w:rsidRPr="0069504D">
        <w:rPr>
          <w:rFonts w:ascii="Times New Roman" w:hAnsi="Times New Roman" w:cs="Times New Roman"/>
          <w:i/>
          <w:sz w:val="24"/>
          <w:vertAlign w:val="subscript"/>
        </w:rPr>
        <w:t>7</w:t>
      </w:r>
      <w:r w:rsidR="00FA4456" w:rsidRPr="0069504D">
        <w:rPr>
          <w:rFonts w:ascii="Times New Roman" w:hAnsi="Times New Roman" w:cs="Times New Roman"/>
          <w:sz w:val="24"/>
        </w:rPr>
        <w:t>.</w:t>
      </w:r>
    </w:p>
    <w:p w14:paraId="605453E9" w14:textId="7B4C3B0A" w:rsidR="006161BE" w:rsidRPr="0069504D" w:rsidRDefault="006161BE">
      <w:pPr>
        <w:widowControl/>
        <w:wordWrap/>
        <w:autoSpaceDE/>
        <w:autoSpaceDN/>
        <w:rPr>
          <w:rFonts w:ascii="Times New Roman" w:hAnsi="Times New Roman" w:cs="Times New Roman"/>
          <w:sz w:val="24"/>
        </w:rPr>
      </w:pPr>
    </w:p>
    <w:p w14:paraId="139F5792" w14:textId="64D28B45" w:rsidR="00DA1C1A" w:rsidRPr="0069504D" w:rsidRDefault="00AB75A2" w:rsidP="00BD6970">
      <w:pPr>
        <w:widowControl/>
        <w:wordWrap/>
        <w:autoSpaceDE/>
        <w:autoSpaceDN/>
        <w:jc w:val="center"/>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512681A1" wp14:editId="47BE2057">
            <wp:extent cx="6122269" cy="3830763"/>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49980" cy="3848102"/>
                    </a:xfrm>
                    <a:prstGeom prst="rect">
                      <a:avLst/>
                    </a:prstGeom>
                    <a:noFill/>
                  </pic:spPr>
                </pic:pic>
              </a:graphicData>
            </a:graphic>
          </wp:inline>
        </w:drawing>
      </w:r>
    </w:p>
    <w:p w14:paraId="1F7D3904" w14:textId="7D7709DA" w:rsidR="003F1B01" w:rsidRPr="0069504D" w:rsidRDefault="00F169F4" w:rsidP="00DA1C1A">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sz w:val="24"/>
        </w:rPr>
        <w:t xml:space="preserve"> </w:t>
      </w:r>
      <w:r w:rsidR="00DA1C1A" w:rsidRPr="0069504D">
        <w:rPr>
          <w:rFonts w:ascii="Times New Roman" w:hAnsi="Times New Roman" w:cs="Times New Roman"/>
          <w:b/>
          <w:sz w:val="24"/>
        </w:rPr>
        <w:t>S</w:t>
      </w:r>
      <w:r w:rsidR="00691B94" w:rsidRPr="0069504D">
        <w:rPr>
          <w:rFonts w:ascii="Times New Roman" w:hAnsi="Times New Roman" w:cs="Times New Roman"/>
          <w:b/>
          <w:sz w:val="24"/>
        </w:rPr>
        <w:t>3</w:t>
      </w:r>
      <w:r w:rsidR="00DA1C1A" w:rsidRPr="0069504D">
        <w:rPr>
          <w:rFonts w:ascii="Times New Roman" w:hAnsi="Times New Roman" w:cs="Times New Roman"/>
          <w:sz w:val="24"/>
        </w:rPr>
        <w:t xml:space="preserve"> </w:t>
      </w:r>
      <w:r w:rsidR="00DA1C1A" w:rsidRPr="0069504D">
        <w:rPr>
          <w:rFonts w:ascii="Times New Roman" w:hAnsi="Times New Roman" w:cs="Times New Roman"/>
          <w:sz w:val="24"/>
          <w:vertAlign w:val="superscript"/>
        </w:rPr>
        <w:t>13</w:t>
      </w:r>
      <w:r w:rsidR="00DA1C1A" w:rsidRPr="0069504D">
        <w:rPr>
          <w:rFonts w:ascii="Times New Roman" w:hAnsi="Times New Roman" w:cs="Times New Roman"/>
          <w:sz w:val="24"/>
        </w:rPr>
        <w:t xml:space="preserve">C NMR spectrum of </w:t>
      </w:r>
      <w:r w:rsidR="00691B94" w:rsidRPr="0069504D">
        <w:rPr>
          <w:rFonts w:ascii="Times New Roman" w:hAnsi="Times New Roman" w:cs="Times New Roman"/>
          <w:b/>
          <w:bCs/>
          <w:sz w:val="24"/>
        </w:rPr>
        <w:t>BQC</w:t>
      </w:r>
      <w:r w:rsidR="00DA1C1A" w:rsidRPr="0069504D">
        <w:rPr>
          <w:rFonts w:ascii="Times New Roman" w:hAnsi="Times New Roman" w:cs="Times New Roman"/>
          <w:b/>
          <w:sz w:val="24"/>
        </w:rPr>
        <w:t xml:space="preserve"> </w:t>
      </w:r>
      <w:r w:rsidR="00DA1C1A" w:rsidRPr="0069504D">
        <w:rPr>
          <w:rFonts w:ascii="Times New Roman" w:hAnsi="Times New Roman" w:cs="Times New Roman"/>
          <w:sz w:val="24"/>
        </w:rPr>
        <w:t>in DM</w:t>
      </w:r>
      <w:r w:rsidR="006161BE" w:rsidRPr="0069504D">
        <w:rPr>
          <w:rFonts w:ascii="Times New Roman" w:hAnsi="Times New Roman" w:cs="Times New Roman"/>
          <w:sz w:val="24"/>
        </w:rPr>
        <w:t>F</w:t>
      </w:r>
      <w:r w:rsidR="00DA1C1A" w:rsidRPr="0069504D">
        <w:rPr>
          <w:rFonts w:ascii="Times New Roman" w:hAnsi="Times New Roman" w:cs="Times New Roman"/>
          <w:sz w:val="24"/>
        </w:rPr>
        <w:t>-</w:t>
      </w:r>
      <w:r w:rsidR="00DA1C1A" w:rsidRPr="0069504D">
        <w:rPr>
          <w:rFonts w:ascii="Times New Roman" w:hAnsi="Times New Roman" w:cs="Times New Roman"/>
          <w:i/>
          <w:iCs/>
          <w:sz w:val="24"/>
        </w:rPr>
        <w:t>d</w:t>
      </w:r>
      <w:r w:rsidR="006161BE" w:rsidRPr="0069504D">
        <w:rPr>
          <w:rFonts w:ascii="Times New Roman" w:hAnsi="Times New Roman" w:cs="Times New Roman"/>
          <w:i/>
          <w:iCs/>
          <w:sz w:val="24"/>
          <w:vertAlign w:val="subscript"/>
        </w:rPr>
        <w:t>7</w:t>
      </w:r>
      <w:r w:rsidR="00DA1C1A" w:rsidRPr="0069504D">
        <w:rPr>
          <w:rFonts w:ascii="Times New Roman" w:hAnsi="Times New Roman" w:cs="Times New Roman"/>
          <w:sz w:val="24"/>
        </w:rPr>
        <w:t>.</w:t>
      </w:r>
    </w:p>
    <w:p w14:paraId="35878BA5" w14:textId="52A99413" w:rsidR="00E92A9E" w:rsidRPr="0069504D" w:rsidRDefault="00E92A9E">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4EA26D00" w14:textId="3C1AE96C" w:rsidR="00ED46EA" w:rsidRPr="0069504D" w:rsidRDefault="00C47789" w:rsidP="00F21944">
      <w:pPr>
        <w:widowControl/>
        <w:wordWrap/>
        <w:autoSpaceDE/>
        <w:autoSpaceDN/>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13F33A77" wp14:editId="0D85DDD5">
            <wp:extent cx="6109385" cy="5420360"/>
            <wp:effectExtent l="0" t="0" r="5715"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3606" cy="5424105"/>
                    </a:xfrm>
                    <a:prstGeom prst="rect">
                      <a:avLst/>
                    </a:prstGeom>
                    <a:noFill/>
                  </pic:spPr>
                </pic:pic>
              </a:graphicData>
            </a:graphic>
          </wp:inline>
        </w:drawing>
      </w:r>
    </w:p>
    <w:p w14:paraId="04D30DA8" w14:textId="02D7BD92" w:rsidR="00ED46EA" w:rsidRPr="0069504D" w:rsidRDefault="00F169F4" w:rsidP="00DA1C1A">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ED46EA" w:rsidRPr="0069504D">
        <w:rPr>
          <w:rFonts w:ascii="Times New Roman" w:hAnsi="Times New Roman" w:cs="Times New Roman"/>
          <w:b/>
          <w:bCs/>
          <w:sz w:val="24"/>
        </w:rPr>
        <w:t>S4</w:t>
      </w:r>
      <w:r w:rsidR="00ED46EA" w:rsidRPr="0069504D">
        <w:rPr>
          <w:rFonts w:ascii="Times New Roman" w:hAnsi="Times New Roman" w:cs="Times New Roman"/>
          <w:sz w:val="24"/>
        </w:rPr>
        <w:t xml:space="preserve"> </w:t>
      </w:r>
      <w:r w:rsidR="00ED46EA" w:rsidRPr="0069504D">
        <w:rPr>
          <w:rFonts w:ascii="Times New Roman" w:hAnsi="Times New Roman" w:cs="Times New Roman"/>
          <w:bCs/>
          <w:sz w:val="24"/>
        </w:rPr>
        <w:t xml:space="preserve">Positive-ion </w:t>
      </w:r>
      <w:r w:rsidR="00ED46EA" w:rsidRPr="0069504D">
        <w:rPr>
          <w:rFonts w:ascii="Times New Roman" w:hAnsi="Times New Roman" w:cs="Times New Roman"/>
          <w:sz w:val="24"/>
        </w:rPr>
        <w:t xml:space="preserve">ESI-MS spectrum of </w:t>
      </w:r>
      <w:r w:rsidR="00ED46EA" w:rsidRPr="0069504D">
        <w:rPr>
          <w:rFonts w:ascii="Times New Roman" w:hAnsi="Times New Roman" w:cs="Times New Roman"/>
          <w:b/>
          <w:bCs/>
          <w:sz w:val="24"/>
        </w:rPr>
        <w:t xml:space="preserve">BQC </w:t>
      </w:r>
      <w:r w:rsidR="00ED46EA" w:rsidRPr="0069504D">
        <w:rPr>
          <w:rFonts w:ascii="Times New Roman" w:hAnsi="Times New Roman" w:cs="Times New Roman"/>
          <w:sz w:val="24"/>
        </w:rPr>
        <w:t>(</w:t>
      </w:r>
      <w:r w:rsidR="00EC339A" w:rsidRPr="0069504D">
        <w:rPr>
          <w:rFonts w:ascii="Times New Roman" w:hAnsi="Times New Roman" w:cs="Times New Roman" w:hint="eastAsia"/>
          <w:sz w:val="24"/>
        </w:rPr>
        <w:t>300</w:t>
      </w:r>
      <w:r w:rsidR="00ED46EA" w:rsidRPr="0069504D">
        <w:rPr>
          <w:rFonts w:ascii="Times New Roman" w:hAnsi="Times New Roman" w:cs="Times New Roman"/>
          <w:sz w:val="24"/>
        </w:rPr>
        <w:t xml:space="preserve"> µM)</w:t>
      </w:r>
      <w:r w:rsidR="00ED46EA" w:rsidRPr="0069504D">
        <w:rPr>
          <w:rFonts w:ascii="Times New Roman" w:hAnsi="Times New Roman" w:cs="Times New Roman" w:hint="eastAsia"/>
          <w:sz w:val="24"/>
        </w:rPr>
        <w:t>.</w:t>
      </w:r>
    </w:p>
    <w:p w14:paraId="1BF3BAC3" w14:textId="7050988A" w:rsidR="00E7565E" w:rsidRPr="0069504D" w:rsidRDefault="00E7565E">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2873F423" w14:textId="6C271078" w:rsidR="00E7565E" w:rsidRPr="0069504D" w:rsidRDefault="00DF0200" w:rsidP="00DA1C1A">
      <w:pPr>
        <w:spacing w:line="360" w:lineRule="auto"/>
        <w:rPr>
          <w:rFonts w:ascii="Times New Roman" w:hAnsi="Times New Roman" w:cs="Times New Roman"/>
          <w:b/>
          <w:bCs/>
          <w:sz w:val="24"/>
        </w:rPr>
      </w:pPr>
      <w:r w:rsidRPr="0069504D">
        <w:rPr>
          <w:rFonts w:ascii="Times New Roman" w:hAnsi="Times New Roman" w:cs="Times New Roman"/>
          <w:b/>
          <w:bCs/>
          <w:noProof/>
          <w:sz w:val="24"/>
        </w:rPr>
        <w:lastRenderedPageBreak/>
        <w:drawing>
          <wp:inline distT="0" distB="0" distL="0" distR="0" wp14:anchorId="566B9040" wp14:editId="1DC7CCD5">
            <wp:extent cx="5929449" cy="454406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5378" cy="4548604"/>
                    </a:xfrm>
                    <a:prstGeom prst="rect">
                      <a:avLst/>
                    </a:prstGeom>
                    <a:noFill/>
                  </pic:spPr>
                </pic:pic>
              </a:graphicData>
            </a:graphic>
          </wp:inline>
        </w:drawing>
      </w:r>
    </w:p>
    <w:p w14:paraId="5EF8CDD5" w14:textId="25EFEDCE" w:rsidR="00E7565E" w:rsidRPr="0069504D" w:rsidRDefault="00F169F4" w:rsidP="00DA1C1A">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E7565E" w:rsidRPr="0069504D">
        <w:rPr>
          <w:rFonts w:ascii="Times New Roman" w:hAnsi="Times New Roman" w:cs="Times New Roman"/>
          <w:b/>
          <w:bCs/>
          <w:sz w:val="24"/>
        </w:rPr>
        <w:t>S5</w:t>
      </w:r>
      <w:r w:rsidR="00E7565E" w:rsidRPr="0069504D">
        <w:rPr>
          <w:rFonts w:ascii="Times New Roman" w:hAnsi="Times New Roman" w:cs="Times New Roman"/>
          <w:sz w:val="24"/>
        </w:rPr>
        <w:t xml:space="preserve"> </w:t>
      </w:r>
      <w:r w:rsidR="00E7565E" w:rsidRPr="0069504D">
        <w:rPr>
          <w:rFonts w:ascii="Times New Roman" w:hAnsi="Times New Roman" w:cs="Times New Roman"/>
          <w:bCs/>
          <w:kern w:val="0"/>
          <w:sz w:val="24"/>
          <w:szCs w:val="24"/>
        </w:rPr>
        <w:t xml:space="preserve">Job plot analysis of </w:t>
      </w:r>
      <w:r w:rsidR="006B49E4" w:rsidRPr="0069504D">
        <w:rPr>
          <w:rFonts w:ascii="Times New Roman" w:hAnsi="Times New Roman" w:cs="Times New Roman"/>
          <w:b/>
          <w:kern w:val="0"/>
          <w:sz w:val="24"/>
          <w:szCs w:val="24"/>
        </w:rPr>
        <w:t>BQC</w:t>
      </w:r>
      <w:r w:rsidR="00E7565E" w:rsidRPr="0069504D">
        <w:rPr>
          <w:rFonts w:ascii="Times New Roman" w:hAnsi="Times New Roman" w:cs="Times New Roman"/>
          <w:bCs/>
          <w:kern w:val="0"/>
          <w:sz w:val="24"/>
          <w:szCs w:val="24"/>
        </w:rPr>
        <w:t xml:space="preserve"> with </w:t>
      </w:r>
      <w:r w:rsidR="006B49E4" w:rsidRPr="0069504D">
        <w:rPr>
          <w:rFonts w:ascii="Times New Roman" w:hAnsi="Times New Roman" w:cs="Times New Roman"/>
          <w:bCs/>
          <w:kern w:val="0"/>
          <w:sz w:val="24"/>
          <w:szCs w:val="24"/>
        </w:rPr>
        <w:t>In</w:t>
      </w:r>
      <w:r w:rsidR="006B49E4" w:rsidRPr="0069504D">
        <w:rPr>
          <w:rFonts w:ascii="Times New Roman" w:hAnsi="Times New Roman" w:cs="Times New Roman"/>
          <w:bCs/>
          <w:kern w:val="0"/>
          <w:sz w:val="24"/>
          <w:szCs w:val="24"/>
          <w:vertAlign w:val="superscript"/>
        </w:rPr>
        <w:t>3+</w:t>
      </w:r>
      <w:r w:rsidR="00E7565E" w:rsidRPr="0069504D">
        <w:rPr>
          <w:rFonts w:ascii="Times New Roman" w:hAnsi="Times New Roman" w:cs="Times New Roman"/>
          <w:bCs/>
          <w:kern w:val="0"/>
          <w:sz w:val="24"/>
          <w:szCs w:val="24"/>
        </w:rPr>
        <w:t>.</w:t>
      </w:r>
    </w:p>
    <w:p w14:paraId="2B748F50" w14:textId="31AABB24" w:rsidR="0032066B" w:rsidRPr="0069504D" w:rsidRDefault="0032066B">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22012153" w14:textId="7AEB151B" w:rsidR="003F1B01" w:rsidRPr="0069504D" w:rsidRDefault="00831F31" w:rsidP="00E31DCB">
      <w:pPr>
        <w:spacing w:line="360" w:lineRule="auto"/>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27959E54" wp14:editId="31E7B730">
            <wp:extent cx="5722620" cy="4023858"/>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43492" cy="4038534"/>
                    </a:xfrm>
                    <a:prstGeom prst="rect">
                      <a:avLst/>
                    </a:prstGeom>
                    <a:noFill/>
                  </pic:spPr>
                </pic:pic>
              </a:graphicData>
            </a:graphic>
          </wp:inline>
        </w:drawing>
      </w:r>
    </w:p>
    <w:p w14:paraId="65A8763C" w14:textId="4473A34A" w:rsidR="00DC185C" w:rsidRPr="0069504D" w:rsidRDefault="00F169F4" w:rsidP="00831F31">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831F31" w:rsidRPr="0069504D">
        <w:rPr>
          <w:rFonts w:ascii="Times New Roman" w:hAnsi="Times New Roman" w:cs="Times New Roman"/>
          <w:b/>
          <w:bCs/>
          <w:sz w:val="24"/>
        </w:rPr>
        <w:t>S</w:t>
      </w:r>
      <w:r w:rsidR="00DB7171" w:rsidRPr="0069504D">
        <w:rPr>
          <w:rFonts w:ascii="Times New Roman" w:hAnsi="Times New Roman" w:cs="Times New Roman"/>
          <w:b/>
          <w:bCs/>
          <w:sz w:val="24"/>
        </w:rPr>
        <w:t>6</w:t>
      </w:r>
      <w:r w:rsidR="00831F31" w:rsidRPr="0069504D">
        <w:rPr>
          <w:rFonts w:ascii="Times New Roman" w:hAnsi="Times New Roman" w:cs="Times New Roman"/>
          <w:sz w:val="24"/>
        </w:rPr>
        <w:t xml:space="preserve"> Li’s equation plot of </w:t>
      </w:r>
      <w:r w:rsidR="00831F31" w:rsidRPr="0069504D">
        <w:rPr>
          <w:rFonts w:ascii="Times New Roman" w:hAnsi="Times New Roman" w:cs="Times New Roman"/>
          <w:b/>
          <w:bCs/>
          <w:sz w:val="24"/>
        </w:rPr>
        <w:t>BQC</w:t>
      </w:r>
      <w:r w:rsidR="00831F31" w:rsidRPr="0069504D">
        <w:rPr>
          <w:rFonts w:ascii="Times New Roman" w:hAnsi="Times New Roman" w:cs="Times New Roman"/>
          <w:sz w:val="24"/>
        </w:rPr>
        <w:t xml:space="preserve"> (10 µM) for In</w:t>
      </w:r>
      <w:r w:rsidR="00831F31" w:rsidRPr="0069504D">
        <w:rPr>
          <w:rFonts w:ascii="Times New Roman" w:hAnsi="Times New Roman" w:cs="Times New Roman"/>
          <w:sz w:val="24"/>
          <w:vertAlign w:val="superscript"/>
        </w:rPr>
        <w:t>3+</w:t>
      </w:r>
      <w:r w:rsidR="00831F31" w:rsidRPr="0069504D">
        <w:rPr>
          <w:rFonts w:ascii="Times New Roman" w:hAnsi="Times New Roman" w:cs="Times New Roman"/>
          <w:sz w:val="24"/>
        </w:rPr>
        <w:t>, assuming 2:1 stoichiometry for</w:t>
      </w:r>
      <w:r w:rsidR="005D2664" w:rsidRPr="0069504D">
        <w:rPr>
          <w:rFonts w:ascii="Times New Roman" w:hAnsi="Times New Roman" w:cs="Times New Roman"/>
          <w:sz w:val="24"/>
        </w:rPr>
        <w:t xml:space="preserve"> </w:t>
      </w:r>
      <w:r w:rsidR="00831F31" w:rsidRPr="0069504D">
        <w:rPr>
          <w:rFonts w:ascii="Times New Roman" w:hAnsi="Times New Roman" w:cs="Times New Roman"/>
          <w:sz w:val="24"/>
        </w:rPr>
        <w:t>associati</w:t>
      </w:r>
      <w:r w:rsidR="005D2664" w:rsidRPr="0069504D">
        <w:rPr>
          <w:rFonts w:ascii="Times New Roman" w:hAnsi="Times New Roman" w:cs="Times New Roman" w:hint="eastAsia"/>
          <w:sz w:val="24"/>
        </w:rPr>
        <w:t>on</w:t>
      </w:r>
      <w:r w:rsidR="00831F31" w:rsidRPr="0069504D">
        <w:rPr>
          <w:rFonts w:ascii="Times New Roman" w:hAnsi="Times New Roman" w:cs="Times New Roman"/>
          <w:sz w:val="24"/>
        </w:rPr>
        <w:t xml:space="preserve"> of </w:t>
      </w:r>
      <w:r w:rsidR="00831F31" w:rsidRPr="0069504D">
        <w:rPr>
          <w:rFonts w:ascii="Times New Roman" w:hAnsi="Times New Roman" w:cs="Times New Roman"/>
          <w:b/>
          <w:bCs/>
          <w:sz w:val="24"/>
        </w:rPr>
        <w:t>BQC</w:t>
      </w:r>
      <w:r w:rsidR="00831F31" w:rsidRPr="0069504D">
        <w:rPr>
          <w:rFonts w:ascii="Times New Roman" w:hAnsi="Times New Roman" w:cs="Times New Roman"/>
          <w:sz w:val="24"/>
        </w:rPr>
        <w:t xml:space="preserve"> with In</w:t>
      </w:r>
      <w:r w:rsidR="00831F31" w:rsidRPr="0069504D">
        <w:rPr>
          <w:rFonts w:ascii="Times New Roman" w:hAnsi="Times New Roman" w:cs="Times New Roman"/>
          <w:sz w:val="24"/>
          <w:vertAlign w:val="superscript"/>
        </w:rPr>
        <w:t>3+</w:t>
      </w:r>
      <w:r w:rsidR="00831F31" w:rsidRPr="0069504D">
        <w:rPr>
          <w:rFonts w:ascii="Times New Roman" w:hAnsi="Times New Roman" w:cs="Times New Roman"/>
          <w:sz w:val="24"/>
        </w:rPr>
        <w:t>.</w:t>
      </w:r>
    </w:p>
    <w:p w14:paraId="0E02D7E0" w14:textId="73B994C3" w:rsidR="00831F31" w:rsidRPr="0069504D" w:rsidRDefault="00FD3959" w:rsidP="00831F31">
      <w:pPr>
        <w:spacing w:line="360" w:lineRule="auto"/>
        <w:rPr>
          <w:rFonts w:ascii="Times New Roman" w:hAnsi="Times New Roman" w:cs="Times New Roman"/>
          <w:noProof/>
          <w:sz w:val="24"/>
        </w:rPr>
      </w:pPr>
      <w:r w:rsidRPr="0069504D">
        <w:rPr>
          <w:rFonts w:ascii="Times New Roman" w:hAnsi="Times New Roman" w:cs="Times New Roman"/>
          <w:noProof/>
          <w:sz w:val="24"/>
        </w:rPr>
        <w:br w:type="page"/>
      </w:r>
    </w:p>
    <w:p w14:paraId="7869B640" w14:textId="1082B383" w:rsidR="008D165B" w:rsidRPr="0069504D" w:rsidRDefault="008D165B">
      <w:pPr>
        <w:widowControl/>
        <w:wordWrap/>
        <w:autoSpaceDE/>
        <w:autoSpaceDN/>
        <w:rPr>
          <w:rFonts w:ascii="Times New Roman" w:hAnsi="Times New Roman" w:cs="Times New Roman"/>
          <w:b/>
          <w:bCs/>
          <w:sz w:val="24"/>
        </w:rPr>
      </w:pPr>
      <w:r w:rsidRPr="0069504D">
        <w:rPr>
          <w:rFonts w:ascii="Times New Roman" w:hAnsi="Times New Roman" w:cs="Times New Roman"/>
          <w:noProof/>
          <w:sz w:val="24"/>
        </w:rPr>
        <w:lastRenderedPageBreak/>
        <w:drawing>
          <wp:inline distT="0" distB="0" distL="0" distR="0" wp14:anchorId="012D5720" wp14:editId="43741262">
            <wp:extent cx="5731510" cy="3801745"/>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801745"/>
                    </a:xfrm>
                    <a:prstGeom prst="rect">
                      <a:avLst/>
                    </a:prstGeom>
                    <a:noFill/>
                  </pic:spPr>
                </pic:pic>
              </a:graphicData>
            </a:graphic>
          </wp:inline>
        </w:drawing>
      </w:r>
    </w:p>
    <w:p w14:paraId="5CC59DA5" w14:textId="31364A54" w:rsidR="008D165B" w:rsidRPr="0069504D" w:rsidRDefault="00F169F4">
      <w:pPr>
        <w:widowControl/>
        <w:wordWrap/>
        <w:autoSpaceDE/>
        <w:autoSpaceDN/>
        <w:rPr>
          <w:rFonts w:ascii="Times New Roman" w:hAnsi="Times New Roman" w:cs="Times New Roman"/>
          <w:noProof/>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8D165B" w:rsidRPr="0069504D">
        <w:rPr>
          <w:rFonts w:ascii="Times New Roman" w:hAnsi="Times New Roman" w:cs="Times New Roman"/>
          <w:b/>
          <w:bCs/>
          <w:sz w:val="24"/>
        </w:rPr>
        <w:t>S</w:t>
      </w:r>
      <w:r w:rsidR="00DB7171" w:rsidRPr="0069504D">
        <w:rPr>
          <w:rFonts w:ascii="Times New Roman" w:hAnsi="Times New Roman" w:cs="Times New Roman"/>
          <w:b/>
          <w:bCs/>
          <w:sz w:val="24"/>
        </w:rPr>
        <w:t>7</w:t>
      </w:r>
      <w:r w:rsidR="008D165B" w:rsidRPr="0069504D">
        <w:rPr>
          <w:rFonts w:ascii="Times New Roman" w:hAnsi="Times New Roman" w:cs="Times New Roman"/>
          <w:sz w:val="24"/>
        </w:rPr>
        <w:t xml:space="preserve"> Positive-ion ESI-MS spectrum of </w:t>
      </w:r>
      <w:r w:rsidR="008D165B" w:rsidRPr="0069504D">
        <w:rPr>
          <w:rFonts w:ascii="Times New Roman" w:hAnsi="Times New Roman" w:cs="Times New Roman"/>
          <w:b/>
          <w:bCs/>
          <w:sz w:val="24"/>
        </w:rPr>
        <w:t xml:space="preserve">BQC </w:t>
      </w:r>
      <w:r w:rsidR="008D165B" w:rsidRPr="0069504D">
        <w:rPr>
          <w:rFonts w:ascii="Times New Roman" w:hAnsi="Times New Roman" w:cs="Times New Roman"/>
          <w:sz w:val="24"/>
        </w:rPr>
        <w:t>(100 µM) upon addition of In</w:t>
      </w:r>
      <w:r w:rsidR="008D165B" w:rsidRPr="0069504D">
        <w:rPr>
          <w:rFonts w:ascii="Times New Roman" w:hAnsi="Times New Roman" w:cs="Times New Roman"/>
          <w:sz w:val="24"/>
          <w:vertAlign w:val="superscript"/>
        </w:rPr>
        <w:t>3+</w:t>
      </w:r>
      <w:r w:rsidR="008D165B" w:rsidRPr="0069504D">
        <w:rPr>
          <w:rFonts w:ascii="Times New Roman" w:hAnsi="Times New Roman" w:cs="Times New Roman"/>
          <w:sz w:val="24"/>
        </w:rPr>
        <w:t xml:space="preserve"> (0.5 equiv).</w:t>
      </w:r>
    </w:p>
    <w:p w14:paraId="318CF9BF" w14:textId="64D865C8" w:rsidR="008D165B" w:rsidRPr="0069504D" w:rsidRDefault="008D165B">
      <w:pPr>
        <w:widowControl/>
        <w:wordWrap/>
        <w:autoSpaceDE/>
        <w:autoSpaceDN/>
        <w:rPr>
          <w:rFonts w:ascii="Times New Roman" w:hAnsi="Times New Roman" w:cs="Times New Roman"/>
          <w:noProof/>
          <w:sz w:val="24"/>
        </w:rPr>
      </w:pPr>
      <w:r w:rsidRPr="0069504D">
        <w:rPr>
          <w:rFonts w:ascii="Times New Roman" w:hAnsi="Times New Roman" w:cs="Times New Roman"/>
          <w:noProof/>
          <w:sz w:val="24"/>
        </w:rPr>
        <w:br w:type="page"/>
      </w:r>
    </w:p>
    <w:p w14:paraId="5D3082E0" w14:textId="045F12D4" w:rsidR="0039136B" w:rsidRPr="0069504D" w:rsidRDefault="00FD3959" w:rsidP="00FD3959">
      <w:pPr>
        <w:spacing w:line="360" w:lineRule="auto"/>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537402CF" wp14:editId="20DA3714">
            <wp:extent cx="5996840" cy="3993515"/>
            <wp:effectExtent l="0" t="0" r="0" b="698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03368" cy="3997862"/>
                    </a:xfrm>
                    <a:prstGeom prst="rect">
                      <a:avLst/>
                    </a:prstGeom>
                    <a:noFill/>
                  </pic:spPr>
                </pic:pic>
              </a:graphicData>
            </a:graphic>
          </wp:inline>
        </w:drawing>
      </w:r>
    </w:p>
    <w:p w14:paraId="5F99C528" w14:textId="033CCCEE" w:rsidR="005F17AE" w:rsidRPr="0069504D" w:rsidRDefault="00F169F4" w:rsidP="005F17AE">
      <w:pPr>
        <w:widowControl/>
        <w:wordWrap/>
        <w:autoSpaceDE/>
        <w:autoSpaceDN/>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5674AC" w:rsidRPr="0069504D">
        <w:rPr>
          <w:rFonts w:ascii="Times New Roman" w:hAnsi="Times New Roman" w:cs="Times New Roman"/>
          <w:b/>
          <w:bCs/>
          <w:sz w:val="24"/>
        </w:rPr>
        <w:t>S</w:t>
      </w:r>
      <w:r w:rsidR="00DB7171" w:rsidRPr="0069504D">
        <w:rPr>
          <w:rFonts w:ascii="Times New Roman" w:hAnsi="Times New Roman" w:cs="Times New Roman"/>
          <w:b/>
          <w:bCs/>
          <w:sz w:val="24"/>
        </w:rPr>
        <w:t>8</w:t>
      </w:r>
      <w:r w:rsidR="0039136B" w:rsidRPr="0069504D">
        <w:rPr>
          <w:rFonts w:ascii="Times New Roman" w:hAnsi="Times New Roman" w:cs="Times New Roman"/>
          <w:sz w:val="24"/>
        </w:rPr>
        <w:t xml:space="preserve"> </w:t>
      </w:r>
      <w:r w:rsidR="00112289" w:rsidRPr="0069504D">
        <w:rPr>
          <w:rFonts w:ascii="Times New Roman" w:hAnsi="Times New Roman" w:cs="Times New Roman"/>
          <w:sz w:val="24"/>
        </w:rPr>
        <w:t xml:space="preserve">Fluorescence intensity (at 510 nm) of </w:t>
      </w:r>
      <w:r w:rsidR="00112289" w:rsidRPr="0069504D">
        <w:rPr>
          <w:rFonts w:ascii="Times New Roman" w:hAnsi="Times New Roman" w:cs="Times New Roman"/>
          <w:b/>
          <w:bCs/>
          <w:sz w:val="24"/>
        </w:rPr>
        <w:t xml:space="preserve">BQC </w:t>
      </w:r>
      <w:r w:rsidR="00112289" w:rsidRPr="0069504D">
        <w:rPr>
          <w:rFonts w:ascii="Times New Roman" w:hAnsi="Times New Roman" w:cs="Times New Roman"/>
          <w:sz w:val="24"/>
        </w:rPr>
        <w:t>(10 µM) toward In</w:t>
      </w:r>
      <w:r w:rsidR="00112289" w:rsidRPr="0069504D">
        <w:rPr>
          <w:rFonts w:ascii="Times New Roman" w:hAnsi="Times New Roman" w:cs="Times New Roman"/>
          <w:sz w:val="24"/>
          <w:vertAlign w:val="superscript"/>
        </w:rPr>
        <w:t>3+</w:t>
      </w:r>
      <w:r w:rsidR="00112289" w:rsidRPr="0069504D">
        <w:rPr>
          <w:rFonts w:ascii="Times New Roman" w:hAnsi="Times New Roman" w:cs="Times New Roman"/>
          <w:sz w:val="24"/>
        </w:rPr>
        <w:t xml:space="preserve"> (7.5 equiv) in the absence or presence of other metal ions (7.5 equiv).</w:t>
      </w:r>
    </w:p>
    <w:p w14:paraId="1395887A" w14:textId="19A47595" w:rsidR="005F17AE" w:rsidRPr="0069504D" w:rsidRDefault="003E2D1B" w:rsidP="005F17AE">
      <w:pPr>
        <w:widowControl/>
        <w:wordWrap/>
        <w:autoSpaceDE/>
        <w:autoSpaceDN/>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0B76A4A3" wp14:editId="42227772">
            <wp:extent cx="5866014" cy="4495446"/>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873122" cy="4500893"/>
                    </a:xfrm>
                    <a:prstGeom prst="rect">
                      <a:avLst/>
                    </a:prstGeom>
                    <a:noFill/>
                  </pic:spPr>
                </pic:pic>
              </a:graphicData>
            </a:graphic>
          </wp:inline>
        </w:drawing>
      </w:r>
    </w:p>
    <w:p w14:paraId="0EB088E1" w14:textId="6F630A50" w:rsidR="0039136B" w:rsidRPr="0069504D" w:rsidRDefault="00F169F4" w:rsidP="00DA1C1A">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425D44" w:rsidRPr="0069504D">
        <w:rPr>
          <w:rFonts w:ascii="Times New Roman" w:hAnsi="Times New Roman" w:cs="Times New Roman"/>
          <w:b/>
          <w:bCs/>
          <w:sz w:val="24"/>
        </w:rPr>
        <w:t>S</w:t>
      </w:r>
      <w:r w:rsidR="004669B2" w:rsidRPr="0069504D">
        <w:rPr>
          <w:rFonts w:ascii="Times New Roman" w:hAnsi="Times New Roman" w:cs="Times New Roman"/>
          <w:b/>
          <w:bCs/>
          <w:sz w:val="24"/>
        </w:rPr>
        <w:t>9</w:t>
      </w:r>
      <w:r w:rsidR="00425D44" w:rsidRPr="0069504D">
        <w:rPr>
          <w:rFonts w:ascii="Times New Roman" w:hAnsi="Times New Roman" w:cs="Times New Roman"/>
          <w:sz w:val="24"/>
        </w:rPr>
        <w:t xml:space="preserve"> </w:t>
      </w:r>
      <w:r w:rsidR="00915215" w:rsidRPr="0069504D">
        <w:rPr>
          <w:rFonts w:ascii="Times New Roman" w:hAnsi="Times New Roman" w:cs="Times New Roman"/>
          <w:sz w:val="24"/>
        </w:rPr>
        <w:t xml:space="preserve">Linear relation of fluorescence emission changes (at 430 nm) of </w:t>
      </w:r>
      <w:r w:rsidR="00915215" w:rsidRPr="0069504D">
        <w:rPr>
          <w:rFonts w:ascii="Times New Roman" w:hAnsi="Times New Roman" w:cs="Times New Roman"/>
          <w:b/>
          <w:bCs/>
          <w:sz w:val="24"/>
        </w:rPr>
        <w:t>BQC</w:t>
      </w:r>
      <w:r w:rsidR="00915215" w:rsidRPr="0069504D">
        <w:rPr>
          <w:rFonts w:ascii="Times New Roman" w:hAnsi="Times New Roman" w:cs="Times New Roman"/>
          <w:sz w:val="24"/>
        </w:rPr>
        <w:t xml:space="preserve"> with incremental addition of ClO</w:t>
      </w:r>
      <w:r w:rsidR="00915215" w:rsidRPr="0069504D">
        <w:rPr>
          <w:rFonts w:ascii="Times New Roman" w:hAnsi="Times New Roman" w:cs="Times New Roman"/>
          <w:sz w:val="24"/>
          <w:vertAlign w:val="superscript"/>
        </w:rPr>
        <w:t>-</w:t>
      </w:r>
      <w:r w:rsidR="00915215" w:rsidRPr="0069504D">
        <w:rPr>
          <w:rFonts w:ascii="Times New Roman" w:hAnsi="Times New Roman" w:cs="Times New Roman"/>
          <w:sz w:val="24"/>
        </w:rPr>
        <w:t>.</w:t>
      </w:r>
    </w:p>
    <w:p w14:paraId="257FCFB2" w14:textId="1F30AD89" w:rsidR="003F1B01" w:rsidRPr="0069504D" w:rsidRDefault="003F1B01">
      <w:pPr>
        <w:widowControl/>
        <w:wordWrap/>
        <w:autoSpaceDE/>
        <w:autoSpaceDN/>
        <w:rPr>
          <w:rFonts w:ascii="Times New Roman" w:hAnsi="Times New Roman" w:cs="Times New Roman"/>
          <w:sz w:val="24"/>
        </w:rPr>
      </w:pPr>
    </w:p>
    <w:p w14:paraId="103C8D33" w14:textId="2F6BF9D9" w:rsidR="0039136B" w:rsidRPr="0069504D" w:rsidRDefault="00425D44" w:rsidP="000630BF">
      <w:pPr>
        <w:spacing w:line="360" w:lineRule="auto"/>
        <w:rPr>
          <w:rFonts w:ascii="Times New Roman" w:hAnsi="Times New Roman" w:cs="Times New Roman"/>
          <w:sz w:val="24"/>
        </w:rPr>
      </w:pPr>
      <w:r w:rsidRPr="0069504D">
        <w:rPr>
          <w:rFonts w:ascii="Times New Roman" w:eastAsia="맑은 고딕" w:hAnsi="Times New Roman" w:cs="Times New Roman"/>
          <w:noProof/>
          <w:sz w:val="24"/>
          <w:szCs w:val="24"/>
        </w:rPr>
        <w:lastRenderedPageBreak/>
        <w:drawing>
          <wp:inline distT="0" distB="0" distL="0" distR="0" wp14:anchorId="5C5CCC2D" wp14:editId="35F61117">
            <wp:extent cx="5731510" cy="4024630"/>
            <wp:effectExtent l="0" t="0" r="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1510" cy="4024630"/>
                    </a:xfrm>
                    <a:prstGeom prst="rect">
                      <a:avLst/>
                    </a:prstGeom>
                    <a:noFill/>
                  </pic:spPr>
                </pic:pic>
              </a:graphicData>
            </a:graphic>
          </wp:inline>
        </w:drawing>
      </w:r>
    </w:p>
    <w:p w14:paraId="15A440E2" w14:textId="1806E054" w:rsidR="00425D44" w:rsidRPr="0069504D" w:rsidRDefault="00F169F4">
      <w:pPr>
        <w:widowControl/>
        <w:wordWrap/>
        <w:autoSpaceDE/>
        <w:autoSpaceDN/>
        <w:rPr>
          <w:rFonts w:ascii="Times New Roman" w:eastAsiaTheme="minorHAnsi" w:hAnsi="Times New Roman" w:cs="Times New Roman"/>
          <w:kern w:val="0"/>
          <w:sz w:val="24"/>
          <w:szCs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425D44" w:rsidRPr="0069504D">
        <w:rPr>
          <w:rFonts w:ascii="Times New Roman" w:hAnsi="Times New Roman" w:cs="Times New Roman"/>
          <w:b/>
          <w:bCs/>
          <w:sz w:val="24"/>
        </w:rPr>
        <w:t>S</w:t>
      </w:r>
      <w:r w:rsidR="004669B2" w:rsidRPr="0069504D">
        <w:rPr>
          <w:rFonts w:ascii="Times New Roman" w:hAnsi="Times New Roman" w:cs="Times New Roman"/>
          <w:b/>
          <w:bCs/>
          <w:sz w:val="24"/>
        </w:rPr>
        <w:t>10</w:t>
      </w:r>
      <w:r w:rsidR="00425D44" w:rsidRPr="0069504D">
        <w:rPr>
          <w:rFonts w:ascii="Times New Roman" w:hAnsi="Times New Roman" w:cs="Times New Roman"/>
          <w:sz w:val="24"/>
        </w:rPr>
        <w:t xml:space="preserve"> Absorption spectral changes of </w:t>
      </w:r>
      <w:r w:rsidR="00425D44" w:rsidRPr="0069504D">
        <w:rPr>
          <w:rFonts w:ascii="Times New Roman" w:hAnsi="Times New Roman" w:cs="Times New Roman"/>
          <w:b/>
          <w:sz w:val="24"/>
        </w:rPr>
        <w:t>BQC</w:t>
      </w:r>
      <w:r w:rsidR="00425D44" w:rsidRPr="0069504D">
        <w:rPr>
          <w:rFonts w:ascii="Times New Roman" w:hAnsi="Times New Roman" w:cs="Times New Roman"/>
          <w:sz w:val="24"/>
        </w:rPr>
        <w:t xml:space="preserve"> (10 </w:t>
      </w:r>
      <w:r w:rsidR="00425D44" w:rsidRPr="0069504D">
        <w:rPr>
          <w:rFonts w:ascii="Times New Roman" w:eastAsiaTheme="minorHAnsi" w:hAnsi="Times New Roman" w:cs="Times New Roman"/>
          <w:kern w:val="0"/>
          <w:sz w:val="24"/>
          <w:szCs w:val="24"/>
        </w:rPr>
        <w:t>μM) upon the addition of 0-2.5 equiv of ClO</w:t>
      </w:r>
      <w:r w:rsidR="00425D44" w:rsidRPr="0069504D">
        <w:rPr>
          <w:rFonts w:ascii="Times New Roman" w:eastAsiaTheme="minorHAnsi" w:hAnsi="Times New Roman" w:cs="Times New Roman"/>
          <w:kern w:val="0"/>
          <w:sz w:val="24"/>
          <w:szCs w:val="24"/>
          <w:vertAlign w:val="superscript"/>
        </w:rPr>
        <w:t>-</w:t>
      </w:r>
      <w:r w:rsidR="00425D44" w:rsidRPr="0069504D">
        <w:rPr>
          <w:rFonts w:ascii="Times New Roman" w:eastAsiaTheme="minorHAnsi" w:hAnsi="Times New Roman" w:cs="Times New Roman"/>
          <w:kern w:val="0"/>
          <w:sz w:val="24"/>
          <w:szCs w:val="24"/>
        </w:rPr>
        <w:t>.</w:t>
      </w:r>
    </w:p>
    <w:p w14:paraId="483F598B" w14:textId="501D787D" w:rsidR="00425D44" w:rsidRPr="0069504D" w:rsidRDefault="00425D44">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27AF115C" w14:textId="37422E13" w:rsidR="0039136B" w:rsidRPr="0069504D" w:rsidRDefault="00DD647F" w:rsidP="0039136B">
      <w:pPr>
        <w:spacing w:line="360" w:lineRule="auto"/>
        <w:jc w:val="center"/>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234EA386" wp14:editId="3453B16D">
            <wp:extent cx="6281053" cy="3848735"/>
            <wp:effectExtent l="0" t="0" r="5715"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88979" cy="3853592"/>
                    </a:xfrm>
                    <a:prstGeom prst="rect">
                      <a:avLst/>
                    </a:prstGeom>
                    <a:noFill/>
                  </pic:spPr>
                </pic:pic>
              </a:graphicData>
            </a:graphic>
          </wp:inline>
        </w:drawing>
      </w:r>
    </w:p>
    <w:p w14:paraId="131024D6" w14:textId="38B4AE36" w:rsidR="00425D44" w:rsidRPr="0069504D" w:rsidRDefault="00F169F4" w:rsidP="000630BF">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425D44" w:rsidRPr="0069504D">
        <w:rPr>
          <w:rFonts w:ascii="Times New Roman" w:hAnsi="Times New Roman" w:cs="Times New Roman"/>
          <w:b/>
          <w:bCs/>
          <w:sz w:val="24"/>
        </w:rPr>
        <w:t>S</w:t>
      </w:r>
      <w:r w:rsidR="00377CF4" w:rsidRPr="0069504D">
        <w:rPr>
          <w:rFonts w:ascii="Times New Roman" w:hAnsi="Times New Roman" w:cs="Times New Roman" w:hint="eastAsia"/>
          <w:b/>
          <w:bCs/>
          <w:sz w:val="24"/>
        </w:rPr>
        <w:t>1</w:t>
      </w:r>
      <w:r w:rsidR="004669B2" w:rsidRPr="0069504D">
        <w:rPr>
          <w:rFonts w:ascii="Times New Roman" w:hAnsi="Times New Roman" w:cs="Times New Roman"/>
          <w:b/>
          <w:bCs/>
          <w:sz w:val="24"/>
        </w:rPr>
        <w:t>1</w:t>
      </w:r>
      <w:r w:rsidR="00425D44" w:rsidRPr="0069504D">
        <w:rPr>
          <w:rFonts w:ascii="Times New Roman" w:hAnsi="Times New Roman" w:cs="Times New Roman"/>
          <w:sz w:val="24"/>
        </w:rPr>
        <w:t xml:space="preserve"> </w:t>
      </w:r>
      <w:r w:rsidR="000B29D1" w:rsidRPr="0069504D">
        <w:rPr>
          <w:rFonts w:ascii="Times New Roman" w:hAnsi="Times New Roman" w:cs="Times New Roman"/>
          <w:sz w:val="24"/>
        </w:rPr>
        <w:t>Negative</w:t>
      </w:r>
      <w:r w:rsidR="00425D44" w:rsidRPr="0069504D">
        <w:rPr>
          <w:rFonts w:ascii="Times New Roman" w:hAnsi="Times New Roman" w:cs="Times New Roman"/>
          <w:sz w:val="24"/>
        </w:rPr>
        <w:t xml:space="preserve">-ion ESI-MS spectrum of </w:t>
      </w:r>
      <w:r w:rsidR="00425D44" w:rsidRPr="0069504D">
        <w:rPr>
          <w:rFonts w:ascii="Times New Roman" w:hAnsi="Times New Roman" w:cs="Times New Roman"/>
          <w:b/>
          <w:bCs/>
          <w:sz w:val="24"/>
        </w:rPr>
        <w:t xml:space="preserve">BQC </w:t>
      </w:r>
      <w:r w:rsidR="00425D44" w:rsidRPr="0069504D">
        <w:rPr>
          <w:rFonts w:ascii="Times New Roman" w:hAnsi="Times New Roman" w:cs="Times New Roman"/>
          <w:sz w:val="24"/>
        </w:rPr>
        <w:t>(100 µM) upon addition of ClO</w:t>
      </w:r>
      <w:r w:rsidR="00425D44" w:rsidRPr="0069504D">
        <w:rPr>
          <w:rFonts w:ascii="Times New Roman" w:hAnsi="Times New Roman" w:cs="Times New Roman"/>
          <w:sz w:val="24"/>
          <w:vertAlign w:val="superscript"/>
        </w:rPr>
        <w:noBreakHyphen/>
      </w:r>
      <w:r w:rsidR="00425D44" w:rsidRPr="0069504D">
        <w:rPr>
          <w:rFonts w:ascii="Times New Roman" w:hAnsi="Times New Roman" w:cs="Times New Roman"/>
          <w:sz w:val="24"/>
        </w:rPr>
        <w:t xml:space="preserve"> (1.0 equiv).</w:t>
      </w:r>
    </w:p>
    <w:p w14:paraId="5F6978E9" w14:textId="77777777" w:rsidR="00425D44" w:rsidRPr="0069504D" w:rsidRDefault="00425D44">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0A12B292" w14:textId="728F0B12" w:rsidR="0039136B" w:rsidRPr="0069504D" w:rsidRDefault="006311C2" w:rsidP="000630BF">
      <w:pPr>
        <w:spacing w:line="360" w:lineRule="auto"/>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36F707CA" wp14:editId="71244028">
            <wp:extent cx="6169353" cy="4727911"/>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82323" cy="4737851"/>
                    </a:xfrm>
                    <a:prstGeom prst="rect">
                      <a:avLst/>
                    </a:prstGeom>
                    <a:noFill/>
                  </pic:spPr>
                </pic:pic>
              </a:graphicData>
            </a:graphic>
          </wp:inline>
        </w:drawing>
      </w:r>
    </w:p>
    <w:p w14:paraId="0A593215" w14:textId="716A7A37" w:rsidR="0039136B" w:rsidRPr="0069504D" w:rsidRDefault="00F169F4" w:rsidP="00DA1C1A">
      <w:pPr>
        <w:spacing w:line="360" w:lineRule="auto"/>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5674AC" w:rsidRPr="0069504D">
        <w:rPr>
          <w:rFonts w:ascii="Times New Roman" w:hAnsi="Times New Roman" w:cs="Times New Roman"/>
          <w:b/>
          <w:bCs/>
          <w:sz w:val="24"/>
        </w:rPr>
        <w:t>S</w:t>
      </w:r>
      <w:r w:rsidR="00425D44" w:rsidRPr="0069504D">
        <w:rPr>
          <w:rFonts w:ascii="Times New Roman" w:hAnsi="Times New Roman" w:cs="Times New Roman"/>
          <w:b/>
          <w:bCs/>
          <w:sz w:val="24"/>
        </w:rPr>
        <w:t>1</w:t>
      </w:r>
      <w:r w:rsidR="004669B2" w:rsidRPr="0069504D">
        <w:rPr>
          <w:rFonts w:ascii="Times New Roman" w:hAnsi="Times New Roman" w:cs="Times New Roman"/>
          <w:b/>
          <w:bCs/>
          <w:sz w:val="24"/>
        </w:rPr>
        <w:t>2</w:t>
      </w:r>
      <w:r w:rsidR="0039136B" w:rsidRPr="0069504D">
        <w:rPr>
          <w:rFonts w:ascii="Times New Roman" w:hAnsi="Times New Roman" w:cs="Times New Roman"/>
          <w:sz w:val="24"/>
        </w:rPr>
        <w:t xml:space="preserve"> </w:t>
      </w:r>
      <w:r w:rsidR="00EB4877" w:rsidRPr="0069504D">
        <w:rPr>
          <w:rFonts w:ascii="Times New Roman" w:hAnsi="Times New Roman" w:cs="Times New Roman"/>
          <w:sz w:val="24"/>
        </w:rPr>
        <w:t>Fluorescence intensity (at 430 nm) of</w:t>
      </w:r>
      <w:r w:rsidR="0039136B" w:rsidRPr="0069504D">
        <w:rPr>
          <w:rFonts w:ascii="Times New Roman" w:hAnsi="Times New Roman" w:cs="Times New Roman"/>
          <w:sz w:val="24"/>
        </w:rPr>
        <w:t xml:space="preserve"> </w:t>
      </w:r>
      <w:r w:rsidR="00691B94" w:rsidRPr="0069504D">
        <w:rPr>
          <w:rFonts w:ascii="Times New Roman" w:hAnsi="Times New Roman" w:cs="Times New Roman"/>
          <w:b/>
          <w:bCs/>
          <w:sz w:val="24"/>
        </w:rPr>
        <w:t>BQC</w:t>
      </w:r>
      <w:r w:rsidR="00EB4877" w:rsidRPr="0069504D">
        <w:rPr>
          <w:rFonts w:ascii="Times New Roman" w:hAnsi="Times New Roman" w:cs="Times New Roman"/>
          <w:b/>
          <w:bCs/>
          <w:sz w:val="24"/>
        </w:rPr>
        <w:t xml:space="preserve"> </w:t>
      </w:r>
      <w:r w:rsidR="00EB4877" w:rsidRPr="0069504D">
        <w:rPr>
          <w:rFonts w:ascii="Times New Roman" w:hAnsi="Times New Roman" w:cs="Times New Roman"/>
          <w:sz w:val="24"/>
        </w:rPr>
        <w:t>(10 µM)</w:t>
      </w:r>
      <w:r w:rsidR="0039136B" w:rsidRPr="0069504D">
        <w:rPr>
          <w:rFonts w:ascii="Times New Roman" w:hAnsi="Times New Roman" w:cs="Times New Roman"/>
          <w:sz w:val="24"/>
        </w:rPr>
        <w:t xml:space="preserve"> toward ClO</w:t>
      </w:r>
      <w:r w:rsidR="0039136B" w:rsidRPr="0069504D">
        <w:rPr>
          <w:rFonts w:ascii="Times New Roman" w:hAnsi="Times New Roman" w:cs="Times New Roman"/>
          <w:sz w:val="24"/>
          <w:vertAlign w:val="superscript"/>
        </w:rPr>
        <w:t>-</w:t>
      </w:r>
      <w:r w:rsidR="0039136B" w:rsidRPr="0069504D">
        <w:rPr>
          <w:rFonts w:ascii="Times New Roman" w:hAnsi="Times New Roman" w:cs="Times New Roman"/>
          <w:sz w:val="24"/>
        </w:rPr>
        <w:t xml:space="preserve"> </w:t>
      </w:r>
      <w:r w:rsidR="00EB4877" w:rsidRPr="0069504D">
        <w:rPr>
          <w:rFonts w:ascii="Times New Roman" w:hAnsi="Times New Roman" w:cs="Times New Roman"/>
          <w:sz w:val="24"/>
        </w:rPr>
        <w:t>(19.0 equiv) in the absence or presence of</w:t>
      </w:r>
      <w:r w:rsidR="0039136B" w:rsidRPr="0069504D">
        <w:rPr>
          <w:rFonts w:ascii="Times New Roman" w:hAnsi="Times New Roman" w:cs="Times New Roman"/>
          <w:sz w:val="24"/>
        </w:rPr>
        <w:t xml:space="preserve"> </w:t>
      </w:r>
      <w:r w:rsidR="00EB4877" w:rsidRPr="0069504D">
        <w:rPr>
          <w:rFonts w:ascii="Times New Roman" w:hAnsi="Times New Roman" w:cs="Times New Roman"/>
          <w:sz w:val="24"/>
        </w:rPr>
        <w:t>other</w:t>
      </w:r>
      <w:r w:rsidR="0039136B" w:rsidRPr="0069504D">
        <w:rPr>
          <w:rFonts w:ascii="Times New Roman" w:hAnsi="Times New Roman" w:cs="Times New Roman"/>
          <w:sz w:val="24"/>
        </w:rPr>
        <w:t xml:space="preserve"> anions</w:t>
      </w:r>
      <w:r w:rsidR="000630BF" w:rsidRPr="0069504D">
        <w:rPr>
          <w:rFonts w:ascii="Times New Roman" w:hAnsi="Times New Roman" w:cs="Times New Roman"/>
          <w:sz w:val="24"/>
        </w:rPr>
        <w:t xml:space="preserve"> and ROS</w:t>
      </w:r>
      <w:r w:rsidR="00EB4877" w:rsidRPr="0069504D">
        <w:rPr>
          <w:rFonts w:ascii="Times New Roman" w:hAnsi="Times New Roman" w:cs="Times New Roman"/>
          <w:sz w:val="24"/>
        </w:rPr>
        <w:t xml:space="preserve"> (19.0 equiv)</w:t>
      </w:r>
      <w:r w:rsidR="000630BF" w:rsidRPr="0069504D">
        <w:rPr>
          <w:rFonts w:ascii="Times New Roman" w:hAnsi="Times New Roman" w:cs="Times New Roman"/>
          <w:sz w:val="24"/>
        </w:rPr>
        <w:t>.</w:t>
      </w:r>
    </w:p>
    <w:p w14:paraId="1AE2F518" w14:textId="71E6DA22" w:rsidR="00DC185C" w:rsidRPr="0069504D" w:rsidRDefault="00DC185C">
      <w:pPr>
        <w:widowControl/>
        <w:wordWrap/>
        <w:autoSpaceDE/>
        <w:autoSpaceDN/>
        <w:rPr>
          <w:rFonts w:ascii="Times New Roman" w:hAnsi="Times New Roman" w:cs="Times New Roman"/>
          <w:sz w:val="24"/>
        </w:rPr>
      </w:pPr>
      <w:r w:rsidRPr="0069504D">
        <w:rPr>
          <w:rFonts w:ascii="Times New Roman" w:hAnsi="Times New Roman" w:cs="Times New Roman"/>
          <w:sz w:val="24"/>
        </w:rPr>
        <w:br w:type="page"/>
      </w:r>
    </w:p>
    <w:p w14:paraId="404B3E91" w14:textId="13AA2AF8" w:rsidR="008E7B31" w:rsidRPr="0069504D" w:rsidRDefault="00C4618F">
      <w:pPr>
        <w:widowControl/>
        <w:wordWrap/>
        <w:autoSpaceDE/>
        <w:autoSpaceDN/>
        <w:rPr>
          <w:rFonts w:ascii="Times New Roman" w:hAnsi="Times New Roman" w:cs="Times New Roman"/>
          <w:sz w:val="24"/>
        </w:rPr>
      </w:pPr>
      <w:r w:rsidRPr="0069504D">
        <w:rPr>
          <w:rFonts w:ascii="Times New Roman" w:hAnsi="Times New Roman" w:cs="Times New Roman"/>
          <w:noProof/>
          <w:sz w:val="24"/>
        </w:rPr>
        <w:lastRenderedPageBreak/>
        <w:drawing>
          <wp:inline distT="0" distB="0" distL="0" distR="0" wp14:anchorId="54F907CB" wp14:editId="5D9E7785">
            <wp:extent cx="6022670" cy="4982068"/>
            <wp:effectExtent l="0" t="0" r="0" b="9525"/>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40804" cy="4997068"/>
                    </a:xfrm>
                    <a:prstGeom prst="rect">
                      <a:avLst/>
                    </a:prstGeom>
                    <a:noFill/>
                  </pic:spPr>
                </pic:pic>
              </a:graphicData>
            </a:graphic>
          </wp:inline>
        </w:drawing>
      </w:r>
    </w:p>
    <w:p w14:paraId="2F0B48CE" w14:textId="2EADD704" w:rsidR="00DC185C" w:rsidRPr="0069504D" w:rsidRDefault="00F169F4">
      <w:pPr>
        <w:widowControl/>
        <w:wordWrap/>
        <w:autoSpaceDE/>
        <w:autoSpaceDN/>
        <w:rPr>
          <w:rFonts w:ascii="Times New Roman" w:hAnsi="Times New Roman" w:cs="Times New Roman"/>
          <w:sz w:val="24"/>
        </w:rPr>
      </w:pPr>
      <w:r w:rsidRPr="0069504D">
        <w:rPr>
          <w:rFonts w:ascii="Times New Roman" w:hAnsi="Times New Roman" w:cs="Times New Roman"/>
          <w:b/>
          <w:sz w:val="24"/>
        </w:rPr>
        <w:t>Fig</w:t>
      </w:r>
      <w:r>
        <w:rPr>
          <w:rFonts w:ascii="Times New Roman" w:hAnsi="Times New Roman" w:cs="Times New Roman"/>
          <w:b/>
          <w:sz w:val="24"/>
        </w:rPr>
        <w:t>ure</w:t>
      </w:r>
      <w:r w:rsidRPr="0069504D">
        <w:rPr>
          <w:rFonts w:ascii="Times New Roman" w:hAnsi="Times New Roman" w:cs="Times New Roman"/>
          <w:b/>
          <w:bCs/>
          <w:sz w:val="24"/>
        </w:rPr>
        <w:t xml:space="preserve"> </w:t>
      </w:r>
      <w:r w:rsidR="00DC185C" w:rsidRPr="0069504D">
        <w:rPr>
          <w:rFonts w:ascii="Times New Roman" w:hAnsi="Times New Roman" w:cs="Times New Roman"/>
          <w:b/>
          <w:bCs/>
          <w:sz w:val="24"/>
        </w:rPr>
        <w:t>S</w:t>
      </w:r>
      <w:r w:rsidR="00377CF4" w:rsidRPr="0069504D">
        <w:rPr>
          <w:rFonts w:ascii="Times New Roman" w:hAnsi="Times New Roman" w:cs="Times New Roman" w:hint="eastAsia"/>
          <w:b/>
          <w:bCs/>
          <w:sz w:val="24"/>
        </w:rPr>
        <w:t>1</w:t>
      </w:r>
      <w:r w:rsidR="004669B2" w:rsidRPr="0069504D">
        <w:rPr>
          <w:rFonts w:ascii="Times New Roman" w:hAnsi="Times New Roman" w:cs="Times New Roman"/>
          <w:b/>
          <w:bCs/>
          <w:sz w:val="24"/>
        </w:rPr>
        <w:t>3</w:t>
      </w:r>
      <w:r w:rsidR="00DC185C" w:rsidRPr="0069504D">
        <w:rPr>
          <w:rFonts w:ascii="Times New Roman" w:hAnsi="Times New Roman" w:cs="Times New Roman"/>
          <w:sz w:val="24"/>
        </w:rPr>
        <w:t xml:space="preserve"> Energy-optimized structures of (a) </w:t>
      </w:r>
      <w:r w:rsidR="00DC185C" w:rsidRPr="0069504D">
        <w:rPr>
          <w:rFonts w:ascii="Times New Roman" w:hAnsi="Times New Roman" w:cs="Times New Roman"/>
          <w:b/>
          <w:bCs/>
          <w:sz w:val="24"/>
        </w:rPr>
        <w:t>BQC</w:t>
      </w:r>
      <w:r w:rsidR="00DC185C" w:rsidRPr="0069504D">
        <w:rPr>
          <w:rFonts w:ascii="Times New Roman" w:hAnsi="Times New Roman" w:cs="Times New Roman"/>
          <w:sz w:val="24"/>
        </w:rPr>
        <w:t xml:space="preserve">, (b) </w:t>
      </w:r>
      <w:r w:rsidR="000C3A46" w:rsidRPr="0069504D">
        <w:rPr>
          <w:rFonts w:ascii="Times New Roman" w:hAnsi="Times New Roman" w:cs="Times New Roman"/>
          <w:kern w:val="0"/>
          <w:sz w:val="24"/>
          <w:lang w:eastAsia="zh-CN"/>
        </w:rPr>
        <w:t>In</w:t>
      </w:r>
      <w:r w:rsidR="000C3A46" w:rsidRPr="0069504D">
        <w:rPr>
          <w:rFonts w:ascii="Times New Roman" w:hAnsi="Times New Roman" w:cs="Times New Roman"/>
          <w:kern w:val="0"/>
          <w:sz w:val="24"/>
          <w:vertAlign w:val="superscript"/>
          <w:lang w:eastAsia="zh-CN"/>
        </w:rPr>
        <w:t>3+</w:t>
      </w:r>
      <w:r w:rsidR="000C3A46" w:rsidRPr="0069504D">
        <w:rPr>
          <w:rFonts w:ascii="Times New Roman" w:hAnsi="Times New Roman" w:cs="Times New Roman"/>
          <w:kern w:val="0"/>
          <w:sz w:val="24"/>
          <w:lang w:eastAsia="zh-CN"/>
        </w:rPr>
        <w:t>-2</w:t>
      </w:r>
      <w:r w:rsidR="000C3A46" w:rsidRPr="0069504D">
        <w:rPr>
          <w:rFonts w:ascii="Times New Roman" w:eastAsia="맑은 고딕" w:hAnsi="Times New Roman" w:cs="Times New Roman"/>
          <w:kern w:val="0"/>
          <w:sz w:val="24"/>
          <w:lang w:eastAsia="zh-CN"/>
        </w:rPr>
        <w:t>∙</w:t>
      </w:r>
      <w:r w:rsidR="000C3A46" w:rsidRPr="0069504D">
        <w:rPr>
          <w:rFonts w:ascii="Times New Roman" w:hAnsi="Times New Roman" w:cs="Times New Roman"/>
          <w:b/>
          <w:kern w:val="0"/>
          <w:sz w:val="24"/>
          <w:lang w:eastAsia="zh-CN"/>
        </w:rPr>
        <w:t>BQC</w:t>
      </w:r>
      <w:r w:rsidR="00DC185C" w:rsidRPr="0069504D">
        <w:rPr>
          <w:rFonts w:ascii="Times New Roman" w:hAnsi="Times New Roman" w:cs="Times New Roman"/>
          <w:sz w:val="24"/>
        </w:rPr>
        <w:t xml:space="preserve"> and (c) </w:t>
      </w:r>
      <w:r w:rsidR="00DC185C" w:rsidRPr="0069504D">
        <w:rPr>
          <w:rFonts w:ascii="Times New Roman" w:hAnsi="Times New Roman" w:cs="Times New Roman"/>
          <w:b/>
          <w:bCs/>
          <w:sz w:val="24"/>
        </w:rPr>
        <w:t>BQC</w:t>
      </w:r>
      <w:r w:rsidR="00DC185C" w:rsidRPr="0069504D">
        <w:rPr>
          <w:rFonts w:ascii="Times New Roman" w:hAnsi="Times New Roman" w:cs="Times New Roman"/>
          <w:sz w:val="24"/>
        </w:rPr>
        <w:t>-</w:t>
      </w:r>
      <w:r w:rsidR="0027594D" w:rsidRPr="0069504D">
        <w:rPr>
          <w:rFonts w:ascii="Times New Roman" w:hAnsi="Times New Roman" w:cs="Times New Roman" w:hint="eastAsia"/>
          <w:sz w:val="24"/>
        </w:rPr>
        <w:t>H</w:t>
      </w:r>
      <w:r w:rsidR="0027594D" w:rsidRPr="0069504D">
        <w:rPr>
          <w:rFonts w:ascii="Times New Roman" w:hAnsi="Times New Roman" w:cs="Times New Roman" w:hint="eastAsia"/>
          <w:sz w:val="24"/>
          <w:vertAlign w:val="superscript"/>
        </w:rPr>
        <w:t>+</w:t>
      </w:r>
      <w:r w:rsidR="00DC185C" w:rsidRPr="0069504D">
        <w:rPr>
          <w:rFonts w:ascii="Times New Roman" w:hAnsi="Times New Roman" w:cs="Times New Roman"/>
          <w:sz w:val="24"/>
        </w:rPr>
        <w:t>.</w:t>
      </w:r>
    </w:p>
    <w:sectPr w:rsidR="00DC185C" w:rsidRPr="0069504D">
      <w:footerReference w:type="default" r:id="rId39"/>
      <w:pgSz w:w="12240" w:h="15840"/>
      <w:pgMar w:top="1701"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988B2" w14:textId="77777777" w:rsidR="00346B81" w:rsidRDefault="00346B81" w:rsidP="00D30FA9">
      <w:pPr>
        <w:spacing w:after="0" w:line="240" w:lineRule="auto"/>
      </w:pPr>
      <w:r>
        <w:separator/>
      </w:r>
    </w:p>
  </w:endnote>
  <w:endnote w:type="continuationSeparator" w:id="0">
    <w:p w14:paraId="6D640E82" w14:textId="77777777" w:rsidR="00346B81" w:rsidRDefault="00346B81" w:rsidP="00D3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652656"/>
      <w:docPartObj>
        <w:docPartGallery w:val="Page Numbers (Bottom of Page)"/>
        <w:docPartUnique/>
      </w:docPartObj>
    </w:sdtPr>
    <w:sdtContent>
      <w:p w14:paraId="35AFF6DE" w14:textId="6B31EF11" w:rsidR="005A4B75" w:rsidRDefault="005A4B75">
        <w:pPr>
          <w:pStyle w:val="a4"/>
          <w:jc w:val="center"/>
        </w:pPr>
        <w:r>
          <w:fldChar w:fldCharType="begin"/>
        </w:r>
        <w:r>
          <w:instrText>PAGE   \* MERGEFORMAT</w:instrText>
        </w:r>
        <w:r>
          <w:fldChar w:fldCharType="separate"/>
        </w:r>
        <w:r>
          <w:rPr>
            <w:lang w:val="ko-KR"/>
          </w:rPr>
          <w:t>2</w:t>
        </w:r>
        <w:r>
          <w:fldChar w:fldCharType="end"/>
        </w:r>
      </w:p>
    </w:sdtContent>
  </w:sdt>
  <w:p w14:paraId="20DBE0C9" w14:textId="77777777" w:rsidR="005A4B75" w:rsidRDefault="005A4B7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242A" w14:textId="77777777" w:rsidR="00346B81" w:rsidRDefault="00346B81" w:rsidP="00D30FA9">
      <w:pPr>
        <w:spacing w:after="0" w:line="240" w:lineRule="auto"/>
      </w:pPr>
      <w:r>
        <w:separator/>
      </w:r>
    </w:p>
  </w:footnote>
  <w:footnote w:type="continuationSeparator" w:id="0">
    <w:p w14:paraId="536D75A5" w14:textId="77777777" w:rsidR="00346B81" w:rsidRDefault="00346B81" w:rsidP="00D30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0tTAyNDCxMLAwNbFQ0lEKTi0uzszPAykwNq8FAKMnjtQtAAAA"/>
  </w:docVars>
  <w:rsids>
    <w:rsidRoot w:val="00264049"/>
    <w:rsid w:val="00025B9C"/>
    <w:rsid w:val="00037ADE"/>
    <w:rsid w:val="000541A1"/>
    <w:rsid w:val="000630BF"/>
    <w:rsid w:val="00067814"/>
    <w:rsid w:val="000679F0"/>
    <w:rsid w:val="00083A41"/>
    <w:rsid w:val="000A5FFE"/>
    <w:rsid w:val="000B1C25"/>
    <w:rsid w:val="000B29D1"/>
    <w:rsid w:val="000B77C2"/>
    <w:rsid w:val="000C3A46"/>
    <w:rsid w:val="000D0FCF"/>
    <w:rsid w:val="000E43C3"/>
    <w:rsid w:val="000F1B95"/>
    <w:rsid w:val="001057BB"/>
    <w:rsid w:val="00112289"/>
    <w:rsid w:val="00114B99"/>
    <w:rsid w:val="00150710"/>
    <w:rsid w:val="0016007D"/>
    <w:rsid w:val="00165C4B"/>
    <w:rsid w:val="00166DE0"/>
    <w:rsid w:val="00186B55"/>
    <w:rsid w:val="00191AD5"/>
    <w:rsid w:val="00196079"/>
    <w:rsid w:val="001B1863"/>
    <w:rsid w:val="001C0784"/>
    <w:rsid w:val="001D0C51"/>
    <w:rsid w:val="001D77A8"/>
    <w:rsid w:val="001E2429"/>
    <w:rsid w:val="001E728C"/>
    <w:rsid w:val="002157FE"/>
    <w:rsid w:val="00215E79"/>
    <w:rsid w:val="00232B33"/>
    <w:rsid w:val="00240531"/>
    <w:rsid w:val="00241EF8"/>
    <w:rsid w:val="00264049"/>
    <w:rsid w:val="002732E9"/>
    <w:rsid w:val="00274B34"/>
    <w:rsid w:val="0027594D"/>
    <w:rsid w:val="002A701B"/>
    <w:rsid w:val="002C4584"/>
    <w:rsid w:val="002D7B24"/>
    <w:rsid w:val="002E7271"/>
    <w:rsid w:val="002F2181"/>
    <w:rsid w:val="002F2896"/>
    <w:rsid w:val="00306435"/>
    <w:rsid w:val="0032066B"/>
    <w:rsid w:val="00331C66"/>
    <w:rsid w:val="003377FA"/>
    <w:rsid w:val="0034247B"/>
    <w:rsid w:val="00346B81"/>
    <w:rsid w:val="00377CF4"/>
    <w:rsid w:val="0038093B"/>
    <w:rsid w:val="00381143"/>
    <w:rsid w:val="0038753E"/>
    <w:rsid w:val="0039136B"/>
    <w:rsid w:val="00391BF4"/>
    <w:rsid w:val="00391E09"/>
    <w:rsid w:val="003A5DC8"/>
    <w:rsid w:val="003B2986"/>
    <w:rsid w:val="003B4327"/>
    <w:rsid w:val="003D1DCA"/>
    <w:rsid w:val="003E2D1B"/>
    <w:rsid w:val="003E2FB8"/>
    <w:rsid w:val="003F1B01"/>
    <w:rsid w:val="003F4894"/>
    <w:rsid w:val="004021FE"/>
    <w:rsid w:val="00425D44"/>
    <w:rsid w:val="00430163"/>
    <w:rsid w:val="0043268F"/>
    <w:rsid w:val="00435A75"/>
    <w:rsid w:val="00437E13"/>
    <w:rsid w:val="00456E32"/>
    <w:rsid w:val="00465F7D"/>
    <w:rsid w:val="004669B2"/>
    <w:rsid w:val="00470252"/>
    <w:rsid w:val="00471969"/>
    <w:rsid w:val="004741C5"/>
    <w:rsid w:val="0049522D"/>
    <w:rsid w:val="004A4F9A"/>
    <w:rsid w:val="004B399F"/>
    <w:rsid w:val="004B57D5"/>
    <w:rsid w:val="004D1708"/>
    <w:rsid w:val="004D6215"/>
    <w:rsid w:val="004E2273"/>
    <w:rsid w:val="004E2318"/>
    <w:rsid w:val="004E296B"/>
    <w:rsid w:val="005018EA"/>
    <w:rsid w:val="00507C59"/>
    <w:rsid w:val="00520F40"/>
    <w:rsid w:val="00521C6C"/>
    <w:rsid w:val="00525351"/>
    <w:rsid w:val="00535701"/>
    <w:rsid w:val="005674AC"/>
    <w:rsid w:val="005740B0"/>
    <w:rsid w:val="00581487"/>
    <w:rsid w:val="005852FD"/>
    <w:rsid w:val="005855BF"/>
    <w:rsid w:val="00596A84"/>
    <w:rsid w:val="005A10D8"/>
    <w:rsid w:val="005A3F08"/>
    <w:rsid w:val="005A4B75"/>
    <w:rsid w:val="005B0272"/>
    <w:rsid w:val="005C50D9"/>
    <w:rsid w:val="005D2664"/>
    <w:rsid w:val="005F0F83"/>
    <w:rsid w:val="005F17AE"/>
    <w:rsid w:val="0060271A"/>
    <w:rsid w:val="00607B23"/>
    <w:rsid w:val="006161BE"/>
    <w:rsid w:val="00620124"/>
    <w:rsid w:val="006311C2"/>
    <w:rsid w:val="0064749B"/>
    <w:rsid w:val="00652362"/>
    <w:rsid w:val="006610C9"/>
    <w:rsid w:val="00663932"/>
    <w:rsid w:val="00686DA1"/>
    <w:rsid w:val="00691B94"/>
    <w:rsid w:val="0069504D"/>
    <w:rsid w:val="00697F7F"/>
    <w:rsid w:val="006A5B1D"/>
    <w:rsid w:val="006B49E4"/>
    <w:rsid w:val="006C0116"/>
    <w:rsid w:val="006C2F92"/>
    <w:rsid w:val="006C4976"/>
    <w:rsid w:val="006D4A70"/>
    <w:rsid w:val="006E424B"/>
    <w:rsid w:val="006E5C5B"/>
    <w:rsid w:val="006F07A6"/>
    <w:rsid w:val="00704E6D"/>
    <w:rsid w:val="0071316C"/>
    <w:rsid w:val="007450C5"/>
    <w:rsid w:val="00754134"/>
    <w:rsid w:val="0076160D"/>
    <w:rsid w:val="0076673B"/>
    <w:rsid w:val="0078305F"/>
    <w:rsid w:val="00793ADD"/>
    <w:rsid w:val="007A47C5"/>
    <w:rsid w:val="007D080D"/>
    <w:rsid w:val="007F6361"/>
    <w:rsid w:val="00822F52"/>
    <w:rsid w:val="00823667"/>
    <w:rsid w:val="008268C0"/>
    <w:rsid w:val="008274A3"/>
    <w:rsid w:val="00831F31"/>
    <w:rsid w:val="00835018"/>
    <w:rsid w:val="00853F6F"/>
    <w:rsid w:val="00893F60"/>
    <w:rsid w:val="008965D2"/>
    <w:rsid w:val="008A1E22"/>
    <w:rsid w:val="008D165B"/>
    <w:rsid w:val="008E7B31"/>
    <w:rsid w:val="008F0716"/>
    <w:rsid w:val="00901E78"/>
    <w:rsid w:val="00904F50"/>
    <w:rsid w:val="00907403"/>
    <w:rsid w:val="00915215"/>
    <w:rsid w:val="00925F5A"/>
    <w:rsid w:val="00932568"/>
    <w:rsid w:val="009330F2"/>
    <w:rsid w:val="00940D40"/>
    <w:rsid w:val="00956CCE"/>
    <w:rsid w:val="0098689A"/>
    <w:rsid w:val="009A78E7"/>
    <w:rsid w:val="009D6482"/>
    <w:rsid w:val="009E709D"/>
    <w:rsid w:val="009F3743"/>
    <w:rsid w:val="00A05DDA"/>
    <w:rsid w:val="00A07010"/>
    <w:rsid w:val="00A2266F"/>
    <w:rsid w:val="00A24084"/>
    <w:rsid w:val="00A37174"/>
    <w:rsid w:val="00A41E04"/>
    <w:rsid w:val="00A47F94"/>
    <w:rsid w:val="00A7219A"/>
    <w:rsid w:val="00A80F06"/>
    <w:rsid w:val="00A80F1A"/>
    <w:rsid w:val="00AA2908"/>
    <w:rsid w:val="00AA4E33"/>
    <w:rsid w:val="00AB75A2"/>
    <w:rsid w:val="00AC44C6"/>
    <w:rsid w:val="00AD2A32"/>
    <w:rsid w:val="00AF662B"/>
    <w:rsid w:val="00B1704B"/>
    <w:rsid w:val="00B33372"/>
    <w:rsid w:val="00B46073"/>
    <w:rsid w:val="00B46B62"/>
    <w:rsid w:val="00B56445"/>
    <w:rsid w:val="00B75256"/>
    <w:rsid w:val="00B76428"/>
    <w:rsid w:val="00B80475"/>
    <w:rsid w:val="00B830D1"/>
    <w:rsid w:val="00B85D06"/>
    <w:rsid w:val="00BA0A25"/>
    <w:rsid w:val="00BB4CC8"/>
    <w:rsid w:val="00BC6275"/>
    <w:rsid w:val="00BD6970"/>
    <w:rsid w:val="00BD69A8"/>
    <w:rsid w:val="00BE2D08"/>
    <w:rsid w:val="00BE6725"/>
    <w:rsid w:val="00C1454B"/>
    <w:rsid w:val="00C26E80"/>
    <w:rsid w:val="00C379D9"/>
    <w:rsid w:val="00C4597C"/>
    <w:rsid w:val="00C4618F"/>
    <w:rsid w:val="00C47789"/>
    <w:rsid w:val="00C56F28"/>
    <w:rsid w:val="00C61B6F"/>
    <w:rsid w:val="00C84974"/>
    <w:rsid w:val="00C852C5"/>
    <w:rsid w:val="00CA2D0C"/>
    <w:rsid w:val="00CA3E48"/>
    <w:rsid w:val="00CB53AD"/>
    <w:rsid w:val="00CB6ECA"/>
    <w:rsid w:val="00CC2FAB"/>
    <w:rsid w:val="00CD26D3"/>
    <w:rsid w:val="00CF37A0"/>
    <w:rsid w:val="00D038B6"/>
    <w:rsid w:val="00D1490E"/>
    <w:rsid w:val="00D21307"/>
    <w:rsid w:val="00D2595F"/>
    <w:rsid w:val="00D30FA9"/>
    <w:rsid w:val="00D369A0"/>
    <w:rsid w:val="00D41670"/>
    <w:rsid w:val="00D4783E"/>
    <w:rsid w:val="00D52746"/>
    <w:rsid w:val="00D5397A"/>
    <w:rsid w:val="00D6758B"/>
    <w:rsid w:val="00D907D0"/>
    <w:rsid w:val="00D93C86"/>
    <w:rsid w:val="00DA13C4"/>
    <w:rsid w:val="00DA16D4"/>
    <w:rsid w:val="00DA1C1A"/>
    <w:rsid w:val="00DA481A"/>
    <w:rsid w:val="00DA6E9D"/>
    <w:rsid w:val="00DB01FC"/>
    <w:rsid w:val="00DB4C5B"/>
    <w:rsid w:val="00DB57A7"/>
    <w:rsid w:val="00DB7171"/>
    <w:rsid w:val="00DC185C"/>
    <w:rsid w:val="00DC6C32"/>
    <w:rsid w:val="00DC72F6"/>
    <w:rsid w:val="00DD647F"/>
    <w:rsid w:val="00DE44CF"/>
    <w:rsid w:val="00DF0200"/>
    <w:rsid w:val="00E03F63"/>
    <w:rsid w:val="00E10BC0"/>
    <w:rsid w:val="00E271F9"/>
    <w:rsid w:val="00E31DCB"/>
    <w:rsid w:val="00E349B1"/>
    <w:rsid w:val="00E44139"/>
    <w:rsid w:val="00E44D5E"/>
    <w:rsid w:val="00E7565E"/>
    <w:rsid w:val="00E77F6C"/>
    <w:rsid w:val="00E85611"/>
    <w:rsid w:val="00E876EE"/>
    <w:rsid w:val="00E92A9E"/>
    <w:rsid w:val="00EA0ED3"/>
    <w:rsid w:val="00EB4877"/>
    <w:rsid w:val="00EB7269"/>
    <w:rsid w:val="00EC339A"/>
    <w:rsid w:val="00ED46EA"/>
    <w:rsid w:val="00ED704C"/>
    <w:rsid w:val="00EE5A95"/>
    <w:rsid w:val="00F003F1"/>
    <w:rsid w:val="00F15ED2"/>
    <w:rsid w:val="00F169F2"/>
    <w:rsid w:val="00F169F4"/>
    <w:rsid w:val="00F21944"/>
    <w:rsid w:val="00F35AF3"/>
    <w:rsid w:val="00F43A88"/>
    <w:rsid w:val="00F56316"/>
    <w:rsid w:val="00F5759A"/>
    <w:rsid w:val="00F67D7F"/>
    <w:rsid w:val="00F75435"/>
    <w:rsid w:val="00FA4456"/>
    <w:rsid w:val="00FB2A10"/>
    <w:rsid w:val="00FC154A"/>
    <w:rsid w:val="00FD23F0"/>
    <w:rsid w:val="00FD3959"/>
    <w:rsid w:val="00FD560B"/>
    <w:rsid w:val="00FF7F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6F161"/>
  <w15:chartTrackingRefBased/>
  <w15:docId w15:val="{6227AAA4-FF9B-4C7F-8460-881208A2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0FA9"/>
    <w:pPr>
      <w:tabs>
        <w:tab w:val="center" w:pos="4513"/>
        <w:tab w:val="right" w:pos="9026"/>
      </w:tabs>
      <w:snapToGrid w:val="0"/>
    </w:pPr>
  </w:style>
  <w:style w:type="character" w:customStyle="1" w:styleId="Char">
    <w:name w:val="머리글 Char"/>
    <w:basedOn w:val="a0"/>
    <w:link w:val="a3"/>
    <w:uiPriority w:val="99"/>
    <w:rsid w:val="00D30FA9"/>
  </w:style>
  <w:style w:type="paragraph" w:styleId="a4">
    <w:name w:val="footer"/>
    <w:basedOn w:val="a"/>
    <w:link w:val="Char0"/>
    <w:uiPriority w:val="99"/>
    <w:unhideWhenUsed/>
    <w:rsid w:val="00D30FA9"/>
    <w:pPr>
      <w:tabs>
        <w:tab w:val="center" w:pos="4513"/>
        <w:tab w:val="right" w:pos="9026"/>
      </w:tabs>
      <w:snapToGrid w:val="0"/>
    </w:pPr>
  </w:style>
  <w:style w:type="character" w:customStyle="1" w:styleId="Char0">
    <w:name w:val="바닥글 Char"/>
    <w:basedOn w:val="a0"/>
    <w:link w:val="a4"/>
    <w:uiPriority w:val="99"/>
    <w:rsid w:val="00D30FA9"/>
  </w:style>
  <w:style w:type="paragraph" w:styleId="a5">
    <w:name w:val="Balloon Text"/>
    <w:basedOn w:val="a"/>
    <w:link w:val="Char1"/>
    <w:uiPriority w:val="99"/>
    <w:semiHidden/>
    <w:unhideWhenUsed/>
    <w:rsid w:val="00240531"/>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240531"/>
    <w:rPr>
      <w:rFonts w:asciiTheme="majorHAnsi" w:eastAsiaTheme="majorEastAsia" w:hAnsiTheme="majorHAnsi" w:cstheme="majorBidi"/>
      <w:sz w:val="18"/>
      <w:szCs w:val="18"/>
    </w:rPr>
  </w:style>
  <w:style w:type="table" w:styleId="a6">
    <w:name w:val="Table Grid"/>
    <w:basedOn w:val="a1"/>
    <w:uiPriority w:val="39"/>
    <w:rsid w:val="006A5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820243">
      <w:bodyDiv w:val="1"/>
      <w:marLeft w:val="0"/>
      <w:marRight w:val="0"/>
      <w:marTop w:val="0"/>
      <w:marBottom w:val="0"/>
      <w:divBdr>
        <w:top w:val="none" w:sz="0" w:space="0" w:color="auto"/>
        <w:left w:val="none" w:sz="0" w:space="0" w:color="auto"/>
        <w:bottom w:val="none" w:sz="0" w:space="0" w:color="auto"/>
        <w:right w:val="none" w:sz="0" w:space="0" w:color="auto"/>
      </w:divBdr>
    </w:div>
    <w:div w:id="680205806">
      <w:bodyDiv w:val="1"/>
      <w:marLeft w:val="0"/>
      <w:marRight w:val="0"/>
      <w:marTop w:val="0"/>
      <w:marBottom w:val="0"/>
      <w:divBdr>
        <w:top w:val="none" w:sz="0" w:space="0" w:color="auto"/>
        <w:left w:val="none" w:sz="0" w:space="0" w:color="auto"/>
        <w:bottom w:val="none" w:sz="0" w:space="0" w:color="auto"/>
        <w:right w:val="none" w:sz="0" w:space="0" w:color="auto"/>
      </w:divBdr>
    </w:div>
    <w:div w:id="770321380">
      <w:bodyDiv w:val="1"/>
      <w:marLeft w:val="0"/>
      <w:marRight w:val="0"/>
      <w:marTop w:val="0"/>
      <w:marBottom w:val="0"/>
      <w:divBdr>
        <w:top w:val="none" w:sz="0" w:space="0" w:color="auto"/>
        <w:left w:val="none" w:sz="0" w:space="0" w:color="auto"/>
        <w:bottom w:val="none" w:sz="0" w:space="0" w:color="auto"/>
        <w:right w:val="none" w:sz="0" w:space="0" w:color="auto"/>
      </w:divBdr>
    </w:div>
    <w:div w:id="860557516">
      <w:bodyDiv w:val="1"/>
      <w:marLeft w:val="0"/>
      <w:marRight w:val="0"/>
      <w:marTop w:val="0"/>
      <w:marBottom w:val="0"/>
      <w:divBdr>
        <w:top w:val="none" w:sz="0" w:space="0" w:color="auto"/>
        <w:left w:val="none" w:sz="0" w:space="0" w:color="auto"/>
        <w:bottom w:val="none" w:sz="0" w:space="0" w:color="auto"/>
        <w:right w:val="none" w:sz="0" w:space="0" w:color="auto"/>
      </w:divBdr>
    </w:div>
    <w:div w:id="185402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625BB-AE8D-41C9-A336-0C2F64B72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7011</Words>
  <Characters>39965</Characters>
  <Application>Microsoft Office Word</Application>
  <DocSecurity>0</DocSecurity>
  <Lines>333</Lines>
  <Paragraphs>93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dc:creator>
  <cp:keywords/>
  <dc:description/>
  <cp:lastModifiedBy>김철</cp:lastModifiedBy>
  <cp:revision>2</cp:revision>
  <cp:lastPrinted>2023-02-06T01:02:00Z</cp:lastPrinted>
  <dcterms:created xsi:type="dcterms:W3CDTF">2023-05-01T00:39:00Z</dcterms:created>
  <dcterms:modified xsi:type="dcterms:W3CDTF">2023-05-01T00:39:00Z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http://www.zotero.org/styles/american-medical-association-10th-edition</vt:lpwstr>
  </property>
  <property fmtid="{D5CDD505-2E9C-101B-9397-08002B2CF9AE}" pid="3" name="Mendeley Recent Style Name 0_1">
    <vt:lpwstr>American Medical Association 10th edition</vt:lpwstr>
  </property>
  <property fmtid="{D5CDD505-2E9C-101B-9397-08002B2CF9AE}" pid="4" name="Mendeley Recent Style Id 1_1">
    <vt:lpwstr>http://csl.mendeley.com/styles/622442281/american-medical-association-21312312</vt:lpwstr>
  </property>
  <property fmtid="{D5CDD505-2E9C-101B-9397-08002B2CF9AE}" pid="5" name="Mendeley Recent Style Name 1_1">
    <vt:lpwstr>American Medical Association 11th edition - No DOI</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http://www.zotero.org/styles/biosensors</vt:lpwstr>
  </property>
  <property fmtid="{D5CDD505-2E9C-101B-9397-08002B2CF9AE}" pid="11" name="Mendeley Recent Style Name 4_1">
    <vt:lpwstr>Biosensors</vt:lpwstr>
  </property>
  <property fmtid="{D5CDD505-2E9C-101B-9397-08002B2CF9AE}" pid="12" name="Mendeley Recent Style Id 5_1">
    <vt:lpwstr>http://www.zotero.org/styles/elsevier-harvard2</vt:lpwstr>
  </property>
  <property fmtid="{D5CDD505-2E9C-101B-9397-08002B2CF9AE}" pid="13" name="Mendeley Recent Style Name 5_1">
    <vt:lpwstr>Elsevier - Harvard 2</vt:lpwstr>
  </property>
  <property fmtid="{D5CDD505-2E9C-101B-9397-08002B2CF9AE}" pid="14" name="Mendeley Recent Style Id 6_1">
    <vt:lpwstr>http://csl.mendeley.com/styles/622442281/springer-basic-brackets-212312</vt:lpwstr>
  </property>
  <property fmtid="{D5CDD505-2E9C-101B-9397-08002B2CF9AE}" pid="15" name="Mendeley Recent Style Name 6_1">
    <vt:lpwstr>Journal of Fluorescence - No DOI</vt:lpwstr>
  </property>
  <property fmtid="{D5CDD505-2E9C-101B-9397-08002B2CF9AE}" pid="16" name="Mendeley Recent Style Id 7_1">
    <vt:lpwstr>http://csl.mendeley.com/styles/622442281/dsafffffffffffffffffffffffff</vt:lpwstr>
  </property>
  <property fmtid="{D5CDD505-2E9C-101B-9397-08002B2CF9AE}" pid="17" name="Mendeley Recent Style Name 7_1">
    <vt:lpwstr>Luminescence_(Wiley)_Dongkyun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http://csl.mendeley.com/styles/622442281/Polyhedron--withoutDOI-2</vt:lpwstr>
  </property>
  <property fmtid="{D5CDD505-2E9C-101B-9397-08002B2CF9AE}" pid="21" name="Mendeley Recent Style Name 9_1">
    <vt:lpwstr>Polyhedron without DOI</vt:lpwstr>
  </property>
  <property fmtid="{D5CDD505-2E9C-101B-9397-08002B2CF9AE}" pid="22" name="Mendeley Document_1">
    <vt:lpwstr>True</vt:lpwstr>
  </property>
  <property fmtid="{D5CDD505-2E9C-101B-9397-08002B2CF9AE}" pid="23" name="Mendeley Unique User Id_1">
    <vt:lpwstr>dba7f5b3-6688-33c8-8c7f-10cc83e6501f</vt:lpwstr>
  </property>
  <property fmtid="{D5CDD505-2E9C-101B-9397-08002B2CF9AE}" pid="24" name="Mendeley Citation Style_1">
    <vt:lpwstr>http://csl.mendeley.com/styles/622442281/springer-basic-brackets-212312</vt:lpwstr>
  </property>
</Properties>
</file>