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CB828" w14:textId="77777777" w:rsidR="00AB0733" w:rsidRDefault="00AB0733" w:rsidP="00AB0733">
      <w:pPr>
        <w:pStyle w:val="Heading1"/>
      </w:pPr>
      <w:bookmarkStart w:id="0" w:name="supplementary-material"/>
      <w:r>
        <w:t>Supplementary Material</w:t>
      </w:r>
    </w:p>
    <w:p w14:paraId="2E61BD09" w14:textId="77777777" w:rsidR="00AB0733" w:rsidRDefault="00AB0733" w:rsidP="00AB0733">
      <w:pPr>
        <w:pStyle w:val="Heading2"/>
      </w:pPr>
      <w:bookmarkStart w:id="1" w:name="likelihood-estimation-supp-likelihood"/>
      <w:r>
        <w:t>Likelihood estimation</w:t>
      </w:r>
    </w:p>
    <w:p w14:paraId="769DC853" w14:textId="77777777" w:rsidR="00AB0733" w:rsidRDefault="00AB0733" w:rsidP="00AB0733">
      <w:pPr>
        <w:pStyle w:val="FirstParagraph"/>
      </w:pPr>
      <w:r>
        <w:t>The likelihood was estimated via the following procedure:</w:t>
      </w:r>
    </w:p>
    <w:p w14:paraId="1E1B11FD" w14:textId="77777777" w:rsidR="00AB0733" w:rsidRDefault="00AB0733" w:rsidP="00AB0733">
      <w:pPr>
        <w:pStyle w:val="Compact"/>
        <w:numPr>
          <w:ilvl w:val="0"/>
          <w:numId w:val="2"/>
        </w:numPr>
      </w:pPr>
      <w:r>
        <w:t xml:space="preserve">From the total number of new HIV diagnoses and person-quarters of follow-up time in the placebo arm of each efficacy trial, </w:t>
      </w:r>
      <m:oMath>
        <m:sSub>
          <m:sSubPr>
            <m:ctrlPr>
              <w:rPr>
                <w:rFonts w:ascii="Cambria Math" w:hAnsi="Cambria Math"/>
              </w:rPr>
            </m:ctrlPr>
          </m:sSubPr>
          <m:e>
            <m:r>
              <w:rPr>
                <w:rFonts w:ascii="Cambria Math" w:hAnsi="Cambria Math"/>
              </w:rPr>
              <m:t>S</m:t>
            </m:r>
          </m:e>
          <m:sub>
            <m:r>
              <w:rPr>
                <w:rFonts w:ascii="Cambria Math" w:hAnsi="Cambria Math"/>
              </w:rPr>
              <m:t>0T</m:t>
            </m:r>
          </m:sub>
        </m:sSub>
      </m:oMath>
      <w:r>
        <w:t xml:space="preserve"> and </w:t>
      </w:r>
      <m:oMath>
        <m:sSub>
          <m:sSubPr>
            <m:ctrlPr>
              <w:rPr>
                <w:rFonts w:ascii="Cambria Math" w:hAnsi="Cambria Math"/>
              </w:rPr>
            </m:ctrlPr>
          </m:sSubPr>
          <m:e>
            <m:r>
              <w:rPr>
                <w:rFonts w:ascii="Cambria Math" w:hAnsi="Cambria Math"/>
              </w:rPr>
              <m:t>Q</m:t>
            </m:r>
          </m:e>
          <m:sub>
            <m:r>
              <w:rPr>
                <w:rFonts w:ascii="Cambria Math" w:hAnsi="Cambria Math"/>
              </w:rPr>
              <m:t>0T</m:t>
            </m:r>
          </m:sub>
        </m:sSub>
      </m:oMath>
      <w:r>
        <w:t xml:space="preserve">, we randomly sampled the probability that an individual will have an HIV diagnosis during a given quarterly visit, </w:t>
      </w:r>
      <m:oMath>
        <m:sSub>
          <m:sSubPr>
            <m:ctrlPr>
              <w:rPr>
                <w:rFonts w:ascii="Cambria Math" w:hAnsi="Cambria Math"/>
              </w:rPr>
            </m:ctrlPr>
          </m:sSubPr>
          <m:e>
            <m:r>
              <w:rPr>
                <w:rFonts w:ascii="Cambria Math" w:hAnsi="Cambria Math"/>
              </w:rPr>
              <m:t>r</m:t>
            </m:r>
          </m:e>
          <m:sub>
            <m:r>
              <w:rPr>
                <w:rFonts w:ascii="Cambria Math" w:hAnsi="Cambria Math"/>
              </w:rPr>
              <m:t>T</m:t>
            </m:r>
          </m:sub>
        </m:sSub>
      </m:oMath>
      <w:r>
        <w:t>, from a beta distribution.</w:t>
      </w:r>
    </w:p>
    <w:p w14:paraId="0F8DD7E0" w14:textId="77777777" w:rsidR="00AB0733" w:rsidRDefault="00AB0733" w:rsidP="00AB0733">
      <w:pPr>
        <w:pStyle w:val="Compact"/>
      </w:pPr>
      <m:oMathPara>
        <m:oMathParaPr>
          <m:jc m:val="center"/>
        </m:oMathParaPr>
        <m:oMath>
          <m:m>
            <m:mPr>
              <m:plcHide m:val="1"/>
              <m:mcs>
                <m:mc>
                  <m:mcPr>
                    <m:count m:val="1"/>
                    <m:mcJc m:val="right"/>
                  </m:mcPr>
                </m:mc>
              </m:mcs>
              <m:ctrlPr>
                <w:rPr>
                  <w:rFonts w:ascii="Cambria Math" w:hAnsi="Cambria Math"/>
                </w:rPr>
              </m:ctrlPr>
            </m:mPr>
            <m:mr>
              <m:e>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β</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0</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0</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0</m:t>
                        </m:r>
                        <m:r>
                          <m:rPr>
                            <m:sty m:val="p"/>
                          </m:rPr>
                          <w:rPr>
                            <w:rFonts w:ascii="Cambria Math" w:hAnsi="Cambria Math"/>
                          </w:rPr>
                          <m:t>,</m:t>
                        </m:r>
                        <m:r>
                          <w:rPr>
                            <w:rFonts w:ascii="Cambria Math" w:hAnsi="Cambria Math"/>
                          </w:rPr>
                          <m:t>T</m:t>
                        </m:r>
                      </m:sub>
                    </m:sSub>
                  </m:e>
                </m:d>
              </m:e>
            </m:mr>
          </m:m>
        </m:oMath>
      </m:oMathPara>
    </w:p>
    <w:p w14:paraId="4F9F725B" w14:textId="77777777" w:rsidR="00AB0733" w:rsidRDefault="00AB0733" w:rsidP="00AB0733">
      <w:pPr>
        <w:pStyle w:val="Compact"/>
        <w:numPr>
          <w:ilvl w:val="0"/>
          <w:numId w:val="2"/>
        </w:numPr>
      </w:pPr>
      <w:r>
        <w:t xml:space="preserve">From the number of samples with and without quantifiable TFV among those with no HIV diagnosis, </w:t>
      </w:r>
      <m:oMath>
        <m:sSub>
          <m:sSubPr>
            <m:ctrlPr>
              <w:rPr>
                <w:rFonts w:ascii="Cambria Math" w:hAnsi="Cambria Math"/>
              </w:rPr>
            </m:ctrlPr>
          </m:sSubPr>
          <m:e>
            <m:r>
              <w:rPr>
                <w:rFonts w:ascii="Cambria Math" w:hAnsi="Cambria Math"/>
              </w:rPr>
              <m:t>Y</m:t>
            </m:r>
          </m:e>
          <m:sub>
            <m:r>
              <m:rPr>
                <m:sty m:val="p"/>
              </m:rPr>
              <w:rPr>
                <w:rFonts w:ascii="Cambria Math" w:hAnsi="Cambria Math"/>
              </w:rPr>
              <m:t>+,</m:t>
            </m:r>
            <m:r>
              <w:rPr>
                <w:rFonts w:ascii="Cambria Math" w:hAnsi="Cambria Math"/>
              </w:rPr>
              <m:t>T</m:t>
            </m:r>
          </m:sub>
        </m:sSub>
      </m:oMath>
      <w:r>
        <w:t xml:space="preserve"> and </w:t>
      </w:r>
      <m:oMath>
        <m:sSub>
          <m:sSubPr>
            <m:ctrlPr>
              <w:rPr>
                <w:rFonts w:ascii="Cambria Math" w:hAnsi="Cambria Math"/>
              </w:rPr>
            </m:ctrlPr>
          </m:sSubPr>
          <m:e>
            <m:r>
              <w:rPr>
                <w:rFonts w:ascii="Cambria Math" w:hAnsi="Cambria Math"/>
              </w:rPr>
              <m:t>Y</m:t>
            </m:r>
          </m:e>
          <m:sub>
            <m:r>
              <m:rPr>
                <m:sty m:val="p"/>
              </m:rPr>
              <w:rPr>
                <w:rFonts w:ascii="Cambria Math" w:hAnsi="Cambria Math"/>
              </w:rPr>
              <m:t>-,</m:t>
            </m:r>
            <m:r>
              <w:rPr>
                <w:rFonts w:ascii="Cambria Math" w:hAnsi="Cambria Math"/>
              </w:rPr>
              <m:t>T</m:t>
            </m:r>
          </m:sub>
        </m:sSub>
      </m:oMath>
      <w:r>
        <w:t xml:space="preserve">, and the total amount of followup in the active arms of each trial, </w:t>
      </w:r>
      <m:oMath>
        <m:sSub>
          <m:sSubPr>
            <m:ctrlPr>
              <w:rPr>
                <w:rFonts w:ascii="Cambria Math" w:hAnsi="Cambria Math"/>
              </w:rPr>
            </m:ctrlPr>
          </m:sSubPr>
          <m:e>
            <m:r>
              <w:rPr>
                <w:rFonts w:ascii="Cambria Math" w:hAnsi="Cambria Math"/>
              </w:rPr>
              <m:t>Q</m:t>
            </m:r>
          </m:e>
          <m:sub>
            <m:r>
              <w:rPr>
                <w:rFonts w:ascii="Cambria Math" w:hAnsi="Cambria Math"/>
              </w:rPr>
              <m:t>1</m:t>
            </m:r>
            <m:r>
              <m:rPr>
                <m:sty m:val="p"/>
              </m:rPr>
              <w:rPr>
                <w:rFonts w:ascii="Cambria Math" w:hAnsi="Cambria Math"/>
              </w:rPr>
              <m:t>,</m:t>
            </m:r>
            <m:r>
              <w:rPr>
                <w:rFonts w:ascii="Cambria Math" w:hAnsi="Cambria Math"/>
              </w:rPr>
              <m:t>T</m:t>
            </m:r>
          </m:sub>
        </m:sSub>
      </m:oMath>
      <w:r>
        <w:t>, we randomly sampled the total amount of quarterly visits with and without quantifiable TFV.</w:t>
      </w:r>
    </w:p>
    <w:p w14:paraId="32F2FFED" w14:textId="77777777" w:rsidR="00AB0733" w:rsidRDefault="00AB0733" w:rsidP="00AB0733">
      <w:pPr>
        <w:pStyle w:val="Compact"/>
      </w:pPr>
      <m:oMathPara>
        <m:oMathParaPr>
          <m:jc m:val="center"/>
        </m:oMathParaPr>
        <m:oMath>
          <m:m>
            <m:mPr>
              <m:plcHide m:val="1"/>
              <m:mcs>
                <m:mc>
                  <m:mcPr>
                    <m:count m:val="1"/>
                    <m:mcJc m:val="right"/>
                  </m:mcPr>
                </m:mc>
                <m:mc>
                  <m:mcPr>
                    <m:count m:val="1"/>
                    <m:mcJc m:val="left"/>
                  </m:mcPr>
                </m:mc>
              </m:mcs>
              <m:ctrlPr>
                <w:rPr>
                  <w:rFonts w:ascii="Cambria Math" w:hAnsi="Cambria Math"/>
                </w:rPr>
              </m:ctrlPr>
            </m:mPr>
            <m:mr>
              <m:e>
                <m:sSub>
                  <m:sSubPr>
                    <m:ctrlPr>
                      <w:rPr>
                        <w:rFonts w:ascii="Cambria Math" w:hAnsi="Cambria Math"/>
                      </w:rPr>
                    </m:ctrlPr>
                  </m:sSubPr>
                  <m:e>
                    <m:r>
                      <w:rPr>
                        <w:rFonts w:ascii="Cambria Math" w:hAnsi="Cambria Math"/>
                      </w:rPr>
                      <m:t>Q</m:t>
                    </m:r>
                  </m:e>
                  <m:sub>
                    <m:r>
                      <m:rPr>
                        <m:sty m:val="p"/>
                      </m:rPr>
                      <w:rPr>
                        <w:rFonts w:ascii="Cambria Math" w:hAnsi="Cambria Math"/>
                      </w:rPr>
                      <m:t>+,</m:t>
                    </m:r>
                    <m:r>
                      <w:rPr>
                        <w:rFonts w:ascii="Cambria Math" w:hAnsi="Cambria Math"/>
                      </w:rPr>
                      <m:t>T</m:t>
                    </m:r>
                  </m:sub>
                </m:sSub>
              </m:e>
              <m:e>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1</m:t>
                    </m:r>
                    <m:r>
                      <m:rPr>
                        <m:sty m:val="p"/>
                      </m:rPr>
                      <w:rPr>
                        <w:rFonts w:ascii="Cambria Math" w:hAnsi="Cambria Math"/>
                      </w:rPr>
                      <m:t>,</m:t>
                    </m:r>
                    <m:r>
                      <w:rPr>
                        <w:rFonts w:ascii="Cambria Math" w:hAnsi="Cambria Math"/>
                      </w:rPr>
                      <m:t>T</m:t>
                    </m:r>
                  </m:sub>
                </m:sSub>
                <m:r>
                  <w:rPr>
                    <w:rFonts w:ascii="Cambria Math" w:hAnsi="Cambria Math"/>
                  </w:rPr>
                  <m:t>β</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m:t>
                        </m:r>
                        <m:r>
                          <w:rPr>
                            <w:rFonts w:ascii="Cambria Math" w:hAnsi="Cambria Math"/>
                          </w:rPr>
                          <m:t>T</m:t>
                        </m:r>
                      </m:sub>
                    </m:sSub>
                  </m:e>
                </m:d>
              </m:e>
            </m:mr>
            <m:mr>
              <m:e>
                <m:sSub>
                  <m:sSubPr>
                    <m:ctrlPr>
                      <w:rPr>
                        <w:rFonts w:ascii="Cambria Math" w:hAnsi="Cambria Math"/>
                      </w:rPr>
                    </m:ctrlPr>
                  </m:sSubPr>
                  <m:e>
                    <m:r>
                      <w:rPr>
                        <w:rFonts w:ascii="Cambria Math" w:hAnsi="Cambria Math"/>
                      </w:rPr>
                      <m:t>Q</m:t>
                    </m:r>
                  </m:e>
                  <m:sub>
                    <m:r>
                      <m:rPr>
                        <m:sty m:val="p"/>
                      </m:rPr>
                      <w:rPr>
                        <w:rFonts w:ascii="Cambria Math" w:hAnsi="Cambria Math"/>
                      </w:rPr>
                      <m:t>-,</m:t>
                    </m:r>
                    <m:r>
                      <w:rPr>
                        <w:rFonts w:ascii="Cambria Math" w:hAnsi="Cambria Math"/>
                      </w:rPr>
                      <m:t>T</m:t>
                    </m:r>
                  </m:sub>
                </m:sSub>
              </m:e>
              <m:e>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1</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m:t>
                    </m:r>
                    <m:r>
                      <w:rPr>
                        <w:rFonts w:ascii="Cambria Math" w:hAnsi="Cambria Math"/>
                      </w:rPr>
                      <m:t>T</m:t>
                    </m:r>
                  </m:sub>
                </m:sSub>
              </m:e>
            </m:mr>
          </m:m>
        </m:oMath>
      </m:oMathPara>
    </w:p>
    <w:p w14:paraId="2F50EC08" w14:textId="77777777" w:rsidR="00AB0733" w:rsidRDefault="00AB0733" w:rsidP="00AB0733">
      <w:pPr>
        <w:pStyle w:val="Compact"/>
        <w:numPr>
          <w:ilvl w:val="0"/>
          <w:numId w:val="2"/>
        </w:numPr>
      </w:pPr>
      <w:r>
        <w:t xml:space="preserve">For each trial, we calculated the HIV hazard ratio of individuals with and without quantifiable TFV compared to the placebo group, </w:t>
      </w:r>
      <m:oMath>
        <m:sSup>
          <m:sSupPr>
            <m:ctrlPr>
              <w:rPr>
                <w:rFonts w:ascii="Cambria Math" w:hAnsi="Cambria Math"/>
              </w:rPr>
            </m:ctrlPr>
          </m:sSupPr>
          <m:e>
            <m:r>
              <w:rPr>
                <w:rFonts w:ascii="Cambria Math" w:hAnsi="Cambria Math"/>
              </w:rPr>
              <m:t>h</m:t>
            </m:r>
          </m:e>
          <m:sup>
            <m:d>
              <m:dPr>
                <m:ctrlPr>
                  <w:rPr>
                    <w:rFonts w:ascii="Cambria Math" w:hAnsi="Cambria Math"/>
                  </w:rPr>
                </m:ctrlPr>
              </m:dPr>
              <m:e>
                <m:r>
                  <m:rPr>
                    <m:sty m:val="p"/>
                  </m:rPr>
                  <w:rPr>
                    <w:rFonts w:ascii="Cambria Math" w:hAnsi="Cambria Math"/>
                  </w:rPr>
                  <m:t>±|</m:t>
                </m:r>
                <m:r>
                  <w:rPr>
                    <w:rFonts w:ascii="Cambria Math" w:hAnsi="Cambria Math"/>
                  </w:rPr>
                  <m:t>T</m:t>
                </m:r>
                <m:r>
                  <m:rPr>
                    <m:sty m:val="p"/>
                  </m:rPr>
                  <w:rPr>
                    <w:rFonts w:ascii="Cambria Math" w:hAnsi="Cambria Math"/>
                  </w:rPr>
                  <m:t>,</m:t>
                </m:r>
                <m:acc>
                  <m:accPr>
                    <m:chr m:val="̃"/>
                    <m:ctrlPr>
                      <w:rPr>
                        <w:rFonts w:ascii="Cambria Math" w:hAnsi="Cambria Math"/>
                      </w:rPr>
                    </m:ctrlPr>
                  </m:accPr>
                  <m:e>
                    <m:r>
                      <m:rPr>
                        <m:sty m:val="b"/>
                      </m:rPr>
                      <w:rPr>
                        <w:rFonts w:ascii="Cambria Math" w:hAnsi="Cambria Math"/>
                      </w:rPr>
                      <m:t>k</m:t>
                    </m:r>
                  </m:e>
                </m:acc>
              </m:e>
            </m:d>
          </m:sup>
        </m:sSup>
      </m:oMath>
      <w:r>
        <w:t xml:space="preserve"> of HIV. For models </w:t>
      </w:r>
      <m:oMath>
        <m:sSub>
          <m:sSubPr>
            <m:ctrlPr>
              <w:rPr>
                <w:rFonts w:ascii="Cambria Math" w:hAnsi="Cambria Math"/>
              </w:rPr>
            </m:ctrlPr>
          </m:sSubPr>
          <m:e>
            <m:r>
              <w:rPr>
                <w:rFonts w:ascii="Cambria Math" w:hAnsi="Cambria Math"/>
              </w:rPr>
              <m:t>h</m:t>
            </m:r>
          </m:e>
          <m:sub>
            <m:r>
              <w:rPr>
                <w:rFonts w:ascii="Cambria Math" w:hAnsi="Cambria Math"/>
              </w:rPr>
              <m:t>1</m:t>
            </m:r>
          </m:sub>
        </m:sSub>
      </m:oMath>
      <w:r>
        <w:t xml:space="preserve">, </w:t>
      </w:r>
      <m:oMath>
        <m:sSub>
          <m:sSubPr>
            <m:ctrlPr>
              <w:rPr>
                <w:rFonts w:ascii="Cambria Math" w:hAnsi="Cambria Math"/>
              </w:rPr>
            </m:ctrlPr>
          </m:sSubPr>
          <m:e>
            <m:r>
              <w:rPr>
                <w:rFonts w:ascii="Cambria Math" w:hAnsi="Cambria Math"/>
              </w:rPr>
              <m:t>h</m:t>
            </m:r>
          </m:e>
          <m:sub>
            <m:r>
              <w:rPr>
                <w:rFonts w:ascii="Cambria Math" w:hAnsi="Cambria Math"/>
              </w:rPr>
              <m:t>2</m:t>
            </m:r>
          </m:sub>
        </m:sSub>
      </m:oMath>
      <w:r>
        <w:t xml:space="preserve"> and </w:t>
      </w:r>
      <m:oMath>
        <m:sSub>
          <m:sSubPr>
            <m:ctrlPr>
              <w:rPr>
                <w:rFonts w:ascii="Cambria Math" w:hAnsi="Cambria Math"/>
              </w:rPr>
            </m:ctrlPr>
          </m:sSubPr>
          <m:e>
            <m:r>
              <w:rPr>
                <w:rFonts w:ascii="Cambria Math" w:hAnsi="Cambria Math"/>
              </w:rPr>
              <m:t>h</m:t>
            </m:r>
          </m:e>
          <m:sub>
            <m:r>
              <w:rPr>
                <w:rFonts w:ascii="Cambria Math" w:hAnsi="Cambria Math"/>
              </w:rPr>
              <m:t>3</m:t>
            </m:r>
          </m:sub>
        </m:sSub>
      </m:oMath>
      <w:r>
        <w:t xml:space="preserve">, we imputed values of TFV-DP concentration as described above. We drew </w:t>
      </w:r>
      <m:oMath>
        <m:sSub>
          <m:sSubPr>
            <m:ctrlPr>
              <w:rPr>
                <w:rFonts w:ascii="Cambria Math" w:hAnsi="Cambria Math"/>
              </w:rPr>
            </m:ctrlPr>
          </m:sSubPr>
          <m:e>
            <m:r>
              <w:rPr>
                <w:rFonts w:ascii="Cambria Math" w:hAnsi="Cambria Math"/>
              </w:rPr>
              <m:t>Q</m:t>
            </m:r>
          </m:e>
          <m:sub>
            <m:r>
              <m:rPr>
                <m:sty m:val="p"/>
              </m:rPr>
              <w:rPr>
                <w:rFonts w:ascii="Cambria Math" w:hAnsi="Cambria Math"/>
              </w:rPr>
              <m:t>+,</m:t>
            </m:r>
            <m:r>
              <w:rPr>
                <w:rFonts w:ascii="Cambria Math" w:hAnsi="Cambria Math"/>
              </w:rPr>
              <m:t>T</m:t>
            </m:r>
          </m:sub>
        </m:sSub>
      </m:oMath>
      <w:r>
        <w:t xml:space="preserve"> and </w:t>
      </w:r>
      <m:oMath>
        <m:sSub>
          <m:sSubPr>
            <m:ctrlPr>
              <w:rPr>
                <w:rFonts w:ascii="Cambria Math" w:hAnsi="Cambria Math"/>
              </w:rPr>
            </m:ctrlPr>
          </m:sSubPr>
          <m:e>
            <m:r>
              <w:rPr>
                <w:rFonts w:ascii="Cambria Math" w:hAnsi="Cambria Math"/>
              </w:rPr>
              <m:t>Q</m:t>
            </m:r>
          </m:e>
          <m:sub>
            <m:r>
              <m:rPr>
                <m:sty m:val="p"/>
              </m:rPr>
              <w:rPr>
                <w:rFonts w:ascii="Cambria Math" w:hAnsi="Cambria Math"/>
              </w:rPr>
              <m:t>-,</m:t>
            </m:r>
            <m:r>
              <w:rPr>
                <w:rFonts w:ascii="Cambria Math" w:hAnsi="Cambria Math"/>
              </w:rPr>
              <m:t>T</m:t>
            </m:r>
          </m:sub>
        </m:sSub>
      </m:oMath>
      <w:r>
        <w:t xml:space="preserve"> values for follow-up time with and without quantifiable TFV, respectively. The probability of HIV acquisition with and without quantifiable TFV in each trial is then averaged across all follow-up time.</w:t>
      </w:r>
    </w:p>
    <w:p w14:paraId="4E7BCCF1" w14:textId="77777777" w:rsidR="00AB0733" w:rsidRDefault="00AB0733" w:rsidP="00AB0733">
      <w:pPr>
        <w:pStyle w:val="Compact"/>
      </w:pPr>
      <m:oMathPara>
        <m:oMathParaPr>
          <m:jc m:val="center"/>
        </m:oMathParaPr>
        <m:oMath>
          <m:m>
            <m:mPr>
              <m:plcHide m:val="1"/>
              <m:mcs>
                <m:mc>
                  <m:mcPr>
                    <m:count m:val="1"/>
                    <m:mcJc m:val="right"/>
                  </m:mcPr>
                </m:mc>
                <m:mc>
                  <m:mcPr>
                    <m:count m:val="1"/>
                    <m:mcJc m:val="left"/>
                  </m:mcPr>
                </m:mc>
              </m:mcs>
              <m:ctrlPr>
                <w:rPr>
                  <w:rFonts w:ascii="Cambria Math" w:hAnsi="Cambria Math"/>
                </w:rPr>
              </m:ctrlPr>
            </m:mPr>
            <m:mr>
              <m:e>
                <m:sSub>
                  <m:sSubPr>
                    <m:ctrlPr>
                      <w:rPr>
                        <w:rFonts w:ascii="Cambria Math" w:hAnsi="Cambria Math"/>
                      </w:rPr>
                    </m:ctrlPr>
                  </m:sSubPr>
                  <m:e>
                    <m:r>
                      <w:rPr>
                        <w:rFonts w:ascii="Cambria Math" w:hAnsi="Cambria Math"/>
                      </w:rPr>
                      <m:t>p</m:t>
                    </m:r>
                  </m:e>
                  <m:sub>
                    <m:r>
                      <m:rPr>
                        <m:sty m:val="p"/>
                      </m:rPr>
                      <w:rPr>
                        <w:rFonts w:ascii="Cambria Math" w:hAnsi="Cambria Math"/>
                      </w:rPr>
                      <m:t>±,</m:t>
                    </m:r>
                    <m:r>
                      <w:rPr>
                        <w:rFonts w:ascii="Cambria Math" w:hAnsi="Cambria Math"/>
                      </w:rPr>
                      <m:t>T</m:t>
                    </m:r>
                  </m:sub>
                </m:sSub>
              </m:e>
              <m:e>
                <m:r>
                  <m:rPr>
                    <m:sty m:val="p"/>
                  </m:rPr>
                  <w:rPr>
                    <w:rFonts w:ascii="Cambria Math" w:hAnsi="Cambria Math"/>
                  </w:rPr>
                  <m:t>=</m:t>
                </m:r>
                <m:d>
                  <m:dPr>
                    <m:ctrlPr>
                      <w:rPr>
                        <w:rFonts w:ascii="Cambria Math" w:hAnsi="Cambria Math"/>
                      </w:rPr>
                    </m:ctrlPr>
                  </m:dPr>
                  <m:e>
                    <m:nary>
                      <m:naryPr>
                        <m:chr m:val="∑"/>
                        <m:limLoc m:val="undOvr"/>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1</m:t>
                        </m:r>
                      </m:sub>
                      <m:sup>
                        <m:sSub>
                          <m:sSubPr>
                            <m:ctrlPr>
                              <w:rPr>
                                <w:rFonts w:ascii="Cambria Math" w:hAnsi="Cambria Math"/>
                              </w:rPr>
                            </m:ctrlPr>
                          </m:sSubPr>
                          <m:e>
                            <m:r>
                              <w:rPr>
                                <w:rFonts w:ascii="Cambria Math" w:hAnsi="Cambria Math"/>
                              </w:rPr>
                              <m:t>Q</m:t>
                            </m:r>
                          </m:e>
                          <m:sub>
                            <m:r>
                              <m:rPr>
                                <m:sty m:val="p"/>
                              </m:rPr>
                              <w:rPr>
                                <w:rFonts w:ascii="Cambria Math" w:hAnsi="Cambria Math"/>
                              </w:rPr>
                              <m:t>±,</m:t>
                            </m:r>
                            <m:r>
                              <w:rPr>
                                <w:rFonts w:ascii="Cambria Math" w:hAnsi="Cambria Math"/>
                              </w:rPr>
                              <m:t>T</m:t>
                            </m:r>
                          </m:sub>
                        </m:sSub>
                      </m:sup>
                      <m:e>
                        <m:r>
                          <w:rPr>
                            <w:rFonts w:ascii="Cambria Math" w:hAnsi="Cambria Math"/>
                          </w:rPr>
                          <m:t>1</m:t>
                        </m:r>
                      </m:e>
                    </m:nary>
                    <m:r>
                      <m:rPr>
                        <m:sty m:val="p"/>
                      </m:rP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e>
                        </m:d>
                      </m:e>
                      <m:sup>
                        <m:sSup>
                          <m:sSupPr>
                            <m:ctrlPr>
                              <w:rPr>
                                <w:rFonts w:ascii="Cambria Math" w:hAnsi="Cambria Math"/>
                              </w:rPr>
                            </m:ctrlPr>
                          </m:sSupPr>
                          <m:e>
                            <m:r>
                              <w:rPr>
                                <w:rFonts w:ascii="Cambria Math" w:hAnsi="Cambria Math"/>
                              </w:rPr>
                              <m:t>h</m:t>
                            </m:r>
                          </m:e>
                          <m:sup>
                            <m:d>
                              <m:dPr>
                                <m:ctrlPr>
                                  <w:rPr>
                                    <w:rFonts w:ascii="Cambria Math" w:hAnsi="Cambria Math"/>
                                  </w:rPr>
                                </m:ctrlPr>
                              </m:dPr>
                              <m:e>
                                <m:r>
                                  <w:rPr>
                                    <w:rFonts w:ascii="Cambria Math" w:hAnsi="Cambria Math"/>
                                  </w:rPr>
                                  <m:t>j</m:t>
                                </m:r>
                              </m:e>
                            </m:d>
                          </m:sup>
                        </m:sSup>
                        <m:d>
                          <m:dPr>
                            <m:ctrlPr>
                              <w:rPr>
                                <w:rFonts w:ascii="Cambria Math" w:hAnsi="Cambria Math"/>
                              </w:rPr>
                            </m:ctrlPr>
                          </m:dPr>
                          <m:e>
                            <m:r>
                              <m:rPr>
                                <m:sty m:val="p"/>
                              </m:rPr>
                              <w:rPr>
                                <w:rFonts w:ascii="Cambria Math" w:hAnsi="Cambria Math"/>
                              </w:rPr>
                              <m:t>±|</m:t>
                            </m:r>
                            <m:acc>
                              <m:accPr>
                                <m:chr m:val="̃"/>
                                <m:ctrlPr>
                                  <w:rPr>
                                    <w:rFonts w:ascii="Cambria Math" w:hAnsi="Cambria Math"/>
                                  </w:rPr>
                                </m:ctrlPr>
                              </m:accPr>
                              <m:e>
                                <m:r>
                                  <m:rPr>
                                    <m:sty m:val="b"/>
                                  </m:rPr>
                                  <w:rPr>
                                    <w:rFonts w:ascii="Cambria Math" w:hAnsi="Cambria Math"/>
                                  </w:rPr>
                                  <m:t>k</m:t>
                                </m:r>
                              </m:e>
                            </m:acc>
                            <m:r>
                              <m:rPr>
                                <m:sty m:val="p"/>
                              </m:rPr>
                              <w:rPr>
                                <w:rFonts w:ascii="Cambria Math" w:hAnsi="Cambria Math"/>
                              </w:rPr>
                              <m:t>,</m:t>
                            </m:r>
                            <m:r>
                              <w:rPr>
                                <w:rFonts w:ascii="Cambria Math" w:hAnsi="Cambria Math"/>
                              </w:rPr>
                              <m:t>T</m:t>
                            </m:r>
                          </m:e>
                        </m:d>
                      </m:sup>
                    </m:sSup>
                  </m:e>
                </m:d>
                <m:r>
                  <m:rPr>
                    <m:sty m:val="p"/>
                  </m:rP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m:t>
                    </m:r>
                    <m:r>
                      <w:rPr>
                        <w:rFonts w:ascii="Cambria Math" w:hAnsi="Cambria Math"/>
                      </w:rPr>
                      <m:t>T</m:t>
                    </m:r>
                  </m:sub>
                </m:sSub>
              </m:e>
            </m:mr>
          </m:m>
        </m:oMath>
      </m:oMathPara>
    </w:p>
    <w:p w14:paraId="7E7211D0" w14:textId="77777777" w:rsidR="00AB0733" w:rsidRDefault="00AB0733" w:rsidP="00AB0733">
      <w:pPr>
        <w:pStyle w:val="Compact"/>
        <w:numPr>
          <w:ilvl w:val="0"/>
          <w:numId w:val="1"/>
        </w:numPr>
      </w:pPr>
      <w:r>
        <w:t xml:space="preserve">For models </w:t>
      </w:r>
      <m:oMath>
        <m:sSub>
          <m:sSubPr>
            <m:ctrlPr>
              <w:rPr>
                <w:rFonts w:ascii="Cambria Math" w:hAnsi="Cambria Math"/>
              </w:rPr>
            </m:ctrlPr>
          </m:sSubPr>
          <m:e>
            <m:r>
              <w:rPr>
                <w:rFonts w:ascii="Cambria Math" w:hAnsi="Cambria Math"/>
              </w:rPr>
              <m:t>h</m:t>
            </m:r>
          </m:e>
          <m:sub>
            <m:r>
              <w:rPr>
                <w:rFonts w:ascii="Cambria Math" w:hAnsi="Cambria Math"/>
              </w:rPr>
              <m:t>4</m:t>
            </m:r>
          </m:sub>
        </m:sSub>
      </m:oMath>
      <w:r>
        <w:t xml:space="preserve"> and </w:t>
      </w:r>
      <m:oMath>
        <m:sSub>
          <m:sSubPr>
            <m:ctrlPr>
              <w:rPr>
                <w:rFonts w:ascii="Cambria Math" w:hAnsi="Cambria Math"/>
              </w:rPr>
            </m:ctrlPr>
          </m:sSubPr>
          <m:e>
            <m:r>
              <w:rPr>
                <w:rFonts w:ascii="Cambria Math" w:hAnsi="Cambria Math"/>
              </w:rPr>
              <m:t>h</m:t>
            </m:r>
          </m:e>
          <m:sub>
            <m:r>
              <w:rPr>
                <w:rFonts w:ascii="Cambria Math" w:hAnsi="Cambria Math"/>
              </w:rPr>
              <m:t>5</m:t>
            </m:r>
          </m:sub>
        </m:sSub>
      </m:oMath>
      <w:r>
        <w:t>, there is no imputation step so the hazard ratio is completely determined by TFV quantification.</w:t>
      </w:r>
    </w:p>
    <w:p w14:paraId="792257B6" w14:textId="77777777" w:rsidR="00AB0733" w:rsidRDefault="00AB0733" w:rsidP="00AB0733">
      <w:pPr>
        <w:pStyle w:val="Compact"/>
      </w:pPr>
      <m:oMathPara>
        <m:oMathParaPr>
          <m:jc m:val="center"/>
        </m:oMathParaPr>
        <m:oMath>
          <m:m>
            <m:mPr>
              <m:plcHide m:val="1"/>
              <m:mcs>
                <m:mc>
                  <m:mcPr>
                    <m:count m:val="1"/>
                    <m:mcJc m:val="right"/>
                  </m:mcPr>
                </m:mc>
                <m:mc>
                  <m:mcPr>
                    <m:count m:val="1"/>
                    <m:mcJc m:val="left"/>
                  </m:mcPr>
                </m:mc>
              </m:mcs>
              <m:ctrlPr>
                <w:rPr>
                  <w:rFonts w:ascii="Cambria Math" w:hAnsi="Cambria Math"/>
                </w:rPr>
              </m:ctrlPr>
            </m:mPr>
            <m:mr>
              <m:e>
                <m:sSub>
                  <m:sSubPr>
                    <m:ctrlPr>
                      <w:rPr>
                        <w:rFonts w:ascii="Cambria Math" w:hAnsi="Cambria Math"/>
                      </w:rPr>
                    </m:ctrlPr>
                  </m:sSubPr>
                  <m:e>
                    <m:r>
                      <w:rPr>
                        <w:rFonts w:ascii="Cambria Math" w:hAnsi="Cambria Math"/>
                      </w:rPr>
                      <m:t>p</m:t>
                    </m:r>
                  </m:e>
                  <m:sub>
                    <m:r>
                      <m:rPr>
                        <m:sty m:val="p"/>
                      </m:rPr>
                      <w:rPr>
                        <w:rFonts w:ascii="Cambria Math" w:hAnsi="Cambria Math"/>
                      </w:rPr>
                      <m:t>±,</m:t>
                    </m:r>
                    <m:r>
                      <w:rPr>
                        <w:rFonts w:ascii="Cambria Math" w:hAnsi="Cambria Math"/>
                      </w:rPr>
                      <m:t>T</m:t>
                    </m:r>
                  </m:sub>
                </m:sSub>
              </m:e>
              <m:e>
                <m:r>
                  <m:rPr>
                    <m:sty m:val="p"/>
                  </m:rPr>
                  <w:rPr>
                    <w:rFonts w:ascii="Cambria Math" w:hAnsi="Cambria Math"/>
                  </w:rPr>
                  <m:t>=</m:t>
                </m:r>
                <m:r>
                  <w:rPr>
                    <w:rFonts w:ascii="Cambria Math" w:hAnsi="Cambria Math"/>
                  </w:rPr>
                  <m:t>1</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e>
                    </m:d>
                  </m:e>
                  <m:sup>
                    <m:r>
                      <w:rPr>
                        <w:rFonts w:ascii="Cambria Math" w:hAnsi="Cambria Math"/>
                      </w:rPr>
                      <m:t>h</m:t>
                    </m:r>
                    <m:d>
                      <m:dPr>
                        <m:ctrlPr>
                          <w:rPr>
                            <w:rFonts w:ascii="Cambria Math" w:hAnsi="Cambria Math"/>
                          </w:rPr>
                        </m:ctrlPr>
                      </m:dPr>
                      <m:e>
                        <m:r>
                          <m:rPr>
                            <m:sty m:val="p"/>
                          </m:rPr>
                          <w:rPr>
                            <w:rFonts w:ascii="Cambria Math" w:hAnsi="Cambria Math"/>
                          </w:rPr>
                          <m:t>±|</m:t>
                        </m:r>
                        <m:acc>
                          <m:accPr>
                            <m:chr m:val="̃"/>
                            <m:ctrlPr>
                              <w:rPr>
                                <w:rFonts w:ascii="Cambria Math" w:hAnsi="Cambria Math"/>
                              </w:rPr>
                            </m:ctrlPr>
                          </m:accPr>
                          <m:e>
                            <m:r>
                              <m:rPr>
                                <m:sty m:val="b"/>
                              </m:rPr>
                              <w:rPr>
                                <w:rFonts w:ascii="Cambria Math" w:hAnsi="Cambria Math"/>
                              </w:rPr>
                              <m:t>k</m:t>
                            </m:r>
                          </m:e>
                        </m:acc>
                        <m:r>
                          <m:rPr>
                            <m:sty m:val="p"/>
                          </m:rPr>
                          <w:rPr>
                            <w:rFonts w:ascii="Cambria Math" w:hAnsi="Cambria Math"/>
                          </w:rPr>
                          <m:t>,</m:t>
                        </m:r>
                        <m:r>
                          <w:rPr>
                            <w:rFonts w:ascii="Cambria Math" w:hAnsi="Cambria Math"/>
                          </w:rPr>
                          <m:t>T</m:t>
                        </m:r>
                      </m:e>
                    </m:d>
                  </m:sup>
                </m:sSup>
              </m:e>
            </m:mr>
          </m:m>
        </m:oMath>
      </m:oMathPara>
    </w:p>
    <w:p w14:paraId="358BEAC3" w14:textId="77777777" w:rsidR="00AB0733" w:rsidRDefault="00AB0733" w:rsidP="00AB0733">
      <w:pPr>
        <w:pStyle w:val="Compact"/>
        <w:numPr>
          <w:ilvl w:val="0"/>
          <w:numId w:val="2"/>
        </w:numPr>
      </w:pPr>
      <w:r>
        <w:t xml:space="preserve">The likelihood is computed by comparing the rates, </w:t>
      </w:r>
      <m:oMath>
        <m:sSub>
          <m:sSubPr>
            <m:ctrlPr>
              <w:rPr>
                <w:rFonts w:ascii="Cambria Math" w:hAnsi="Cambria Math"/>
              </w:rPr>
            </m:ctrlPr>
          </m:sSubPr>
          <m:e>
            <m:r>
              <w:rPr>
                <w:rFonts w:ascii="Cambria Math" w:hAnsi="Cambria Math"/>
              </w:rPr>
              <m:t>p</m:t>
            </m:r>
          </m:e>
          <m:sub>
            <m:r>
              <w:rPr>
                <w:rFonts w:ascii="Cambria Math" w:hAnsi="Cambria Math"/>
              </w:rPr>
              <m:t>P</m:t>
            </m:r>
            <m:r>
              <m:rPr>
                <m:sty m:val="p"/>
              </m:rPr>
              <w:rPr>
                <w:rFonts w:ascii="Cambria Math" w:hAnsi="Cambria Math"/>
              </w:rPr>
              <m:t>,</m:t>
            </m:r>
            <m:r>
              <w:rPr>
                <w:rFonts w:ascii="Cambria Math" w:hAnsi="Cambria Math"/>
              </w:rPr>
              <m:t>T</m:t>
            </m:r>
          </m:sub>
        </m:sSub>
      </m:oMath>
      <w:r>
        <w:t xml:space="preserve">, to the observed number of seroconversions in the TDF/FTC arm of each trial </w:t>
      </w:r>
      <m:oMath>
        <m:sSub>
          <m:sSubPr>
            <m:ctrlPr>
              <w:rPr>
                <w:rFonts w:ascii="Cambria Math" w:hAnsi="Cambria Math"/>
              </w:rPr>
            </m:ctrlPr>
          </m:sSubPr>
          <m:e>
            <m:r>
              <w:rPr>
                <w:rFonts w:ascii="Cambria Math" w:hAnsi="Cambria Math"/>
              </w:rPr>
              <m:t>S</m:t>
            </m:r>
          </m:e>
          <m:sub>
            <m:r>
              <w:rPr>
                <w:rFonts w:ascii="Cambria Math" w:hAnsi="Cambria Math"/>
              </w:rPr>
              <m:t>P</m:t>
            </m:r>
            <m:r>
              <m:rPr>
                <m:sty m:val="p"/>
              </m:rPr>
              <w:rPr>
                <w:rFonts w:ascii="Cambria Math" w:hAnsi="Cambria Math"/>
              </w:rPr>
              <m:t>,</m:t>
            </m:r>
            <m:r>
              <w:rPr>
                <w:rFonts w:ascii="Cambria Math" w:hAnsi="Cambria Math"/>
              </w:rPr>
              <m:t>T</m:t>
            </m:r>
          </m:sub>
        </m:sSub>
      </m:oMath>
      <w:r>
        <w:t xml:space="preserve"> and amount of follow-up time</w:t>
      </w:r>
    </w:p>
    <w:p w14:paraId="53BA083D" w14:textId="77777777" w:rsidR="00AB0733" w:rsidRDefault="00AB0733" w:rsidP="00AB0733">
      <w:pPr>
        <w:pStyle w:val="Compact"/>
      </w:pPr>
      <m:oMathPara>
        <m:oMathParaPr>
          <m:jc m:val="center"/>
        </m:oMathParaPr>
        <m:oMath>
          <m:m>
            <m:mPr>
              <m:plcHide m:val="1"/>
              <m:mcs>
                <m:mc>
                  <m:mcPr>
                    <m:count m:val="1"/>
                    <m:mcJc m:val="right"/>
                  </m:mcPr>
                </m:mc>
                <m:mc>
                  <m:mcPr>
                    <m:count m:val="1"/>
                    <m:mcJc m:val="left"/>
                  </m:mcPr>
                </m:mc>
              </m:mcs>
              <m:ctrlPr>
                <w:rPr>
                  <w:rFonts w:ascii="Cambria Math" w:hAnsi="Cambria Math"/>
                </w:rPr>
              </m:ctrlPr>
            </m:mPr>
            <m:mr>
              <m:e>
                <m:r>
                  <w:rPr>
                    <w:rFonts w:ascii="Cambria Math" w:hAnsi="Cambria Math"/>
                  </w:rPr>
                  <m:t>L</m:t>
                </m:r>
                <m:d>
                  <m:dPr>
                    <m:ctrlPr>
                      <w:rPr>
                        <w:rFonts w:ascii="Cambria Math" w:hAnsi="Cambria Math"/>
                      </w:rPr>
                    </m:ctrlPr>
                  </m:dPr>
                  <m:e>
                    <m:acc>
                      <m:accPr>
                        <m:chr m:val="̃"/>
                        <m:ctrlPr>
                          <w:rPr>
                            <w:rFonts w:ascii="Cambria Math" w:hAnsi="Cambria Math"/>
                          </w:rPr>
                        </m:ctrlPr>
                      </m:accPr>
                      <m:e>
                        <m:r>
                          <m:rPr>
                            <m:sty m:val="b"/>
                          </m:rPr>
                          <w:rPr>
                            <w:rFonts w:ascii="Cambria Math" w:hAnsi="Cambria Math"/>
                          </w:rPr>
                          <m:t>k</m:t>
                        </m:r>
                      </m:e>
                    </m:acc>
                    <m:r>
                      <m:rPr>
                        <m:sty m:val="p"/>
                      </m:rPr>
                      <w:rPr>
                        <w:rFonts w:ascii="Cambria Math" w:hAnsi="Cambria Math"/>
                      </w:rPr>
                      <m:t>,</m:t>
                    </m:r>
                    <m:r>
                      <m:rPr>
                        <m:nor/>
                      </m:rPr>
                      <m:t>Data</m:t>
                    </m:r>
                  </m:e>
                </m:d>
              </m:e>
              <m:e>
                <m:r>
                  <m:rPr>
                    <m:sty m:val="p"/>
                  </m:rPr>
                  <w:rPr>
                    <w:rFonts w:ascii="Cambria Math" w:hAnsi="Cambria Math"/>
                  </w:rPr>
                  <m:t>=exp</m:t>
                </m:r>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P</m:t>
                        </m:r>
                        <m:r>
                          <m:rPr>
                            <m:sty m:val="p"/>
                          </m:rPr>
                          <w:rPr>
                            <w:rFonts w:ascii="Cambria Math" w:hAnsi="Cambria Math"/>
                          </w:rPr>
                          <m:t>,</m:t>
                        </m:r>
                        <m:r>
                          <w:rPr>
                            <w:rFonts w:ascii="Cambria Math" w:hAnsi="Cambria Math"/>
                          </w:rPr>
                          <m:t>T</m:t>
                        </m:r>
                      </m:sub>
                      <m:sup>
                        <m:r>
                          <w:rPr>
                            <w:rFonts w:ascii="Cambria Math" w:hAnsi="Cambria Math"/>
                          </w:rPr>
                          <m:t>​</m:t>
                        </m:r>
                      </m:sup>
                      <m:e>
                        <m:r>
                          <m:rPr>
                            <m:nor/>
                          </m:rPr>
                          <m:t>PBinom</m:t>
                        </m:r>
                      </m:e>
                    </m:nary>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P</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P</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P</m:t>
                            </m:r>
                            <m:r>
                              <m:rPr>
                                <m:sty m:val="p"/>
                              </m:rPr>
                              <w:rPr>
                                <w:rFonts w:ascii="Cambria Math" w:hAnsi="Cambria Math"/>
                              </w:rPr>
                              <m:t>,</m:t>
                            </m:r>
                            <m:r>
                              <w:rPr>
                                <w:rFonts w:ascii="Cambria Math" w:hAnsi="Cambria Math"/>
                              </w:rPr>
                              <m:t>T</m:t>
                            </m:r>
                          </m:sub>
                        </m:sSub>
                      </m:e>
                    </m:d>
                  </m:e>
                </m:d>
              </m:e>
            </m:mr>
          </m:m>
        </m:oMath>
      </m:oMathPara>
    </w:p>
    <w:p w14:paraId="22DAFE5A" w14:textId="77777777" w:rsidR="00AB0733" w:rsidRDefault="00AB0733" w:rsidP="00AB0733">
      <w:pPr>
        <w:pStyle w:val="Compact"/>
        <w:numPr>
          <w:ilvl w:val="0"/>
          <w:numId w:val="2"/>
        </w:numPr>
      </w:pPr>
      <w:r>
        <w:t>Steps 1-4 were repeated 10 times and the final likelihood is the average across each repetition.</w:t>
      </w:r>
    </w:p>
    <w:p w14:paraId="465C95A4" w14:textId="77777777" w:rsidR="00AB0733" w:rsidRDefault="00AB0733" w:rsidP="00AB0733">
      <w:pPr>
        <w:pStyle w:val="Heading2"/>
      </w:pPr>
      <w:r>
        <w:t>Supplementary Figures and Tables</w:t>
      </w:r>
    </w:p>
    <w:p w14:paraId="68E59156" w14:textId="77777777" w:rsidR="00AB0733" w:rsidRDefault="00AB0733" w:rsidP="00AB0733">
      <w:pPr>
        <w:pStyle w:val="Heading3"/>
      </w:pPr>
      <w:r>
        <w:t>Figure S1</w:t>
      </w:r>
    </w:p>
    <w:p w14:paraId="4A058B80" w14:textId="77777777" w:rsidR="00AB0733" w:rsidRDefault="00AB0733" w:rsidP="00AB0733">
      <w:pPr>
        <w:pStyle w:val="CaptionedFigure"/>
      </w:pPr>
      <w:r>
        <w:rPr>
          <w:noProof/>
        </w:rPr>
        <w:drawing>
          <wp:inline distT="0" distB="0" distL="0" distR="0" wp14:anchorId="63A3E1D7" wp14:editId="211BD564">
            <wp:extent cx="5943600" cy="1981200"/>
            <wp:effectExtent l="0" t="0" r="0" b="0"/>
            <wp:docPr id="82" name="Picture 82" descr="Figure 6: Comparison of efficacy models. For each model h_{1-5}, we calculate the distribution of the expected number of HIV diagnoses with quantifiable (+) and unquantifiable (-) plasma TFV as defined by each study in FEMPrEP, Partners PrEP, and VOICE (violin plots, where width indicates probability of an observation) and compare to the number observed in the trial (red horizontal line). For models H1-3, TFV-DP measures are multiply imputed ten-fold for each parameter set."/>
            <wp:cNvGraphicFramePr/>
            <a:graphic xmlns:a="http://schemas.openxmlformats.org/drawingml/2006/main">
              <a:graphicData uri="http://schemas.openxmlformats.org/drawingml/2006/picture">
                <pic:pic xmlns:pic="http://schemas.openxmlformats.org/drawingml/2006/picture">
                  <pic:nvPicPr>
                    <pic:cNvPr id="83" name="Picture" descr="Efficacy_Women_Manuscript_nature_files/figure-docx/modelcomparison-1.png"/>
                    <pic:cNvPicPr>
                      <a:picLocks noChangeAspect="1" noChangeArrowheads="1"/>
                    </pic:cNvPicPr>
                  </pic:nvPicPr>
                  <pic:blipFill>
                    <a:blip r:embed="rId5"/>
                    <a:stretch>
                      <a:fillRect/>
                    </a:stretch>
                  </pic:blipFill>
                  <pic:spPr bwMode="auto">
                    <a:xfrm>
                      <a:off x="0" y="0"/>
                      <a:ext cx="5943600" cy="1981200"/>
                    </a:xfrm>
                    <a:prstGeom prst="rect">
                      <a:avLst/>
                    </a:prstGeom>
                    <a:noFill/>
                    <a:ln w="9525">
                      <a:noFill/>
                      <a:headEnd/>
                      <a:tailEnd/>
                    </a:ln>
                  </pic:spPr>
                </pic:pic>
              </a:graphicData>
            </a:graphic>
          </wp:inline>
        </w:drawing>
      </w:r>
    </w:p>
    <w:p w14:paraId="51C57F9F" w14:textId="77777777" w:rsidR="00AB0733" w:rsidRDefault="00AB0733" w:rsidP="00AB0733">
      <w:pPr>
        <w:pStyle w:val="ImageCaption"/>
      </w:pPr>
      <w:r>
        <w:t xml:space="preserve">Figure S1: </w:t>
      </w:r>
      <w:r>
        <w:rPr>
          <w:b/>
          <w:bCs/>
        </w:rPr>
        <w:t>Comparison of efficacy models.</w:t>
      </w:r>
      <w:r>
        <w:t xml:space="preserve"> For each model </w:t>
      </w:r>
      <m:oMath>
        <m:sSub>
          <m:sSubPr>
            <m:ctrlPr>
              <w:rPr>
                <w:rFonts w:ascii="Cambria Math" w:hAnsi="Cambria Math"/>
              </w:rPr>
            </m:ctrlPr>
          </m:sSubPr>
          <m:e>
            <m:r>
              <w:rPr>
                <w:rFonts w:ascii="Cambria Math" w:hAnsi="Cambria Math"/>
              </w:rPr>
              <m:t>h</m:t>
            </m:r>
          </m:e>
          <m:sub>
            <m:r>
              <w:rPr>
                <w:rFonts w:ascii="Cambria Math" w:hAnsi="Cambria Math"/>
              </w:rPr>
              <m:t>1-5</m:t>
            </m:r>
          </m:sub>
        </m:sSub>
      </m:oMath>
      <w:r>
        <w:t>, we calculate the distribution of the expected number of HIV diagnoses with quantifiable (+) and unquantifiable (-) plasma TFV as defined by each study in FEMPrEP, Partners PrEP, and VOICE (violin plots, where width indicates probability of an observation) and compare to the number observed in the trial (red horizontal line). For models H1-3, TFV-DP measures are multiply imputed ten-fold for each parameter set.</w:t>
      </w:r>
    </w:p>
    <w:p w14:paraId="20BDD39A" w14:textId="77777777" w:rsidR="00AB0733" w:rsidRPr="005128F8" w:rsidRDefault="00AB0733" w:rsidP="00AB0733">
      <w:pPr>
        <w:pStyle w:val="BodyText"/>
      </w:pPr>
    </w:p>
    <w:p w14:paraId="2D6B7072" w14:textId="77777777" w:rsidR="00AB0733" w:rsidRDefault="00AB0733" w:rsidP="00AB0733">
      <w:pPr>
        <w:pStyle w:val="Heading3"/>
      </w:pPr>
      <w:r>
        <w:t>Figure S2</w:t>
      </w:r>
    </w:p>
    <w:p w14:paraId="0DC5936B" w14:textId="77777777" w:rsidR="00AB0733" w:rsidRDefault="00AB0733" w:rsidP="00AB0733">
      <w:pPr>
        <w:pStyle w:val="Compact"/>
      </w:pPr>
    </w:p>
    <w:p w14:paraId="6FB526B7" w14:textId="77777777" w:rsidR="00AB0733" w:rsidRDefault="00AB0733" w:rsidP="00AB0733">
      <w:pPr>
        <w:pStyle w:val="CaptionedFigure"/>
      </w:pPr>
      <w:r>
        <w:rPr>
          <w:noProof/>
        </w:rPr>
        <w:drawing>
          <wp:inline distT="0" distB="0" distL="0" distR="0" wp14:anchorId="43D62077" wp14:editId="08A8457B">
            <wp:extent cx="5943600" cy="3301999"/>
            <wp:effectExtent l="0" t="0" r="0" b="0"/>
            <wp:docPr id="76" name="Picture 76" descr="Figure 4: Efficacy of TDF/FTC by TFV-DP measurement in model h_2 Reduction in incidence in HIV as a function of tenofovir diphosphate (TFV-DP) levels in dried blood spots measurement according to model h_2. Grey ribbon = IQR, Dashed line = 95% Credible Interval. Colored rectangles represent the IQR of TFV-DP measurements associated with two pills per week (red), four pills per week (blue) and seven pills per week (green) derived from directly observed dosing6."/>
            <wp:cNvGraphicFramePr/>
            <a:graphic xmlns:a="http://schemas.openxmlformats.org/drawingml/2006/main">
              <a:graphicData uri="http://schemas.openxmlformats.org/drawingml/2006/picture">
                <pic:pic xmlns:pic="http://schemas.openxmlformats.org/drawingml/2006/picture">
                  <pic:nvPicPr>
                    <pic:cNvPr id="77" name="Picture" descr="Efficacy_Women_Manuscript_nature_files/figure-docx/DBS2plot-1.png"/>
                    <pic:cNvPicPr>
                      <a:picLocks noChangeAspect="1" noChangeArrowheads="1"/>
                    </pic:cNvPicPr>
                  </pic:nvPicPr>
                  <pic:blipFill>
                    <a:blip r:embed="rId6"/>
                    <a:stretch>
                      <a:fillRect/>
                    </a:stretch>
                  </pic:blipFill>
                  <pic:spPr bwMode="auto">
                    <a:xfrm>
                      <a:off x="0" y="0"/>
                      <a:ext cx="5943600" cy="3301999"/>
                    </a:xfrm>
                    <a:prstGeom prst="rect">
                      <a:avLst/>
                    </a:prstGeom>
                    <a:noFill/>
                    <a:ln w="9525">
                      <a:noFill/>
                      <a:headEnd/>
                      <a:tailEnd/>
                    </a:ln>
                  </pic:spPr>
                </pic:pic>
              </a:graphicData>
            </a:graphic>
          </wp:inline>
        </w:drawing>
      </w:r>
    </w:p>
    <w:p w14:paraId="139B3930" w14:textId="77777777" w:rsidR="00AB0733" w:rsidRDefault="00AB0733" w:rsidP="00AB0733">
      <w:pPr>
        <w:pStyle w:val="ImageCaption"/>
      </w:pPr>
      <w:r>
        <w:t xml:space="preserve">Figure S2: </w:t>
      </w:r>
      <w:r>
        <w:rPr>
          <w:b/>
          <w:bCs/>
        </w:rPr>
        <w:t xml:space="preserve">Efficacy of TDF/FTC by TFV-DP measurement in model </w:t>
      </w:r>
      <m:oMath>
        <m:sSub>
          <m:sSubPr>
            <m:ctrlPr>
              <w:rPr>
                <w:rFonts w:ascii="Cambria Math" w:hAnsi="Cambria Math"/>
              </w:rPr>
            </m:ctrlPr>
          </m:sSubPr>
          <m:e>
            <m:r>
              <w:rPr>
                <w:rFonts w:ascii="Cambria Math" w:hAnsi="Cambria Math"/>
              </w:rPr>
              <m:t>h</m:t>
            </m:r>
          </m:e>
          <m:sub>
            <m:r>
              <w:rPr>
                <w:rFonts w:ascii="Cambria Math" w:hAnsi="Cambria Math"/>
              </w:rPr>
              <m:t>2</m:t>
            </m:r>
          </m:sub>
        </m:sSub>
      </m:oMath>
      <w:r>
        <w:t xml:space="preserve"> Reduction in incidence in HIV as a function of tenofovir diphosphate (TFV-DP) levels in dried blood spots measurement according to model </w:t>
      </w:r>
      <m:oMath>
        <m:sSub>
          <m:sSubPr>
            <m:ctrlPr>
              <w:rPr>
                <w:rFonts w:ascii="Cambria Math" w:hAnsi="Cambria Math"/>
              </w:rPr>
            </m:ctrlPr>
          </m:sSubPr>
          <m:e>
            <m:r>
              <w:rPr>
                <w:rFonts w:ascii="Cambria Math" w:hAnsi="Cambria Math"/>
              </w:rPr>
              <m:t>h</m:t>
            </m:r>
          </m:e>
          <m:sub>
            <m:r>
              <w:rPr>
                <w:rFonts w:ascii="Cambria Math" w:hAnsi="Cambria Math"/>
              </w:rPr>
              <m:t>2</m:t>
            </m:r>
          </m:sub>
        </m:sSub>
      </m:oMath>
      <w:r>
        <w:t>. Grey ribbon = IQR, Dashed line = 95% Credible Interval. Colored rectangles represent the IQR of TFV-DP measurements associated with two pills per week (red), four pills per week (blue) and seven pills per week (green) derived from directly observed dosing</w:t>
      </w:r>
      <w:r>
        <w:rPr>
          <w:vertAlign w:val="superscript"/>
        </w:rPr>
        <w:t>6</w:t>
      </w:r>
      <w:r>
        <w:t>.</w:t>
      </w:r>
    </w:p>
    <w:p w14:paraId="44ED9FE8" w14:textId="77777777" w:rsidR="00AB0733" w:rsidRPr="007B5A60" w:rsidRDefault="00AB0733" w:rsidP="00AB0733">
      <w:pPr>
        <w:pStyle w:val="Heading3"/>
        <w:rPr>
          <w:i/>
          <w:iCs/>
        </w:rPr>
      </w:pPr>
      <w:r>
        <w:rPr>
          <w:i/>
          <w:iCs/>
        </w:rPr>
        <w:lastRenderedPageBreak/>
        <w:t>Figure S3</w:t>
      </w:r>
    </w:p>
    <w:p w14:paraId="6B1C6D55" w14:textId="77777777" w:rsidR="00AB0733" w:rsidRDefault="00AB0733" w:rsidP="00AB0733">
      <w:pPr>
        <w:pStyle w:val="CaptionedFigure"/>
      </w:pPr>
      <w:r>
        <w:rPr>
          <w:noProof/>
        </w:rPr>
        <w:drawing>
          <wp:inline distT="0" distB="0" distL="0" distR="0" wp14:anchorId="3A7E47C4" wp14:editId="1993FA01">
            <wp:extent cx="5943600" cy="3301999"/>
            <wp:effectExtent l="0" t="0" r="0" b="0"/>
            <wp:docPr id="79" name="Picture 79" descr="Figure 5: Efficacy of TDF/FTC by TFV-DP measurement in model h_3 Reduction in incidence in HIV as a function of tenofovir diphosphate (TFV-DP) levels in dried blood spots measurement according to model h_3. Grey ribbon = IQR, Dashed line = 95% Credible Interval. Colored rectangles represent the IQR of TFV-DP measurements associated with two pills per week (red), four pills per week (blue) and seven pills per week (green) derived from directly observed dosing6."/>
            <wp:cNvGraphicFramePr/>
            <a:graphic xmlns:a="http://schemas.openxmlformats.org/drawingml/2006/main">
              <a:graphicData uri="http://schemas.openxmlformats.org/drawingml/2006/picture">
                <pic:pic xmlns:pic="http://schemas.openxmlformats.org/drawingml/2006/picture">
                  <pic:nvPicPr>
                    <pic:cNvPr id="80" name="Picture" descr="Efficacy_Women_Manuscript_nature_files/figure-docx/DBS3plot-1.png"/>
                    <pic:cNvPicPr>
                      <a:picLocks noChangeAspect="1" noChangeArrowheads="1"/>
                    </pic:cNvPicPr>
                  </pic:nvPicPr>
                  <pic:blipFill>
                    <a:blip r:embed="rId7"/>
                    <a:stretch>
                      <a:fillRect/>
                    </a:stretch>
                  </pic:blipFill>
                  <pic:spPr bwMode="auto">
                    <a:xfrm>
                      <a:off x="0" y="0"/>
                      <a:ext cx="5943600" cy="3301999"/>
                    </a:xfrm>
                    <a:prstGeom prst="rect">
                      <a:avLst/>
                    </a:prstGeom>
                    <a:noFill/>
                    <a:ln w="9525">
                      <a:noFill/>
                      <a:headEnd/>
                      <a:tailEnd/>
                    </a:ln>
                  </pic:spPr>
                </pic:pic>
              </a:graphicData>
            </a:graphic>
          </wp:inline>
        </w:drawing>
      </w:r>
    </w:p>
    <w:p w14:paraId="3C9B3EDB" w14:textId="77777777" w:rsidR="00AB0733" w:rsidRDefault="00AB0733" w:rsidP="00AB0733">
      <w:pPr>
        <w:pStyle w:val="ImageCaption"/>
      </w:pPr>
      <w:r>
        <w:t xml:space="preserve">Figure S3: </w:t>
      </w:r>
      <w:r>
        <w:rPr>
          <w:b/>
          <w:bCs/>
        </w:rPr>
        <w:t xml:space="preserve">Efficacy of TDF/FTC by TFV-DP measurement in model </w:t>
      </w:r>
      <m:oMath>
        <m:sSub>
          <m:sSubPr>
            <m:ctrlPr>
              <w:rPr>
                <w:rFonts w:ascii="Cambria Math" w:hAnsi="Cambria Math"/>
              </w:rPr>
            </m:ctrlPr>
          </m:sSubPr>
          <m:e>
            <m:r>
              <w:rPr>
                <w:rFonts w:ascii="Cambria Math" w:hAnsi="Cambria Math"/>
              </w:rPr>
              <m:t>h</m:t>
            </m:r>
          </m:e>
          <m:sub>
            <m:r>
              <w:rPr>
                <w:rFonts w:ascii="Cambria Math" w:hAnsi="Cambria Math"/>
              </w:rPr>
              <m:t>3</m:t>
            </m:r>
          </m:sub>
        </m:sSub>
      </m:oMath>
      <w:r>
        <w:t xml:space="preserve"> Reduction in incidence in HIV as a function of tenofovir diphosphate (TFV-DP) levels in dried blood spots measurement according to model </w:t>
      </w:r>
      <m:oMath>
        <m:sSub>
          <m:sSubPr>
            <m:ctrlPr>
              <w:rPr>
                <w:rFonts w:ascii="Cambria Math" w:hAnsi="Cambria Math"/>
              </w:rPr>
            </m:ctrlPr>
          </m:sSubPr>
          <m:e>
            <m:r>
              <w:rPr>
                <w:rFonts w:ascii="Cambria Math" w:hAnsi="Cambria Math"/>
              </w:rPr>
              <m:t>h</m:t>
            </m:r>
          </m:e>
          <m:sub>
            <m:r>
              <w:rPr>
                <w:rFonts w:ascii="Cambria Math" w:hAnsi="Cambria Math"/>
              </w:rPr>
              <m:t>3</m:t>
            </m:r>
          </m:sub>
        </m:sSub>
      </m:oMath>
      <w:r>
        <w:t>. Grey ribbon = IQR, Dashed line = 95% Credible Interval. Colored rectangles represent the IQR of TFV-DP measurements associated with two pills per week (red), four pills per week (blue) and seven pills per week (green) derived from directly observed dosing</w:t>
      </w:r>
      <w:r>
        <w:rPr>
          <w:vertAlign w:val="superscript"/>
        </w:rPr>
        <w:t>6</w:t>
      </w:r>
      <w:r>
        <w:t>.</w:t>
      </w:r>
    </w:p>
    <w:p w14:paraId="2AC71D78" w14:textId="77777777" w:rsidR="00AB0733" w:rsidRDefault="00AB0733" w:rsidP="00AB0733">
      <w:pPr>
        <w:rPr>
          <w:i/>
        </w:rPr>
      </w:pPr>
      <w:r>
        <w:br w:type="page"/>
      </w:r>
    </w:p>
    <w:p w14:paraId="33C24A21" w14:textId="77777777" w:rsidR="00AB0733" w:rsidRDefault="00AB0733" w:rsidP="00AB0733">
      <w:pPr>
        <w:pStyle w:val="Heading3"/>
      </w:pPr>
      <w:r>
        <w:lastRenderedPageBreak/>
        <w:t>Figure S4</w:t>
      </w:r>
    </w:p>
    <w:p w14:paraId="3FA29D0B" w14:textId="77777777" w:rsidR="00AB0733" w:rsidRDefault="00AB0733" w:rsidP="00AB0733">
      <w:pPr>
        <w:pStyle w:val="CaptionedFigure"/>
      </w:pPr>
      <w:r>
        <w:rPr>
          <w:noProof/>
        </w:rPr>
        <w:drawing>
          <wp:inline distT="0" distB="0" distL="0" distR="0" wp14:anchorId="5CEABCFF" wp14:editId="34616B2A">
            <wp:extent cx="5943600" cy="4245428"/>
            <wp:effectExtent l="0" t="0" r="0" b="0"/>
            <wp:docPr id="85" name="Picture 85" descr="Figure 7: Imputation of TFV-DP from Plasma. Measurements of intraerythrocytic TFV-DP among HPTN 082 participants with quantifiable or unquantifiable plasma TFV using the quantification threshold of each trial (see Table 2). Width = frequency, white dot = median, black rectangle = interquartile range, black line = upper and lower adjacent values."/>
            <wp:cNvGraphicFramePr/>
            <a:graphic xmlns:a="http://schemas.openxmlformats.org/drawingml/2006/main">
              <a:graphicData uri="http://schemas.openxmlformats.org/drawingml/2006/picture">
                <pic:pic xmlns:pic="http://schemas.openxmlformats.org/drawingml/2006/picture">
                  <pic:nvPicPr>
                    <pic:cNvPr id="86" name="Picture" descr="Efficacy_Women_Manuscript_nature_files/figure-docx/imputefig-1.png"/>
                    <pic:cNvPicPr>
                      <a:picLocks noChangeAspect="1" noChangeArrowheads="1"/>
                    </pic:cNvPicPr>
                  </pic:nvPicPr>
                  <pic:blipFill>
                    <a:blip r:embed="rId8"/>
                    <a:stretch>
                      <a:fillRect/>
                    </a:stretch>
                  </pic:blipFill>
                  <pic:spPr bwMode="auto">
                    <a:xfrm>
                      <a:off x="0" y="0"/>
                      <a:ext cx="5943600" cy="4245428"/>
                    </a:xfrm>
                    <a:prstGeom prst="rect">
                      <a:avLst/>
                    </a:prstGeom>
                    <a:noFill/>
                    <a:ln w="9525">
                      <a:noFill/>
                      <a:headEnd/>
                      <a:tailEnd/>
                    </a:ln>
                  </pic:spPr>
                </pic:pic>
              </a:graphicData>
            </a:graphic>
          </wp:inline>
        </w:drawing>
      </w:r>
    </w:p>
    <w:p w14:paraId="5C6F8CA8" w14:textId="77777777" w:rsidR="00AB0733" w:rsidRDefault="00AB0733" w:rsidP="00AB0733">
      <w:pPr>
        <w:pStyle w:val="ImageCaption"/>
      </w:pPr>
      <w:r>
        <w:t xml:space="preserve">Figure S4: </w:t>
      </w:r>
      <w:r>
        <w:rPr>
          <w:b/>
          <w:bCs/>
        </w:rPr>
        <w:t>Imputation of TFV-DP from Plasma.</w:t>
      </w:r>
      <w:r>
        <w:t xml:space="preserve"> Measurements of intraerythrocytic TFV-DP among HPTN 082 participants with quantifiable or unquantifiable plasma TFV using the quantification threshold of each trial (see Table 2). Width = frequency, white dot = median, black rectangle = interquartile range, black line = upper and lower adjacent values.</w:t>
      </w:r>
    </w:p>
    <w:p w14:paraId="3E73E4D2" w14:textId="77777777" w:rsidR="00AB0733" w:rsidRDefault="00AB0733" w:rsidP="00AB0733">
      <w:pPr>
        <w:rPr>
          <w:i/>
        </w:rPr>
      </w:pPr>
      <w:r>
        <w:br w:type="page"/>
      </w:r>
    </w:p>
    <w:p w14:paraId="7F1E1351" w14:textId="77777777" w:rsidR="00AB0733" w:rsidRPr="005128F8" w:rsidRDefault="00AB0733" w:rsidP="00AB0733">
      <w:pPr>
        <w:pStyle w:val="ImageCaption"/>
      </w:pPr>
    </w:p>
    <w:p w14:paraId="3FD8121F" w14:textId="77777777" w:rsidR="00AB0733" w:rsidRDefault="00AB0733" w:rsidP="00AB0733">
      <w:pPr>
        <w:pStyle w:val="Heading3"/>
      </w:pPr>
      <w:r>
        <w:t>Table S1</w:t>
      </w:r>
    </w:p>
    <w:p w14:paraId="5F3C074D" w14:textId="77777777" w:rsidR="00AB0733" w:rsidRDefault="00AB0733" w:rsidP="00AB0733">
      <w:pPr>
        <w:pStyle w:val="TableCaption"/>
      </w:pPr>
      <w:bookmarkStart w:id="2" w:name="calibrationtab"/>
      <w:r>
        <w:rPr>
          <w:b/>
          <w:bCs/>
        </w:rPr>
        <w:t xml:space="preserve">Table S1: </w:t>
      </w:r>
      <w:bookmarkEnd w:id="2"/>
      <w:r>
        <w:t>Deviance Information Criterion (DIC) by model. Lower values indicate a model is more predictive of number of seroconverters in FEMPrEP, Partners PrEP, and VOICE. H1 = primary TFV-DP DBS model, H2-3 = alternative TFV-DP DBS models, H4-5 plasma TFV models. DIC is composed of the mean log-likelihood across an ensemble of model fits to data (mean(-2LL)) measuring the goodness of fit and the variance of the log-likelihood across those same fits (var(2LL)/2) which measures model complexity.</w:t>
      </w:r>
    </w:p>
    <w:tbl>
      <w:tblPr>
        <w:tblW w:w="0" w:type="auto"/>
        <w:jc w:val="center"/>
        <w:tblLayout w:type="fixed"/>
        <w:tblLook w:val="0420" w:firstRow="1" w:lastRow="0" w:firstColumn="0" w:lastColumn="0" w:noHBand="0" w:noVBand="1"/>
      </w:tblPr>
      <w:tblGrid>
        <w:gridCol w:w="3327"/>
        <w:gridCol w:w="839"/>
        <w:gridCol w:w="1609"/>
        <w:gridCol w:w="1474"/>
      </w:tblGrid>
      <w:tr w:rsidR="00AB0733" w14:paraId="1EB53453" w14:textId="77777777" w:rsidTr="00181D48">
        <w:trPr>
          <w:cantSplit/>
          <w:tblHeader/>
          <w:jc w:val="center"/>
        </w:trPr>
        <w:tc>
          <w:tcPr>
            <w:tcW w:w="3327"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CF0FF39" w14:textId="77777777" w:rsidR="00AB0733" w:rsidRDefault="00AB0733" w:rsidP="00181D48">
            <w:pPr>
              <w:spacing w:before="100" w:after="100"/>
              <w:ind w:left="100" w:right="100"/>
            </w:pPr>
            <w:r>
              <w:rPr>
                <w:rFonts w:ascii="Arial" w:eastAsia="Arial" w:hAnsi="Arial" w:cs="Arial"/>
                <w:color w:val="000000"/>
                <w:sz w:val="22"/>
                <w:szCs w:val="22"/>
              </w:rPr>
              <w:t>Model</w:t>
            </w:r>
          </w:p>
        </w:tc>
        <w:tc>
          <w:tcPr>
            <w:tcW w:w="839"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47BF6E9" w14:textId="77777777" w:rsidR="00AB0733" w:rsidRDefault="00AB0733" w:rsidP="00181D48">
            <w:pPr>
              <w:spacing w:before="100" w:after="100"/>
              <w:ind w:left="100" w:right="100"/>
              <w:jc w:val="right"/>
            </w:pPr>
            <w:r>
              <w:rPr>
                <w:rFonts w:ascii="Arial" w:eastAsia="Arial" w:hAnsi="Arial" w:cs="Arial"/>
                <w:color w:val="000000"/>
                <w:sz w:val="22"/>
                <w:szCs w:val="22"/>
              </w:rPr>
              <w:t>DIC</w:t>
            </w:r>
          </w:p>
        </w:tc>
        <w:tc>
          <w:tcPr>
            <w:tcW w:w="1609"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2BC343F" w14:textId="77777777" w:rsidR="00AB0733" w:rsidRDefault="00AB0733" w:rsidP="00181D48">
            <w:pPr>
              <w:spacing w:before="100" w:after="100"/>
              <w:ind w:left="100" w:right="100"/>
              <w:jc w:val="right"/>
            </w:pPr>
            <w:r>
              <w:rPr>
                <w:rFonts w:ascii="Arial" w:eastAsia="Arial" w:hAnsi="Arial" w:cs="Arial"/>
                <w:color w:val="000000"/>
                <w:sz w:val="22"/>
                <w:szCs w:val="22"/>
              </w:rPr>
              <w:t>mean(-2 LL)</w:t>
            </w:r>
          </w:p>
        </w:tc>
        <w:tc>
          <w:tcPr>
            <w:tcW w:w="1474"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92D0212" w14:textId="77777777" w:rsidR="00AB0733" w:rsidRDefault="00AB0733" w:rsidP="00181D48">
            <w:pPr>
              <w:spacing w:before="100" w:after="100"/>
              <w:ind w:left="100" w:right="100"/>
              <w:jc w:val="right"/>
            </w:pPr>
            <w:r>
              <w:rPr>
                <w:rFonts w:ascii="Arial" w:eastAsia="Arial" w:hAnsi="Arial" w:cs="Arial"/>
                <w:color w:val="000000"/>
                <w:sz w:val="22"/>
                <w:szCs w:val="22"/>
              </w:rPr>
              <w:t>var(2 LL)/2</w:t>
            </w:r>
          </w:p>
        </w:tc>
      </w:tr>
      <w:tr w:rsidR="00AB0733" w14:paraId="1BFF81AD" w14:textId="77777777" w:rsidTr="00181D48">
        <w:trPr>
          <w:cantSplit/>
          <w:jc w:val="center"/>
        </w:trPr>
        <w:tc>
          <w:tcPr>
            <w:tcW w:w="3327" w:type="dxa"/>
            <w:shd w:val="clear" w:color="auto" w:fill="FFFFFF"/>
            <w:tcMar>
              <w:top w:w="0" w:type="dxa"/>
              <w:left w:w="0" w:type="dxa"/>
              <w:bottom w:w="0" w:type="dxa"/>
              <w:right w:w="0" w:type="dxa"/>
            </w:tcMar>
            <w:vAlign w:val="center"/>
          </w:tcPr>
          <w:p w14:paraId="28A51F13" w14:textId="77777777" w:rsidR="00AB0733" w:rsidRDefault="00AB0733" w:rsidP="00181D48">
            <w:pPr>
              <w:spacing w:before="100" w:after="100"/>
              <w:ind w:left="100" w:right="100"/>
            </w:pPr>
            <w:r>
              <w:rPr>
                <w:rFonts w:eastAsiaTheme="minorEastAsia"/>
              </w:rPr>
              <w:t xml:space="preserve">Base Model </w:t>
            </w:r>
            <m:oMath>
              <m:r>
                <w:rPr>
                  <w:rFonts w:ascii="Cambria Math" w:eastAsiaTheme="minorEastAsia" w:hAnsi="Cambria Math"/>
                </w:rPr>
                <m:t>(</m:t>
              </m:r>
              <m:sSub>
                <m:sSubPr>
                  <m:ctrlPr>
                    <w:rPr>
                      <w:rFonts w:ascii="Cambria Math" w:hAnsi="Cambria Math"/>
                    </w:rPr>
                  </m:ctrlPr>
                </m:sSubPr>
                <m:e>
                  <m:r>
                    <w:rPr>
                      <w:rFonts w:ascii="Cambria Math" w:hAnsi="Cambria Math"/>
                    </w:rPr>
                    <m:t>h</m:t>
                  </m:r>
                </m:e>
                <m:sub>
                  <m:r>
                    <w:rPr>
                      <w:rFonts w:ascii="Cambria Math" w:hAnsi="Cambria Math"/>
                    </w:rPr>
                    <m:t>1</m:t>
                  </m:r>
                </m:sub>
              </m:sSub>
              <m:r>
                <w:rPr>
                  <w:rFonts w:ascii="Cambria Math" w:hAnsi="Cambria Math"/>
                </w:rPr>
                <m:t>)</m:t>
              </m:r>
            </m:oMath>
          </w:p>
        </w:tc>
        <w:tc>
          <w:tcPr>
            <w:tcW w:w="839" w:type="dxa"/>
            <w:shd w:val="clear" w:color="auto" w:fill="FFFFFF"/>
            <w:tcMar>
              <w:top w:w="0" w:type="dxa"/>
              <w:left w:w="0" w:type="dxa"/>
              <w:bottom w:w="0" w:type="dxa"/>
              <w:right w:w="0" w:type="dxa"/>
            </w:tcMar>
            <w:vAlign w:val="center"/>
          </w:tcPr>
          <w:p w14:paraId="61A5D8B4" w14:textId="77777777" w:rsidR="00AB0733" w:rsidRDefault="00AB0733" w:rsidP="00181D48">
            <w:pPr>
              <w:spacing w:before="100" w:after="100"/>
              <w:ind w:left="100" w:right="100"/>
              <w:jc w:val="right"/>
            </w:pPr>
            <w:r>
              <w:rPr>
                <w:rFonts w:ascii="Arial" w:eastAsia="Arial" w:hAnsi="Arial" w:cs="Arial"/>
                <w:color w:val="000000"/>
                <w:sz w:val="22"/>
                <w:szCs w:val="22"/>
              </w:rPr>
              <w:t>42.0</w:t>
            </w:r>
          </w:p>
        </w:tc>
        <w:tc>
          <w:tcPr>
            <w:tcW w:w="1609" w:type="dxa"/>
            <w:shd w:val="clear" w:color="auto" w:fill="FFFFFF"/>
            <w:tcMar>
              <w:top w:w="0" w:type="dxa"/>
              <w:left w:w="0" w:type="dxa"/>
              <w:bottom w:w="0" w:type="dxa"/>
              <w:right w:w="0" w:type="dxa"/>
            </w:tcMar>
            <w:vAlign w:val="center"/>
          </w:tcPr>
          <w:p w14:paraId="32776DCF" w14:textId="77777777" w:rsidR="00AB0733" w:rsidRDefault="00AB0733" w:rsidP="00181D48">
            <w:pPr>
              <w:spacing w:before="100" w:after="100"/>
              <w:ind w:left="100" w:right="100"/>
              <w:jc w:val="right"/>
            </w:pPr>
            <w:r>
              <w:rPr>
                <w:rFonts w:ascii="Arial" w:eastAsia="Arial" w:hAnsi="Arial" w:cs="Arial"/>
                <w:color w:val="000000"/>
                <w:sz w:val="22"/>
                <w:szCs w:val="22"/>
              </w:rPr>
              <w:t>39.8</w:t>
            </w:r>
          </w:p>
        </w:tc>
        <w:tc>
          <w:tcPr>
            <w:tcW w:w="1474" w:type="dxa"/>
            <w:shd w:val="clear" w:color="auto" w:fill="FFFFFF"/>
            <w:tcMar>
              <w:top w:w="0" w:type="dxa"/>
              <w:left w:w="0" w:type="dxa"/>
              <w:bottom w:w="0" w:type="dxa"/>
              <w:right w:w="0" w:type="dxa"/>
            </w:tcMar>
            <w:vAlign w:val="center"/>
          </w:tcPr>
          <w:p w14:paraId="2ABC7C76" w14:textId="77777777" w:rsidR="00AB0733" w:rsidRDefault="00AB0733" w:rsidP="00181D48">
            <w:pPr>
              <w:spacing w:before="100" w:after="100"/>
              <w:ind w:left="100" w:right="100"/>
              <w:jc w:val="right"/>
            </w:pPr>
            <w:r>
              <w:rPr>
                <w:rFonts w:ascii="Arial" w:eastAsia="Arial" w:hAnsi="Arial" w:cs="Arial"/>
                <w:color w:val="000000"/>
                <w:sz w:val="22"/>
                <w:szCs w:val="22"/>
              </w:rPr>
              <w:t>2.27</w:t>
            </w:r>
          </w:p>
        </w:tc>
      </w:tr>
      <w:tr w:rsidR="00AB0733" w14:paraId="2CBD2A56" w14:textId="77777777" w:rsidTr="00181D48">
        <w:trPr>
          <w:cantSplit/>
          <w:jc w:val="center"/>
        </w:trPr>
        <w:tc>
          <w:tcPr>
            <w:tcW w:w="3327" w:type="dxa"/>
            <w:shd w:val="clear" w:color="auto" w:fill="FFFFFF"/>
            <w:tcMar>
              <w:top w:w="0" w:type="dxa"/>
              <w:left w:w="0" w:type="dxa"/>
              <w:bottom w:w="0" w:type="dxa"/>
              <w:right w:w="0" w:type="dxa"/>
            </w:tcMar>
            <w:vAlign w:val="center"/>
          </w:tcPr>
          <w:p w14:paraId="341E9647" w14:textId="77777777" w:rsidR="00AB0733" w:rsidRPr="004D2DB2" w:rsidRDefault="00AB0733" w:rsidP="00181D48">
            <w:pPr>
              <w:spacing w:before="100" w:after="100"/>
              <w:ind w:left="100" w:right="100"/>
            </w:pPr>
            <w:r>
              <w:rPr>
                <w:rFonts w:eastAsiaTheme="minorEastAsia"/>
              </w:rPr>
              <w:t>First alternative Model</w:t>
            </w:r>
            <m:oMath>
              <m:r>
                <w:rPr>
                  <w:rFonts w:ascii="Cambria Math" w:hAnsi="Cambria Math"/>
                </w:rPr>
                <m:t xml:space="preserve"> (</m:t>
              </m:r>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m:t>
              </m:r>
            </m:oMath>
          </w:p>
        </w:tc>
        <w:tc>
          <w:tcPr>
            <w:tcW w:w="839" w:type="dxa"/>
            <w:shd w:val="clear" w:color="auto" w:fill="FFFFFF"/>
            <w:tcMar>
              <w:top w:w="0" w:type="dxa"/>
              <w:left w:w="0" w:type="dxa"/>
              <w:bottom w:w="0" w:type="dxa"/>
              <w:right w:w="0" w:type="dxa"/>
            </w:tcMar>
            <w:vAlign w:val="center"/>
          </w:tcPr>
          <w:p w14:paraId="1477DFC3" w14:textId="77777777" w:rsidR="00AB0733" w:rsidRDefault="00AB0733" w:rsidP="00181D48">
            <w:pPr>
              <w:spacing w:before="100" w:after="100"/>
              <w:ind w:left="100" w:right="100"/>
              <w:jc w:val="right"/>
            </w:pPr>
            <w:r>
              <w:rPr>
                <w:rFonts w:ascii="Arial" w:eastAsia="Arial" w:hAnsi="Arial" w:cs="Arial"/>
                <w:color w:val="000000"/>
                <w:sz w:val="22"/>
                <w:szCs w:val="22"/>
              </w:rPr>
              <w:t>44.0</w:t>
            </w:r>
          </w:p>
        </w:tc>
        <w:tc>
          <w:tcPr>
            <w:tcW w:w="1609" w:type="dxa"/>
            <w:shd w:val="clear" w:color="auto" w:fill="FFFFFF"/>
            <w:tcMar>
              <w:top w:w="0" w:type="dxa"/>
              <w:left w:w="0" w:type="dxa"/>
              <w:bottom w:w="0" w:type="dxa"/>
              <w:right w:w="0" w:type="dxa"/>
            </w:tcMar>
            <w:vAlign w:val="center"/>
          </w:tcPr>
          <w:p w14:paraId="55CFF7A2" w14:textId="77777777" w:rsidR="00AB0733" w:rsidRDefault="00AB0733" w:rsidP="00181D48">
            <w:pPr>
              <w:spacing w:before="100" w:after="100"/>
              <w:ind w:left="100" w:right="100"/>
              <w:jc w:val="right"/>
            </w:pPr>
            <w:r>
              <w:rPr>
                <w:rFonts w:ascii="Arial" w:eastAsia="Arial" w:hAnsi="Arial" w:cs="Arial"/>
                <w:color w:val="000000"/>
                <w:sz w:val="22"/>
                <w:szCs w:val="22"/>
              </w:rPr>
              <w:t>39.3</w:t>
            </w:r>
          </w:p>
        </w:tc>
        <w:tc>
          <w:tcPr>
            <w:tcW w:w="1474" w:type="dxa"/>
            <w:shd w:val="clear" w:color="auto" w:fill="FFFFFF"/>
            <w:tcMar>
              <w:top w:w="0" w:type="dxa"/>
              <w:left w:w="0" w:type="dxa"/>
              <w:bottom w:w="0" w:type="dxa"/>
              <w:right w:w="0" w:type="dxa"/>
            </w:tcMar>
            <w:vAlign w:val="center"/>
          </w:tcPr>
          <w:p w14:paraId="265BD9BF" w14:textId="77777777" w:rsidR="00AB0733" w:rsidRDefault="00AB0733" w:rsidP="00181D48">
            <w:pPr>
              <w:spacing w:before="100" w:after="100"/>
              <w:ind w:left="100" w:right="100"/>
              <w:jc w:val="right"/>
            </w:pPr>
            <w:r>
              <w:rPr>
                <w:rFonts w:ascii="Arial" w:eastAsia="Arial" w:hAnsi="Arial" w:cs="Arial"/>
                <w:color w:val="000000"/>
                <w:sz w:val="22"/>
                <w:szCs w:val="22"/>
              </w:rPr>
              <w:t>4.68</w:t>
            </w:r>
          </w:p>
        </w:tc>
      </w:tr>
      <w:tr w:rsidR="00AB0733" w14:paraId="18B19C4D" w14:textId="77777777" w:rsidTr="00181D48">
        <w:trPr>
          <w:cantSplit/>
          <w:jc w:val="center"/>
        </w:trPr>
        <w:tc>
          <w:tcPr>
            <w:tcW w:w="3327" w:type="dxa"/>
            <w:shd w:val="clear" w:color="auto" w:fill="FFFFFF"/>
            <w:tcMar>
              <w:top w:w="0" w:type="dxa"/>
              <w:left w:w="0" w:type="dxa"/>
              <w:bottom w:w="0" w:type="dxa"/>
              <w:right w:w="0" w:type="dxa"/>
            </w:tcMar>
            <w:vAlign w:val="center"/>
          </w:tcPr>
          <w:p w14:paraId="700DF6B0" w14:textId="77777777" w:rsidR="00AB0733" w:rsidRPr="004D2DB2" w:rsidRDefault="00AB0733" w:rsidP="00181D48">
            <w:pPr>
              <w:spacing w:before="100" w:after="100"/>
              <w:ind w:left="100" w:right="100"/>
            </w:pPr>
            <w:r>
              <w:rPr>
                <w:rFonts w:eastAsiaTheme="minorEastAsia"/>
              </w:rPr>
              <w:t xml:space="preserve">Second Alternative Model </w:t>
            </w:r>
            <m:oMath>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3</m:t>
                  </m:r>
                </m:sub>
              </m:sSub>
              <m:r>
                <w:rPr>
                  <w:rFonts w:ascii="Cambria Math" w:hAnsi="Cambria Math"/>
                </w:rPr>
                <m:t>)</m:t>
              </m:r>
            </m:oMath>
          </w:p>
        </w:tc>
        <w:tc>
          <w:tcPr>
            <w:tcW w:w="839" w:type="dxa"/>
            <w:shd w:val="clear" w:color="auto" w:fill="FFFFFF"/>
            <w:tcMar>
              <w:top w:w="0" w:type="dxa"/>
              <w:left w:w="0" w:type="dxa"/>
              <w:bottom w:w="0" w:type="dxa"/>
              <w:right w:w="0" w:type="dxa"/>
            </w:tcMar>
            <w:vAlign w:val="center"/>
          </w:tcPr>
          <w:p w14:paraId="62BDA8C9" w14:textId="77777777" w:rsidR="00AB0733" w:rsidRDefault="00AB0733" w:rsidP="00181D48">
            <w:pPr>
              <w:spacing w:before="100" w:after="100"/>
              <w:ind w:left="100" w:right="100"/>
              <w:jc w:val="right"/>
            </w:pPr>
            <w:r>
              <w:rPr>
                <w:rFonts w:ascii="Arial" w:eastAsia="Arial" w:hAnsi="Arial" w:cs="Arial"/>
                <w:color w:val="000000"/>
                <w:sz w:val="22"/>
                <w:szCs w:val="22"/>
              </w:rPr>
              <w:t>41.9</w:t>
            </w:r>
          </w:p>
        </w:tc>
        <w:tc>
          <w:tcPr>
            <w:tcW w:w="1609" w:type="dxa"/>
            <w:shd w:val="clear" w:color="auto" w:fill="FFFFFF"/>
            <w:tcMar>
              <w:top w:w="0" w:type="dxa"/>
              <w:left w:w="0" w:type="dxa"/>
              <w:bottom w:w="0" w:type="dxa"/>
              <w:right w:w="0" w:type="dxa"/>
            </w:tcMar>
            <w:vAlign w:val="center"/>
          </w:tcPr>
          <w:p w14:paraId="210101C3" w14:textId="77777777" w:rsidR="00AB0733" w:rsidRDefault="00AB0733" w:rsidP="00181D48">
            <w:pPr>
              <w:spacing w:before="100" w:after="100"/>
              <w:ind w:left="100" w:right="100"/>
              <w:jc w:val="right"/>
            </w:pPr>
            <w:r>
              <w:rPr>
                <w:rFonts w:ascii="Arial" w:eastAsia="Arial" w:hAnsi="Arial" w:cs="Arial"/>
                <w:color w:val="000000"/>
                <w:sz w:val="22"/>
                <w:szCs w:val="22"/>
              </w:rPr>
              <w:t>39.9</w:t>
            </w:r>
          </w:p>
        </w:tc>
        <w:tc>
          <w:tcPr>
            <w:tcW w:w="1474" w:type="dxa"/>
            <w:shd w:val="clear" w:color="auto" w:fill="FFFFFF"/>
            <w:tcMar>
              <w:top w:w="0" w:type="dxa"/>
              <w:left w:w="0" w:type="dxa"/>
              <w:bottom w:w="0" w:type="dxa"/>
              <w:right w:w="0" w:type="dxa"/>
            </w:tcMar>
            <w:vAlign w:val="center"/>
          </w:tcPr>
          <w:p w14:paraId="3EAD480B" w14:textId="77777777" w:rsidR="00AB0733" w:rsidRDefault="00AB0733" w:rsidP="00181D48">
            <w:pPr>
              <w:spacing w:before="100" w:after="100"/>
              <w:ind w:left="100" w:right="100"/>
              <w:jc w:val="right"/>
            </w:pPr>
            <w:r>
              <w:rPr>
                <w:rFonts w:ascii="Arial" w:eastAsia="Arial" w:hAnsi="Arial" w:cs="Arial"/>
                <w:color w:val="000000"/>
                <w:sz w:val="22"/>
                <w:szCs w:val="22"/>
              </w:rPr>
              <w:t>2.00</w:t>
            </w:r>
          </w:p>
        </w:tc>
      </w:tr>
      <w:tr w:rsidR="00AB0733" w14:paraId="7B4E885D" w14:textId="77777777" w:rsidTr="00181D48">
        <w:trPr>
          <w:cantSplit/>
          <w:jc w:val="center"/>
        </w:trPr>
        <w:tc>
          <w:tcPr>
            <w:tcW w:w="3327" w:type="dxa"/>
            <w:shd w:val="clear" w:color="auto" w:fill="FFFFFF"/>
            <w:tcMar>
              <w:top w:w="0" w:type="dxa"/>
              <w:left w:w="0" w:type="dxa"/>
              <w:bottom w:w="0" w:type="dxa"/>
              <w:right w:w="0" w:type="dxa"/>
            </w:tcMar>
            <w:vAlign w:val="center"/>
          </w:tcPr>
          <w:p w14:paraId="70C5E254" w14:textId="77777777" w:rsidR="00AB0733" w:rsidRDefault="00AB0733" w:rsidP="00181D48">
            <w:pPr>
              <w:spacing w:before="100" w:after="100"/>
              <w:ind w:left="100" w:right="100"/>
            </w:pPr>
            <w:r>
              <w:rPr>
                <w:rFonts w:eastAsiaTheme="minorEastAsia"/>
              </w:rPr>
              <w:t>Plasma TFV Model (</w:t>
            </w:r>
            <m:oMath>
              <m:sSub>
                <m:sSubPr>
                  <m:ctrlPr>
                    <w:rPr>
                      <w:rFonts w:ascii="Cambria Math" w:hAnsi="Cambria Math"/>
                    </w:rPr>
                  </m:ctrlPr>
                </m:sSubPr>
                <m:e>
                  <m:r>
                    <w:rPr>
                      <w:rFonts w:ascii="Cambria Math" w:hAnsi="Cambria Math"/>
                    </w:rPr>
                    <m:t>h</m:t>
                  </m:r>
                </m:e>
                <m:sub>
                  <m:r>
                    <w:rPr>
                      <w:rFonts w:ascii="Cambria Math" w:hAnsi="Cambria Math"/>
                    </w:rPr>
                    <m:t>4</m:t>
                  </m:r>
                </m:sub>
              </m:sSub>
              <m:r>
                <w:rPr>
                  <w:rFonts w:ascii="Cambria Math" w:hAnsi="Cambria Math"/>
                </w:rPr>
                <m:t>)</m:t>
              </m:r>
            </m:oMath>
          </w:p>
        </w:tc>
        <w:tc>
          <w:tcPr>
            <w:tcW w:w="839" w:type="dxa"/>
            <w:shd w:val="clear" w:color="auto" w:fill="FFFFFF"/>
            <w:tcMar>
              <w:top w:w="0" w:type="dxa"/>
              <w:left w:w="0" w:type="dxa"/>
              <w:bottom w:w="0" w:type="dxa"/>
              <w:right w:w="0" w:type="dxa"/>
            </w:tcMar>
            <w:vAlign w:val="center"/>
          </w:tcPr>
          <w:p w14:paraId="72889EBB" w14:textId="77777777" w:rsidR="00AB0733" w:rsidRDefault="00AB0733" w:rsidP="00181D48">
            <w:pPr>
              <w:spacing w:before="100" w:after="100"/>
              <w:ind w:left="100" w:right="100"/>
              <w:jc w:val="right"/>
            </w:pPr>
            <w:r>
              <w:rPr>
                <w:rFonts w:ascii="Arial" w:eastAsia="Arial" w:hAnsi="Arial" w:cs="Arial"/>
                <w:color w:val="000000"/>
                <w:sz w:val="22"/>
                <w:szCs w:val="22"/>
              </w:rPr>
              <w:t>47.2</w:t>
            </w:r>
          </w:p>
        </w:tc>
        <w:tc>
          <w:tcPr>
            <w:tcW w:w="1609" w:type="dxa"/>
            <w:shd w:val="clear" w:color="auto" w:fill="FFFFFF"/>
            <w:tcMar>
              <w:top w:w="0" w:type="dxa"/>
              <w:left w:w="0" w:type="dxa"/>
              <w:bottom w:w="0" w:type="dxa"/>
              <w:right w:w="0" w:type="dxa"/>
            </w:tcMar>
            <w:vAlign w:val="center"/>
          </w:tcPr>
          <w:p w14:paraId="7E3E73A0" w14:textId="77777777" w:rsidR="00AB0733" w:rsidRDefault="00AB0733" w:rsidP="00181D48">
            <w:pPr>
              <w:spacing w:before="100" w:after="100"/>
              <w:ind w:left="100" w:right="100"/>
              <w:jc w:val="right"/>
            </w:pPr>
            <w:r>
              <w:rPr>
                <w:rFonts w:ascii="Arial" w:eastAsia="Arial" w:hAnsi="Arial" w:cs="Arial"/>
                <w:color w:val="000000"/>
                <w:sz w:val="22"/>
                <w:szCs w:val="22"/>
              </w:rPr>
              <w:t>43.7</w:t>
            </w:r>
          </w:p>
        </w:tc>
        <w:tc>
          <w:tcPr>
            <w:tcW w:w="1474" w:type="dxa"/>
            <w:shd w:val="clear" w:color="auto" w:fill="FFFFFF"/>
            <w:tcMar>
              <w:top w:w="0" w:type="dxa"/>
              <w:left w:w="0" w:type="dxa"/>
              <w:bottom w:w="0" w:type="dxa"/>
              <w:right w:w="0" w:type="dxa"/>
            </w:tcMar>
            <w:vAlign w:val="center"/>
          </w:tcPr>
          <w:p w14:paraId="3CE6BF88" w14:textId="77777777" w:rsidR="00AB0733" w:rsidRDefault="00AB0733" w:rsidP="00181D48">
            <w:pPr>
              <w:spacing w:before="100" w:after="100"/>
              <w:ind w:left="100" w:right="100"/>
              <w:jc w:val="right"/>
            </w:pPr>
            <w:r>
              <w:rPr>
                <w:rFonts w:ascii="Arial" w:eastAsia="Arial" w:hAnsi="Arial" w:cs="Arial"/>
                <w:color w:val="000000"/>
                <w:sz w:val="22"/>
                <w:szCs w:val="22"/>
              </w:rPr>
              <w:t>3.50</w:t>
            </w:r>
          </w:p>
        </w:tc>
      </w:tr>
      <w:tr w:rsidR="00AB0733" w14:paraId="4121090E" w14:textId="77777777" w:rsidTr="00181D48">
        <w:trPr>
          <w:cantSplit/>
          <w:jc w:val="center"/>
        </w:trPr>
        <w:tc>
          <w:tcPr>
            <w:tcW w:w="3327" w:type="dxa"/>
            <w:tcBorders>
              <w:bottom w:val="single" w:sz="16" w:space="0" w:color="666666"/>
            </w:tcBorders>
            <w:shd w:val="clear" w:color="auto" w:fill="FFFFFF"/>
            <w:tcMar>
              <w:top w:w="0" w:type="dxa"/>
              <w:left w:w="0" w:type="dxa"/>
              <w:bottom w:w="0" w:type="dxa"/>
              <w:right w:w="0" w:type="dxa"/>
            </w:tcMar>
            <w:vAlign w:val="center"/>
          </w:tcPr>
          <w:p w14:paraId="0ED24E53" w14:textId="77777777" w:rsidR="00AB0733" w:rsidRDefault="00AB0733" w:rsidP="00181D48">
            <w:pPr>
              <w:spacing w:before="100" w:after="100"/>
              <w:ind w:left="100" w:right="100"/>
            </w:pPr>
            <w:r>
              <w:rPr>
                <w:rFonts w:eastAsiaTheme="minorEastAsia"/>
              </w:rPr>
              <w:t>Alternative TFV Model (</w:t>
            </w:r>
            <m:oMath>
              <m:sSub>
                <m:sSubPr>
                  <m:ctrlPr>
                    <w:rPr>
                      <w:rFonts w:ascii="Cambria Math" w:hAnsi="Cambria Math"/>
                    </w:rPr>
                  </m:ctrlPr>
                </m:sSubPr>
                <m:e>
                  <m:r>
                    <w:rPr>
                      <w:rFonts w:ascii="Cambria Math" w:hAnsi="Cambria Math"/>
                    </w:rPr>
                    <m:t>h</m:t>
                  </m:r>
                </m:e>
                <m:sub>
                  <m:r>
                    <w:rPr>
                      <w:rFonts w:ascii="Cambria Math" w:hAnsi="Cambria Math"/>
                    </w:rPr>
                    <m:t>5</m:t>
                  </m:r>
                </m:sub>
              </m:sSub>
              <m:r>
                <w:rPr>
                  <w:rFonts w:ascii="Cambria Math" w:hAnsi="Cambria Math"/>
                </w:rPr>
                <m:t>)</m:t>
              </m:r>
            </m:oMath>
          </w:p>
        </w:tc>
        <w:tc>
          <w:tcPr>
            <w:tcW w:w="839" w:type="dxa"/>
            <w:tcBorders>
              <w:bottom w:val="single" w:sz="16" w:space="0" w:color="666666"/>
            </w:tcBorders>
            <w:shd w:val="clear" w:color="auto" w:fill="FFFFFF"/>
            <w:tcMar>
              <w:top w:w="0" w:type="dxa"/>
              <w:left w:w="0" w:type="dxa"/>
              <w:bottom w:w="0" w:type="dxa"/>
              <w:right w:w="0" w:type="dxa"/>
            </w:tcMar>
            <w:vAlign w:val="center"/>
          </w:tcPr>
          <w:p w14:paraId="3513876A" w14:textId="77777777" w:rsidR="00AB0733" w:rsidRDefault="00AB0733" w:rsidP="00181D48">
            <w:pPr>
              <w:spacing w:before="100" w:after="100"/>
              <w:ind w:left="100" w:right="100"/>
              <w:jc w:val="right"/>
            </w:pPr>
            <w:r>
              <w:rPr>
                <w:rFonts w:ascii="Arial" w:eastAsia="Arial" w:hAnsi="Arial" w:cs="Arial"/>
                <w:color w:val="000000"/>
                <w:sz w:val="22"/>
                <w:szCs w:val="22"/>
              </w:rPr>
              <w:t>46.5</w:t>
            </w:r>
          </w:p>
        </w:tc>
        <w:tc>
          <w:tcPr>
            <w:tcW w:w="1609" w:type="dxa"/>
            <w:tcBorders>
              <w:bottom w:val="single" w:sz="16" w:space="0" w:color="666666"/>
            </w:tcBorders>
            <w:shd w:val="clear" w:color="auto" w:fill="FFFFFF"/>
            <w:tcMar>
              <w:top w:w="0" w:type="dxa"/>
              <w:left w:w="0" w:type="dxa"/>
              <w:bottom w:w="0" w:type="dxa"/>
              <w:right w:w="0" w:type="dxa"/>
            </w:tcMar>
            <w:vAlign w:val="center"/>
          </w:tcPr>
          <w:p w14:paraId="493ECF5D" w14:textId="77777777" w:rsidR="00AB0733" w:rsidRDefault="00AB0733" w:rsidP="00181D48">
            <w:pPr>
              <w:spacing w:before="100" w:after="100"/>
              <w:ind w:left="100" w:right="100"/>
              <w:jc w:val="right"/>
            </w:pPr>
            <w:r>
              <w:rPr>
                <w:rFonts w:ascii="Arial" w:eastAsia="Arial" w:hAnsi="Arial" w:cs="Arial"/>
                <w:color w:val="000000"/>
                <w:sz w:val="22"/>
                <w:szCs w:val="22"/>
              </w:rPr>
              <w:t>44.0</w:t>
            </w:r>
          </w:p>
        </w:tc>
        <w:tc>
          <w:tcPr>
            <w:tcW w:w="1474" w:type="dxa"/>
            <w:tcBorders>
              <w:bottom w:val="single" w:sz="16" w:space="0" w:color="666666"/>
            </w:tcBorders>
            <w:shd w:val="clear" w:color="auto" w:fill="FFFFFF"/>
            <w:tcMar>
              <w:top w:w="0" w:type="dxa"/>
              <w:left w:w="0" w:type="dxa"/>
              <w:bottom w:w="0" w:type="dxa"/>
              <w:right w:w="0" w:type="dxa"/>
            </w:tcMar>
            <w:vAlign w:val="center"/>
          </w:tcPr>
          <w:p w14:paraId="09A6052B" w14:textId="77777777" w:rsidR="00AB0733" w:rsidRDefault="00AB0733" w:rsidP="00181D48">
            <w:pPr>
              <w:spacing w:before="100" w:after="100"/>
              <w:ind w:left="100" w:right="100"/>
              <w:jc w:val="right"/>
            </w:pPr>
            <w:r>
              <w:rPr>
                <w:rFonts w:ascii="Arial" w:eastAsia="Arial" w:hAnsi="Arial" w:cs="Arial"/>
                <w:color w:val="000000"/>
                <w:sz w:val="22"/>
                <w:szCs w:val="22"/>
              </w:rPr>
              <w:t>2.48</w:t>
            </w:r>
          </w:p>
        </w:tc>
      </w:tr>
      <w:bookmarkEnd w:id="0"/>
      <w:bookmarkEnd w:id="1"/>
    </w:tbl>
    <w:p w14:paraId="2B652E09" w14:textId="77777777" w:rsidR="00AB0733" w:rsidRDefault="00AB0733" w:rsidP="00AB0733">
      <w:pPr>
        <w:pStyle w:val="CaptionedFigure"/>
      </w:pPr>
    </w:p>
    <w:p w14:paraId="6C3541A9" w14:textId="77777777" w:rsidR="00755780" w:rsidRDefault="00755780"/>
    <w:sectPr w:rsidR="0075578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A990"/>
    <w:multiLevelType w:val="multilevel"/>
    <w:tmpl w:val="E8B85D8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A99411"/>
    <w:multiLevelType w:val="multilevel"/>
    <w:tmpl w:val="93D00D32"/>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33"/>
    <w:rsid w:val="00755780"/>
    <w:rsid w:val="00AB0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9DA9"/>
  <w15:chartTrackingRefBased/>
  <w15:docId w15:val="{B2FCDCA0-A30D-4887-ADF5-65017B05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733"/>
    <w:pPr>
      <w:spacing w:after="200" w:line="240" w:lineRule="auto"/>
    </w:pPr>
    <w:rPr>
      <w:sz w:val="24"/>
      <w:szCs w:val="24"/>
    </w:rPr>
  </w:style>
  <w:style w:type="paragraph" w:styleId="Heading1">
    <w:name w:val="heading 1"/>
    <w:basedOn w:val="Normal"/>
    <w:next w:val="BodyText"/>
    <w:link w:val="Heading1Char"/>
    <w:uiPriority w:val="9"/>
    <w:qFormat/>
    <w:rsid w:val="00AB0733"/>
    <w:pPr>
      <w:keepNext/>
      <w:keepLines/>
      <w:spacing w:before="480" w:after="0"/>
      <w:outlineLvl w:val="0"/>
    </w:pPr>
    <w:rPr>
      <w:rFonts w:asciiTheme="majorHAnsi" w:eastAsiaTheme="majorEastAsia" w:hAnsiTheme="majorHAnsi" w:cstheme="majorBidi"/>
      <w:b/>
      <w:bCs/>
      <w:color w:val="4472C4" w:themeColor="accent1"/>
      <w:sz w:val="32"/>
      <w:szCs w:val="32"/>
    </w:rPr>
  </w:style>
  <w:style w:type="paragraph" w:styleId="Heading2">
    <w:name w:val="heading 2"/>
    <w:basedOn w:val="Normal"/>
    <w:next w:val="BodyText"/>
    <w:link w:val="Heading2Char"/>
    <w:uiPriority w:val="9"/>
    <w:unhideWhenUsed/>
    <w:qFormat/>
    <w:rsid w:val="00AB0733"/>
    <w:pPr>
      <w:keepNext/>
      <w:keepLines/>
      <w:spacing w:before="200" w:after="0"/>
      <w:outlineLvl w:val="1"/>
    </w:pPr>
    <w:rPr>
      <w:rFonts w:asciiTheme="majorHAnsi" w:eastAsiaTheme="majorEastAsia" w:hAnsiTheme="majorHAnsi" w:cstheme="majorBidi"/>
      <w:b/>
      <w:bCs/>
      <w:color w:val="4472C4" w:themeColor="accent1"/>
      <w:sz w:val="28"/>
      <w:szCs w:val="28"/>
    </w:rPr>
  </w:style>
  <w:style w:type="paragraph" w:styleId="Heading3">
    <w:name w:val="heading 3"/>
    <w:basedOn w:val="Normal"/>
    <w:next w:val="BodyText"/>
    <w:link w:val="Heading3Char"/>
    <w:uiPriority w:val="9"/>
    <w:unhideWhenUsed/>
    <w:qFormat/>
    <w:rsid w:val="00AB0733"/>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733"/>
    <w:rPr>
      <w:rFonts w:asciiTheme="majorHAnsi" w:eastAsiaTheme="majorEastAsia" w:hAnsiTheme="majorHAnsi" w:cstheme="majorBidi"/>
      <w:b/>
      <w:bCs/>
      <w:color w:val="4472C4" w:themeColor="accent1"/>
      <w:sz w:val="32"/>
      <w:szCs w:val="32"/>
    </w:rPr>
  </w:style>
  <w:style w:type="character" w:customStyle="1" w:styleId="Heading2Char">
    <w:name w:val="Heading 2 Char"/>
    <w:basedOn w:val="DefaultParagraphFont"/>
    <w:link w:val="Heading2"/>
    <w:uiPriority w:val="9"/>
    <w:rsid w:val="00AB0733"/>
    <w:rPr>
      <w:rFonts w:asciiTheme="majorHAnsi" w:eastAsiaTheme="majorEastAsia" w:hAnsiTheme="majorHAnsi" w:cstheme="majorBidi"/>
      <w:b/>
      <w:bCs/>
      <w:color w:val="4472C4" w:themeColor="accent1"/>
      <w:sz w:val="28"/>
      <w:szCs w:val="28"/>
    </w:rPr>
  </w:style>
  <w:style w:type="character" w:customStyle="1" w:styleId="Heading3Char">
    <w:name w:val="Heading 3 Char"/>
    <w:basedOn w:val="DefaultParagraphFont"/>
    <w:link w:val="Heading3"/>
    <w:uiPriority w:val="9"/>
    <w:rsid w:val="00AB0733"/>
    <w:rPr>
      <w:rFonts w:asciiTheme="majorHAnsi" w:eastAsiaTheme="majorEastAsia" w:hAnsiTheme="majorHAnsi" w:cstheme="majorBidi"/>
      <w:b/>
      <w:bCs/>
      <w:color w:val="4472C4" w:themeColor="accent1"/>
      <w:sz w:val="24"/>
      <w:szCs w:val="24"/>
    </w:rPr>
  </w:style>
  <w:style w:type="paragraph" w:styleId="BodyText">
    <w:name w:val="Body Text"/>
    <w:basedOn w:val="Normal"/>
    <w:link w:val="BodyTextChar"/>
    <w:qFormat/>
    <w:rsid w:val="00AB0733"/>
    <w:pPr>
      <w:spacing w:before="180" w:after="180" w:line="480" w:lineRule="auto"/>
    </w:pPr>
  </w:style>
  <w:style w:type="character" w:customStyle="1" w:styleId="BodyTextChar">
    <w:name w:val="Body Text Char"/>
    <w:basedOn w:val="DefaultParagraphFont"/>
    <w:link w:val="BodyText"/>
    <w:rsid w:val="00AB0733"/>
    <w:rPr>
      <w:sz w:val="24"/>
      <w:szCs w:val="24"/>
    </w:rPr>
  </w:style>
  <w:style w:type="paragraph" w:customStyle="1" w:styleId="FirstParagraph">
    <w:name w:val="First Paragraph"/>
    <w:basedOn w:val="BodyText"/>
    <w:next w:val="BodyText"/>
    <w:qFormat/>
    <w:rsid w:val="00AB0733"/>
  </w:style>
  <w:style w:type="paragraph" w:customStyle="1" w:styleId="Compact">
    <w:name w:val="Compact"/>
    <w:basedOn w:val="BodyText"/>
    <w:qFormat/>
    <w:rsid w:val="00AB0733"/>
    <w:pPr>
      <w:spacing w:before="36" w:after="36"/>
    </w:pPr>
  </w:style>
  <w:style w:type="paragraph" w:customStyle="1" w:styleId="TableCaption">
    <w:name w:val="Table Caption"/>
    <w:basedOn w:val="Caption"/>
    <w:rsid w:val="00AB0733"/>
    <w:pPr>
      <w:keepNext/>
      <w:spacing w:after="120"/>
    </w:pPr>
    <w:rPr>
      <w:iCs w:val="0"/>
      <w:color w:val="auto"/>
      <w:sz w:val="24"/>
      <w:szCs w:val="24"/>
    </w:rPr>
  </w:style>
  <w:style w:type="paragraph" w:customStyle="1" w:styleId="ImageCaption">
    <w:name w:val="Image Caption"/>
    <w:basedOn w:val="Caption"/>
    <w:rsid w:val="00AB0733"/>
    <w:pPr>
      <w:spacing w:after="120"/>
    </w:pPr>
    <w:rPr>
      <w:iCs w:val="0"/>
      <w:color w:val="auto"/>
      <w:sz w:val="24"/>
      <w:szCs w:val="24"/>
    </w:rPr>
  </w:style>
  <w:style w:type="paragraph" w:customStyle="1" w:styleId="CaptionedFigure">
    <w:name w:val="Captioned Figure"/>
    <w:basedOn w:val="Normal"/>
    <w:rsid w:val="00AB0733"/>
    <w:pPr>
      <w:keepNext/>
    </w:pPr>
  </w:style>
  <w:style w:type="paragraph" w:styleId="Caption">
    <w:name w:val="caption"/>
    <w:basedOn w:val="Normal"/>
    <w:next w:val="Normal"/>
    <w:uiPriority w:val="35"/>
    <w:semiHidden/>
    <w:unhideWhenUsed/>
    <w:qFormat/>
    <w:rsid w:val="00AB0733"/>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674</Words>
  <Characters>3845</Characters>
  <Application>Microsoft Office Word</Application>
  <DocSecurity>0</DocSecurity>
  <Lines>32</Lines>
  <Paragraphs>9</Paragraphs>
  <ScaleCrop>false</ScaleCrop>
  <Company>Springer Nature</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2023-05-19T05:47:00Z</dcterms:created>
  <dcterms:modified xsi:type="dcterms:W3CDTF">2023-05-19T05:47:00Z</dcterms:modified>
</cp:coreProperties>
</file>