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192B8F" w14:textId="77777777" w:rsidR="00755F7C" w:rsidRDefault="00755F7C" w:rsidP="00755F7C">
      <w:r>
        <w:br w:type="page"/>
      </w:r>
    </w:p>
    <w:p w14:paraId="23A8D748" w14:textId="77777777" w:rsidR="00755F7C" w:rsidRDefault="00755F7C" w:rsidP="00755F7C">
      <w:r>
        <w:rPr>
          <w:noProof/>
        </w:rPr>
        <w:lastRenderedPageBreak/>
        <w:drawing>
          <wp:inline distT="0" distB="0" distL="0" distR="0" wp14:anchorId="64F1C4A2" wp14:editId="2A115F2F">
            <wp:extent cx="5590125" cy="1835407"/>
            <wp:effectExtent l="0" t="0" r="0" b="6350"/>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pic:nvPicPr>
                  <pic:blipFill>
                    <a:blip r:embed="rId4">
                      <a:extLst>
                        <a:ext uri="{28A0092B-C50C-407E-A947-70E740481C1C}">
                          <a14:useLocalDpi xmlns:a14="http://schemas.microsoft.com/office/drawing/2010/main" val="0"/>
                        </a:ext>
                      </a:extLst>
                    </a:blip>
                    <a:stretch>
                      <a:fillRect/>
                    </a:stretch>
                  </pic:blipFill>
                  <pic:spPr>
                    <a:xfrm>
                      <a:off x="0" y="0"/>
                      <a:ext cx="5590125" cy="1835407"/>
                    </a:xfrm>
                    <a:prstGeom prst="rect">
                      <a:avLst/>
                    </a:prstGeom>
                  </pic:spPr>
                </pic:pic>
              </a:graphicData>
            </a:graphic>
          </wp:inline>
        </w:drawing>
      </w:r>
    </w:p>
    <w:p w14:paraId="1F579FD4" w14:textId="77777777" w:rsidR="00755F7C" w:rsidRDefault="00755F7C" w:rsidP="00755F7C"/>
    <w:p w14:paraId="7F9B441B" w14:textId="77777777" w:rsidR="00755F7C" w:rsidRDefault="00755F7C" w:rsidP="00755F7C">
      <w:pPr>
        <w:spacing w:line="360" w:lineRule="auto"/>
        <w:jc w:val="both"/>
        <w:rPr>
          <w:b/>
          <w:bCs/>
        </w:rPr>
      </w:pPr>
      <w:r w:rsidRPr="00A46CCD">
        <w:rPr>
          <w:b/>
          <w:bCs/>
        </w:rPr>
        <w:t>Figure S</w:t>
      </w:r>
      <w:r>
        <w:rPr>
          <w:b/>
          <w:bCs/>
        </w:rPr>
        <w:t>1</w:t>
      </w:r>
      <w:r w:rsidRPr="00A46CCD">
        <w:rPr>
          <w:b/>
          <w:bCs/>
        </w:rPr>
        <w:t xml:space="preserve">. </w:t>
      </w:r>
      <w:r>
        <w:rPr>
          <w:b/>
          <w:bCs/>
        </w:rPr>
        <w:t xml:space="preserve">The crystals and electron density map. </w:t>
      </w:r>
    </w:p>
    <w:p w14:paraId="0290B394" w14:textId="77777777" w:rsidR="00755F7C" w:rsidRPr="00193533" w:rsidRDefault="00755F7C" w:rsidP="00755F7C">
      <w:pPr>
        <w:spacing w:line="360" w:lineRule="auto"/>
        <w:jc w:val="both"/>
        <w:rPr>
          <w:b/>
          <w:bCs/>
        </w:rPr>
        <w:sectPr w:rsidR="00755F7C" w:rsidRPr="00193533" w:rsidSect="006225FB">
          <w:pgSz w:w="12240" w:h="15840"/>
          <w:pgMar w:top="1440" w:right="1440" w:bottom="1440" w:left="1440" w:header="709" w:footer="709" w:gutter="0"/>
          <w:lnNumType w:countBy="1" w:restart="continuous"/>
          <w:cols w:space="708"/>
          <w:docGrid w:linePitch="360"/>
        </w:sectPr>
      </w:pPr>
      <w:r w:rsidRPr="00193533">
        <w:t>A-B. M2AP and M2AP-TSR6 crystals. C. The 2mFo-DFc electron density map of the key residues in the complex.</w:t>
      </w:r>
      <w:r w:rsidRPr="008A4BA6">
        <w:t xml:space="preserve"> The residues His-620, Thr-636 and Phe-637 in TSR6 and K72 in M2AP are shown as sticks. 2mFo-DFc contoured at 1σ (blue)</w:t>
      </w:r>
      <w:r>
        <w:t xml:space="preserve">.  </w:t>
      </w:r>
    </w:p>
    <w:p w14:paraId="0445DA4F" w14:textId="77777777" w:rsidR="00755F7C" w:rsidRDefault="00755F7C" w:rsidP="00755F7C">
      <w:pPr>
        <w:spacing w:line="360" w:lineRule="auto"/>
        <w:jc w:val="both"/>
      </w:pPr>
    </w:p>
    <w:p w14:paraId="06D4BC42" w14:textId="77777777" w:rsidR="00755F7C" w:rsidRDefault="00755F7C" w:rsidP="00755F7C">
      <w:pPr>
        <w:spacing w:line="360" w:lineRule="auto"/>
        <w:jc w:val="both"/>
      </w:pPr>
      <w:r>
        <w:rPr>
          <w:noProof/>
        </w:rPr>
        <w:drawing>
          <wp:inline distT="0" distB="0" distL="0" distR="0" wp14:anchorId="777D49DD" wp14:editId="1C87A18B">
            <wp:extent cx="5780314" cy="528807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5">
                      <a:extLst>
                        <a:ext uri="{28A0092B-C50C-407E-A947-70E740481C1C}">
                          <a14:useLocalDpi xmlns:a14="http://schemas.microsoft.com/office/drawing/2010/main" val="0"/>
                        </a:ext>
                      </a:extLst>
                    </a:blip>
                    <a:stretch>
                      <a:fillRect/>
                    </a:stretch>
                  </pic:blipFill>
                  <pic:spPr>
                    <a:xfrm>
                      <a:off x="0" y="0"/>
                      <a:ext cx="5808290" cy="5313667"/>
                    </a:xfrm>
                    <a:prstGeom prst="rect">
                      <a:avLst/>
                    </a:prstGeom>
                  </pic:spPr>
                </pic:pic>
              </a:graphicData>
            </a:graphic>
          </wp:inline>
        </w:drawing>
      </w:r>
    </w:p>
    <w:p w14:paraId="2A46D2E3" w14:textId="77777777" w:rsidR="00755F7C" w:rsidRDefault="00755F7C" w:rsidP="00755F7C">
      <w:pPr>
        <w:spacing w:line="360" w:lineRule="auto"/>
        <w:jc w:val="both"/>
        <w:rPr>
          <w:b/>
          <w:bCs/>
        </w:rPr>
      </w:pPr>
    </w:p>
    <w:p w14:paraId="7A150B68" w14:textId="77777777" w:rsidR="00755F7C" w:rsidRDefault="00755F7C" w:rsidP="00755F7C">
      <w:pPr>
        <w:spacing w:line="360" w:lineRule="auto"/>
        <w:jc w:val="both"/>
        <w:rPr>
          <w:b/>
          <w:bCs/>
        </w:rPr>
      </w:pPr>
      <w:r w:rsidRPr="00DE6F3E">
        <w:rPr>
          <w:b/>
          <w:bCs/>
        </w:rPr>
        <w:t>Figure S</w:t>
      </w:r>
      <w:r>
        <w:rPr>
          <w:b/>
          <w:bCs/>
        </w:rPr>
        <w:t>2</w:t>
      </w:r>
      <w:r w:rsidRPr="00DE6F3E">
        <w:rPr>
          <w:b/>
          <w:bCs/>
        </w:rPr>
        <w:t xml:space="preserve">. </w:t>
      </w:r>
      <w:r>
        <w:rPr>
          <w:b/>
          <w:bCs/>
        </w:rPr>
        <w:t>E</w:t>
      </w:r>
      <w:r w:rsidRPr="00DE6F3E">
        <w:rPr>
          <w:b/>
          <w:bCs/>
        </w:rPr>
        <w:t xml:space="preserve">lectrostatics of </w:t>
      </w:r>
      <w:r>
        <w:rPr>
          <w:b/>
          <w:bCs/>
        </w:rPr>
        <w:t>MIC2</w:t>
      </w:r>
      <w:r w:rsidRPr="00DE6F3E">
        <w:rPr>
          <w:b/>
          <w:bCs/>
        </w:rPr>
        <w:t xml:space="preserve"> TSR domains </w:t>
      </w:r>
      <w:r>
        <w:rPr>
          <w:b/>
          <w:bCs/>
        </w:rPr>
        <w:t>and</w:t>
      </w:r>
      <w:r w:rsidRPr="00DE6F3E">
        <w:rPr>
          <w:b/>
          <w:bCs/>
        </w:rPr>
        <w:t xml:space="preserve"> full-length architecture.</w:t>
      </w:r>
    </w:p>
    <w:p w14:paraId="14638FE4" w14:textId="77777777" w:rsidR="00755F7C" w:rsidRDefault="00755F7C" w:rsidP="00755F7C">
      <w:pPr>
        <w:spacing w:line="360" w:lineRule="auto"/>
        <w:jc w:val="both"/>
      </w:pPr>
      <w:r>
        <w:t xml:space="preserve">A. Comparison of MIC2 TSR6 and other structurally determined TSRs. Layered residues for each TSR domain are shown and labelled. Dashed lines mark the upper and bottom disulfide bonds of the layer. B. </w:t>
      </w:r>
      <w:r w:rsidRPr="009C2B2B">
        <w:t xml:space="preserve">Electrostatics </w:t>
      </w:r>
      <w:r>
        <w:t xml:space="preserve">of </w:t>
      </w:r>
      <w:r w:rsidRPr="009C2B2B">
        <w:t>TSR6 and other TSR domains within MIC2. The M2AP-binding face is shown for TSR6 and other TSR domains are shown in identical orientations.</w:t>
      </w:r>
      <w:r>
        <w:t xml:space="preserve"> TSR1-5 structures are from the full-length of Alphafold MIC2 model.</w:t>
      </w:r>
      <w:r w:rsidRPr="009C2B2B">
        <w:t xml:space="preserve"> Electrostatic solvent accessible surfaces were</w:t>
      </w:r>
      <w:r>
        <w:t xml:space="preserve"> </w:t>
      </w:r>
      <w:r w:rsidRPr="009C2B2B">
        <w:t xml:space="preserve">calculated </w:t>
      </w:r>
      <w:r>
        <w:t xml:space="preserve">with scale of </w:t>
      </w:r>
      <w:r w:rsidRPr="009C2B2B">
        <w:t>[−5 (red) to +5 (blue) kT/e].</w:t>
      </w:r>
      <w:r>
        <w:t xml:space="preserve"> </w:t>
      </w:r>
    </w:p>
    <w:p w14:paraId="4A93E216" w14:textId="77777777" w:rsidR="00755F7C" w:rsidRDefault="00755F7C" w:rsidP="00755F7C">
      <w:pPr>
        <w:spacing w:line="360" w:lineRule="auto"/>
        <w:jc w:val="both"/>
      </w:pPr>
    </w:p>
    <w:p w14:paraId="2655520A" w14:textId="77777777" w:rsidR="00755F7C" w:rsidRDefault="00755F7C" w:rsidP="00755F7C">
      <w:pPr>
        <w:spacing w:line="360" w:lineRule="auto"/>
        <w:jc w:val="both"/>
        <w:sectPr w:rsidR="00755F7C" w:rsidSect="006225FB">
          <w:pgSz w:w="12240" w:h="15840"/>
          <w:pgMar w:top="1440" w:right="1440" w:bottom="1440" w:left="1440" w:header="709" w:footer="709" w:gutter="0"/>
          <w:lnNumType w:countBy="1" w:restart="continuous"/>
          <w:cols w:space="708"/>
          <w:docGrid w:linePitch="360"/>
        </w:sectPr>
      </w:pPr>
    </w:p>
    <w:p w14:paraId="323920A0" w14:textId="77777777" w:rsidR="00755F7C" w:rsidRDefault="00755F7C" w:rsidP="00755F7C">
      <w:pPr>
        <w:jc w:val="center"/>
      </w:pPr>
    </w:p>
    <w:p w14:paraId="54A56F8B" w14:textId="77777777" w:rsidR="00755F7C" w:rsidRDefault="00755F7C" w:rsidP="00755F7C">
      <w:pPr>
        <w:jc w:val="both"/>
      </w:pPr>
      <w:r>
        <w:rPr>
          <w:noProof/>
        </w:rPr>
        <w:drawing>
          <wp:inline distT="0" distB="0" distL="0" distR="0" wp14:anchorId="1A4D0786" wp14:editId="182651BC">
            <wp:extent cx="5943600" cy="3057525"/>
            <wp:effectExtent l="0" t="0" r="0" b="3175"/>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057525"/>
                    </a:xfrm>
                    <a:prstGeom prst="rect">
                      <a:avLst/>
                    </a:prstGeom>
                  </pic:spPr>
                </pic:pic>
              </a:graphicData>
            </a:graphic>
          </wp:inline>
        </w:drawing>
      </w:r>
    </w:p>
    <w:p w14:paraId="69B50408" w14:textId="77777777" w:rsidR="00755F7C" w:rsidRDefault="00755F7C" w:rsidP="00755F7C">
      <w:pPr>
        <w:spacing w:line="360" w:lineRule="auto"/>
        <w:jc w:val="both"/>
      </w:pPr>
    </w:p>
    <w:p w14:paraId="60688D42" w14:textId="77777777" w:rsidR="00755F7C" w:rsidRDefault="00755F7C" w:rsidP="00755F7C">
      <w:pPr>
        <w:spacing w:line="360" w:lineRule="auto"/>
        <w:jc w:val="both"/>
        <w:rPr>
          <w:b/>
          <w:bCs/>
        </w:rPr>
      </w:pPr>
      <w:r w:rsidRPr="009A3926">
        <w:rPr>
          <w:b/>
          <w:bCs/>
        </w:rPr>
        <w:t>Figure S</w:t>
      </w:r>
      <w:r>
        <w:rPr>
          <w:b/>
          <w:bCs/>
        </w:rPr>
        <w:t>3</w:t>
      </w:r>
      <w:r w:rsidRPr="009A3926">
        <w:rPr>
          <w:b/>
          <w:bCs/>
        </w:rPr>
        <w:t xml:space="preserve">. </w:t>
      </w:r>
      <w:r>
        <w:rPr>
          <w:b/>
          <w:bCs/>
        </w:rPr>
        <w:t>S</w:t>
      </w:r>
      <w:r w:rsidRPr="009A3926">
        <w:rPr>
          <w:b/>
          <w:bCs/>
        </w:rPr>
        <w:t xml:space="preserve">equence alignment of </w:t>
      </w:r>
      <w:r>
        <w:rPr>
          <w:b/>
          <w:bCs/>
        </w:rPr>
        <w:t>TSR6</w:t>
      </w:r>
      <w:r w:rsidRPr="009A3926">
        <w:rPr>
          <w:b/>
          <w:bCs/>
        </w:rPr>
        <w:t xml:space="preserve"> (A) and M2AP (B)</w:t>
      </w:r>
      <w:r>
        <w:rPr>
          <w:b/>
          <w:bCs/>
        </w:rPr>
        <w:t>.</w:t>
      </w:r>
    </w:p>
    <w:p w14:paraId="25FFFB77" w14:textId="77777777" w:rsidR="00755F7C" w:rsidRDefault="00755F7C" w:rsidP="00755F7C">
      <w:pPr>
        <w:spacing w:line="360" w:lineRule="auto"/>
        <w:jc w:val="both"/>
        <w:sectPr w:rsidR="00755F7C" w:rsidSect="006225FB">
          <w:pgSz w:w="12240" w:h="15840"/>
          <w:pgMar w:top="1440" w:right="1440" w:bottom="1440" w:left="1440" w:header="709" w:footer="709" w:gutter="0"/>
          <w:lnNumType w:countBy="1" w:restart="continuous"/>
          <w:cols w:space="708"/>
          <w:docGrid w:linePitch="360"/>
        </w:sectPr>
      </w:pPr>
      <w:r w:rsidRPr="00DB3E20">
        <w:t xml:space="preserve">Secondary structures of </w:t>
      </w:r>
      <w:r>
        <w:t>tg</w:t>
      </w:r>
      <w:r w:rsidRPr="00DB3E20">
        <w:t xml:space="preserve">TSR6 and </w:t>
      </w:r>
      <w:r>
        <w:t>tg</w:t>
      </w:r>
      <w:r w:rsidRPr="00DB3E20">
        <w:t>M2AP are highlighted on the top of the alignment, respectively.</w:t>
      </w:r>
      <w:r w:rsidRPr="009A3926">
        <w:t xml:space="preserve"> </w:t>
      </w:r>
      <w:r>
        <w:t>Residues involved in direct hydrogen bond interactions are shown as solid star, while other residues within the interface are shown as empty star</w:t>
      </w:r>
      <w:r w:rsidRPr="007F6597">
        <w:t xml:space="preserve">. </w:t>
      </w:r>
      <w:r>
        <w:t xml:space="preserve"> </w:t>
      </w:r>
    </w:p>
    <w:p w14:paraId="685EB994" w14:textId="77777777" w:rsidR="00755F7C" w:rsidRDefault="00755F7C" w:rsidP="00755F7C">
      <w:pPr>
        <w:jc w:val="both"/>
      </w:pPr>
    </w:p>
    <w:p w14:paraId="15024932" w14:textId="77777777" w:rsidR="00755F7C" w:rsidRDefault="00755F7C" w:rsidP="00755F7C">
      <w:pPr>
        <w:jc w:val="both"/>
        <w:rPr>
          <w:b/>
          <w:bCs/>
        </w:rPr>
      </w:pPr>
      <w:r>
        <w:rPr>
          <w:b/>
          <w:bCs/>
          <w:noProof/>
        </w:rPr>
        <w:drawing>
          <wp:inline distT="0" distB="0" distL="0" distR="0" wp14:anchorId="111A59AA" wp14:editId="3AEE835C">
            <wp:extent cx="5422900" cy="4696506"/>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22900" cy="4696506"/>
                    </a:xfrm>
                    <a:prstGeom prst="rect">
                      <a:avLst/>
                    </a:prstGeom>
                  </pic:spPr>
                </pic:pic>
              </a:graphicData>
            </a:graphic>
          </wp:inline>
        </w:drawing>
      </w:r>
    </w:p>
    <w:p w14:paraId="13BEC242" w14:textId="77777777" w:rsidR="00755F7C" w:rsidRDefault="00755F7C" w:rsidP="00755F7C">
      <w:pPr>
        <w:spacing w:line="360" w:lineRule="auto"/>
        <w:jc w:val="both"/>
        <w:rPr>
          <w:b/>
          <w:bCs/>
        </w:rPr>
      </w:pPr>
    </w:p>
    <w:p w14:paraId="182F0F35" w14:textId="77777777" w:rsidR="00755F7C" w:rsidRDefault="00755F7C" w:rsidP="00755F7C">
      <w:pPr>
        <w:spacing w:line="360" w:lineRule="auto"/>
        <w:jc w:val="both"/>
        <w:rPr>
          <w:b/>
          <w:bCs/>
        </w:rPr>
      </w:pPr>
      <w:r>
        <w:rPr>
          <w:b/>
          <w:bCs/>
        </w:rPr>
        <w:t>Figure S4. The predicted AlphaFold complex models and dynamics of Y602.</w:t>
      </w:r>
    </w:p>
    <w:p w14:paraId="606724B1" w14:textId="77777777" w:rsidR="00755F7C" w:rsidRDefault="00755F7C" w:rsidP="00755F7C">
      <w:pPr>
        <w:spacing w:line="360" w:lineRule="auto"/>
        <w:jc w:val="both"/>
      </w:pPr>
      <w:r w:rsidRPr="00DB3E20">
        <w:t xml:space="preserve">A. </w:t>
      </w:r>
      <w:r>
        <w:t>T</w:t>
      </w:r>
      <w:r w:rsidRPr="00DB3E20">
        <w:t xml:space="preserve">he determined </w:t>
      </w:r>
      <w:r>
        <w:t>crystal</w:t>
      </w:r>
      <w:r w:rsidRPr="00DB3E20">
        <w:t xml:space="preserve"> structure</w:t>
      </w:r>
      <w:r>
        <w:t xml:space="preserve"> of MIC2-M2AP complex</w:t>
      </w:r>
      <w:r w:rsidRPr="00DB3E20">
        <w:t xml:space="preserve"> in current study. Two key residues are shown with sticks. B-C. The predicted complex models are superimposed with the crystal structure on M2AP. TSR6</w:t>
      </w:r>
      <w:r>
        <w:t>s</w:t>
      </w:r>
      <w:r w:rsidRPr="00DB3E20">
        <w:t xml:space="preserve"> in models are shown as ribbon and the M2APs are hidden for clarity. In </w:t>
      </w:r>
      <w:r>
        <w:t xml:space="preserve">panel </w:t>
      </w:r>
      <w:r w:rsidRPr="00DB3E20">
        <w:t xml:space="preserve">C all M2APs are hidden to view the positions of </w:t>
      </w:r>
      <w:r>
        <w:t>Tyr-</w:t>
      </w:r>
      <w:r w:rsidRPr="00DB3E20">
        <w:t xml:space="preserve">602 and </w:t>
      </w:r>
      <w:r>
        <w:t>His-</w:t>
      </w:r>
      <w:r w:rsidRPr="00DB3E20">
        <w:t>620.</w:t>
      </w:r>
      <w:r w:rsidRPr="0002190B">
        <w:t xml:space="preserve"> D. Comformational changes around </w:t>
      </w:r>
      <w:r>
        <w:t>Tyr-</w:t>
      </w:r>
      <w:r w:rsidRPr="0002190B">
        <w:t>602 of TSR6 between layered state and flipped-out stat</w:t>
      </w:r>
      <w:r>
        <w:t>e.</w:t>
      </w:r>
    </w:p>
    <w:p w14:paraId="6FF77C3B" w14:textId="77777777" w:rsidR="00755F7C" w:rsidRPr="0002190B" w:rsidRDefault="00755F7C" w:rsidP="00755F7C">
      <w:pPr>
        <w:spacing w:line="360" w:lineRule="auto"/>
        <w:jc w:val="both"/>
        <w:sectPr w:rsidR="00755F7C" w:rsidRPr="0002190B" w:rsidSect="006225FB">
          <w:pgSz w:w="12240" w:h="15840"/>
          <w:pgMar w:top="1440" w:right="1440" w:bottom="1440" w:left="1440" w:header="709" w:footer="709" w:gutter="0"/>
          <w:lnNumType w:countBy="1" w:restart="continuous"/>
          <w:cols w:space="708"/>
          <w:docGrid w:linePitch="360"/>
        </w:sectPr>
      </w:pPr>
    </w:p>
    <w:p w14:paraId="0465CCC9" w14:textId="77777777" w:rsidR="00755F7C" w:rsidRDefault="00755F7C" w:rsidP="00755F7C">
      <w:pPr>
        <w:spacing w:beforeLines="50" w:before="120" w:afterLines="1" w:after="2"/>
        <w:rPr>
          <w:rFonts w:eastAsia="SimSun"/>
          <w:b/>
        </w:rPr>
      </w:pPr>
      <w:r>
        <w:rPr>
          <w:noProof/>
        </w:rPr>
        <w:lastRenderedPageBreak/>
        <w:drawing>
          <wp:anchor distT="0" distB="0" distL="114300" distR="114300" simplePos="0" relativeHeight="251659264" behindDoc="0" locked="0" layoutInCell="1" allowOverlap="1" wp14:anchorId="6B322787" wp14:editId="7E234E57">
            <wp:simplePos x="0" y="0"/>
            <wp:positionH relativeFrom="column">
              <wp:posOffset>-79375</wp:posOffset>
            </wp:positionH>
            <wp:positionV relativeFrom="paragraph">
              <wp:posOffset>377825</wp:posOffset>
            </wp:positionV>
            <wp:extent cx="5798185" cy="6195695"/>
            <wp:effectExtent l="0" t="0" r="5715" b="190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98185" cy="6195695"/>
                    </a:xfrm>
                    <a:prstGeom prst="rect">
                      <a:avLst/>
                    </a:prstGeom>
                  </pic:spPr>
                </pic:pic>
              </a:graphicData>
            </a:graphic>
            <wp14:sizeRelH relativeFrom="page">
              <wp14:pctWidth>0</wp14:pctWidth>
            </wp14:sizeRelH>
            <wp14:sizeRelV relativeFrom="page">
              <wp14:pctHeight>0</wp14:pctHeight>
            </wp14:sizeRelV>
          </wp:anchor>
        </w:drawing>
      </w:r>
      <w:r>
        <w:rPr>
          <w:rFonts w:eastAsia="SimSun" w:hint="eastAsia"/>
          <w:b/>
        </w:rPr>
        <w:t>T</w:t>
      </w:r>
      <w:r>
        <w:rPr>
          <w:rFonts w:eastAsia="SimSun"/>
          <w:b/>
        </w:rPr>
        <w:t>able S</w:t>
      </w:r>
      <w:r w:rsidRPr="00C42FA0">
        <w:rPr>
          <w:rFonts w:eastAsia="SimSun"/>
          <w:b/>
        </w:rPr>
        <w:t>1</w:t>
      </w:r>
      <w:r>
        <w:rPr>
          <w:rFonts w:eastAsia="SimSun"/>
          <w:b/>
        </w:rPr>
        <w:t>. data collection and refinement</w:t>
      </w:r>
      <w:r w:rsidRPr="00C42FA0">
        <w:rPr>
          <w:rFonts w:eastAsia="SimSun"/>
          <w:b/>
        </w:rPr>
        <w:t xml:space="preserve"> </w:t>
      </w:r>
      <w:r>
        <w:rPr>
          <w:rFonts w:eastAsia="SimSun"/>
          <w:b/>
        </w:rPr>
        <w:t xml:space="preserve">statistics </w:t>
      </w:r>
    </w:p>
    <w:p w14:paraId="506DFD7B" w14:textId="77777777" w:rsidR="00755F7C" w:rsidRPr="0030331B" w:rsidRDefault="00755F7C" w:rsidP="00755F7C">
      <w:pPr>
        <w:spacing w:beforeLines="50" w:before="120" w:afterLines="1" w:after="2"/>
        <w:rPr>
          <w:rFonts w:eastAsia="MS Mincho"/>
          <w:sz w:val="20"/>
          <w:szCs w:val="20"/>
          <w:lang w:eastAsia="ja-JP"/>
        </w:rPr>
      </w:pPr>
      <w:r w:rsidRPr="0030331B">
        <w:rPr>
          <w:rFonts w:eastAsia="MS Mincho"/>
          <w:sz w:val="20"/>
          <w:vertAlign w:val="superscript"/>
          <w:lang w:eastAsia="ja-JP"/>
        </w:rPr>
        <w:t>a</w:t>
      </w:r>
      <w:r w:rsidRPr="0030331B">
        <w:rPr>
          <w:rFonts w:eastAsia="MS Mincho"/>
          <w:sz w:val="20"/>
          <w:szCs w:val="20"/>
          <w:lang w:eastAsia="ja-JP"/>
        </w:rPr>
        <w:t>Values for highest resolution shells are given in parentheses.</w:t>
      </w:r>
    </w:p>
    <w:p w14:paraId="26A235F2" w14:textId="77777777" w:rsidR="00755F7C" w:rsidRPr="0030331B" w:rsidRDefault="00755F7C" w:rsidP="00755F7C">
      <w:pPr>
        <w:spacing w:beforeLines="1" w:before="2" w:afterLines="1" w:after="2"/>
        <w:rPr>
          <w:rFonts w:eastAsia="MS Mincho"/>
          <w:sz w:val="20"/>
          <w:szCs w:val="20"/>
          <w:vertAlign w:val="superscript"/>
          <w:lang w:eastAsia="ja-JP"/>
        </w:rPr>
      </w:pPr>
      <w:r w:rsidRPr="0030331B">
        <w:rPr>
          <w:rFonts w:eastAsia="MS Mincho"/>
          <w:sz w:val="20"/>
          <w:szCs w:val="20"/>
          <w:vertAlign w:val="superscript"/>
          <w:lang w:eastAsia="ja-JP"/>
        </w:rPr>
        <w:t>b</w:t>
      </w:r>
      <w:r w:rsidRPr="0030331B">
        <w:rPr>
          <w:rFonts w:eastAsia="MS Mincho"/>
          <w:sz w:val="20"/>
          <w:szCs w:val="20"/>
          <w:lang w:eastAsia="ja-JP"/>
        </w:rPr>
        <w:t>Rmerge = ∑</w:t>
      </w:r>
      <w:r w:rsidRPr="0030331B">
        <w:rPr>
          <w:rFonts w:eastAsia="MS Mincho"/>
          <w:i/>
          <w:sz w:val="20"/>
          <w:szCs w:val="20"/>
          <w:lang w:eastAsia="ja-JP"/>
        </w:rPr>
        <w:t>hkl</w:t>
      </w:r>
      <w:r w:rsidRPr="0030331B">
        <w:rPr>
          <w:rFonts w:eastAsia="MS Mincho"/>
          <w:sz w:val="20"/>
          <w:szCs w:val="20"/>
          <w:lang w:eastAsia="ja-JP"/>
        </w:rPr>
        <w:t>∑</w:t>
      </w:r>
      <w:r w:rsidRPr="0030331B">
        <w:rPr>
          <w:rFonts w:eastAsia="MS Mincho"/>
          <w:sz w:val="20"/>
          <w:szCs w:val="20"/>
          <w:vertAlign w:val="subscript"/>
          <w:lang w:eastAsia="ja-JP"/>
        </w:rPr>
        <w:t>i</w:t>
      </w:r>
      <w:r w:rsidRPr="0030331B">
        <w:rPr>
          <w:rFonts w:eastAsia="MS Mincho"/>
          <w:i/>
          <w:sz w:val="20"/>
          <w:szCs w:val="20"/>
          <w:lang w:eastAsia="ja-JP"/>
        </w:rPr>
        <w:t>|</w:t>
      </w:r>
      <w:r w:rsidRPr="0030331B">
        <w:rPr>
          <w:rFonts w:eastAsia="MS Mincho"/>
          <w:sz w:val="20"/>
          <w:szCs w:val="20"/>
          <w:lang w:eastAsia="ja-JP"/>
        </w:rPr>
        <w:t>I</w:t>
      </w:r>
      <w:r w:rsidRPr="0030331B">
        <w:rPr>
          <w:rFonts w:eastAsia="MS Mincho"/>
          <w:sz w:val="20"/>
          <w:szCs w:val="20"/>
          <w:vertAlign w:val="subscript"/>
          <w:lang w:eastAsia="ja-JP"/>
        </w:rPr>
        <w:t>i</w:t>
      </w:r>
      <w:r w:rsidRPr="0030331B">
        <w:rPr>
          <w:rFonts w:eastAsia="MS Mincho"/>
          <w:sz w:val="20"/>
          <w:szCs w:val="20"/>
          <w:lang w:eastAsia="ja-JP"/>
        </w:rPr>
        <w:t>(</w:t>
      </w:r>
      <w:r w:rsidRPr="0030331B">
        <w:rPr>
          <w:rFonts w:eastAsia="MS Mincho"/>
          <w:i/>
          <w:sz w:val="20"/>
          <w:szCs w:val="20"/>
          <w:lang w:eastAsia="ja-JP"/>
        </w:rPr>
        <w:t>hkl</w:t>
      </w:r>
      <w:r w:rsidRPr="0030331B">
        <w:rPr>
          <w:rFonts w:eastAsia="MS Mincho"/>
          <w:sz w:val="20"/>
          <w:szCs w:val="20"/>
          <w:lang w:eastAsia="ja-JP"/>
        </w:rPr>
        <w:t>) − &lt;I(</w:t>
      </w:r>
      <w:r w:rsidRPr="0030331B">
        <w:rPr>
          <w:rFonts w:eastAsia="MS Mincho"/>
          <w:i/>
          <w:sz w:val="20"/>
          <w:szCs w:val="20"/>
          <w:lang w:eastAsia="ja-JP"/>
        </w:rPr>
        <w:t>hkl</w:t>
      </w:r>
      <w:r w:rsidRPr="0030331B">
        <w:rPr>
          <w:rFonts w:eastAsia="MS Mincho"/>
          <w:sz w:val="20"/>
          <w:szCs w:val="20"/>
          <w:lang w:eastAsia="ja-JP"/>
        </w:rPr>
        <w:t>)</w:t>
      </w:r>
      <w:r w:rsidRPr="0030331B">
        <w:rPr>
          <w:rFonts w:eastAsia="MS Mincho"/>
          <w:i/>
          <w:sz w:val="20"/>
          <w:szCs w:val="20"/>
          <w:lang w:eastAsia="ja-JP"/>
        </w:rPr>
        <w:t>&gt;|</w:t>
      </w:r>
      <w:r w:rsidRPr="0030331B">
        <w:rPr>
          <w:rFonts w:eastAsia="MS Mincho"/>
          <w:sz w:val="20"/>
          <w:szCs w:val="20"/>
          <w:lang w:eastAsia="ja-JP"/>
        </w:rPr>
        <w:t>/∑</w:t>
      </w:r>
      <w:r w:rsidRPr="0030331B">
        <w:rPr>
          <w:rFonts w:eastAsia="MS Mincho"/>
          <w:i/>
          <w:sz w:val="20"/>
          <w:szCs w:val="20"/>
          <w:lang w:eastAsia="ja-JP"/>
        </w:rPr>
        <w:t>hkl</w:t>
      </w:r>
      <w:r w:rsidRPr="0030331B">
        <w:rPr>
          <w:rFonts w:eastAsia="MS Mincho"/>
          <w:sz w:val="20"/>
          <w:szCs w:val="20"/>
          <w:lang w:eastAsia="ja-JP"/>
        </w:rPr>
        <w:t>∑</w:t>
      </w:r>
      <w:r w:rsidRPr="0030331B">
        <w:rPr>
          <w:rFonts w:eastAsia="MS Mincho"/>
          <w:sz w:val="20"/>
          <w:szCs w:val="20"/>
          <w:vertAlign w:val="subscript"/>
          <w:lang w:eastAsia="ja-JP"/>
        </w:rPr>
        <w:t>i</w:t>
      </w:r>
      <w:r w:rsidRPr="0030331B">
        <w:rPr>
          <w:rFonts w:eastAsia="MS Mincho"/>
          <w:i/>
          <w:sz w:val="20"/>
          <w:szCs w:val="20"/>
          <w:lang w:eastAsia="ja-JP"/>
        </w:rPr>
        <w:t>|</w:t>
      </w:r>
      <w:r w:rsidRPr="0030331B">
        <w:rPr>
          <w:rFonts w:eastAsia="MS Mincho"/>
          <w:sz w:val="20"/>
          <w:szCs w:val="20"/>
          <w:lang w:eastAsia="ja-JP"/>
        </w:rPr>
        <w:t>I</w:t>
      </w:r>
      <w:r w:rsidRPr="0030331B">
        <w:rPr>
          <w:rFonts w:eastAsia="MS Mincho"/>
          <w:sz w:val="20"/>
          <w:szCs w:val="20"/>
          <w:vertAlign w:val="subscript"/>
          <w:lang w:eastAsia="ja-JP"/>
        </w:rPr>
        <w:t>i</w:t>
      </w:r>
      <w:r w:rsidRPr="0030331B">
        <w:rPr>
          <w:rFonts w:eastAsia="MS Mincho"/>
          <w:sz w:val="20"/>
          <w:szCs w:val="20"/>
          <w:lang w:eastAsia="ja-JP"/>
        </w:rPr>
        <w:t>(</w:t>
      </w:r>
      <w:r w:rsidRPr="0030331B">
        <w:rPr>
          <w:rFonts w:eastAsia="MS Mincho"/>
          <w:i/>
          <w:sz w:val="20"/>
          <w:szCs w:val="20"/>
          <w:lang w:eastAsia="ja-JP"/>
        </w:rPr>
        <w:t>hkl</w:t>
      </w:r>
      <w:r w:rsidRPr="0030331B">
        <w:rPr>
          <w:rFonts w:eastAsia="MS Mincho"/>
          <w:sz w:val="20"/>
          <w:szCs w:val="20"/>
          <w:lang w:eastAsia="ja-JP"/>
        </w:rPr>
        <w:t>) where I</w:t>
      </w:r>
      <w:r w:rsidRPr="0030331B">
        <w:rPr>
          <w:rFonts w:eastAsia="MS Mincho"/>
          <w:sz w:val="20"/>
          <w:szCs w:val="20"/>
          <w:vertAlign w:val="subscript"/>
          <w:lang w:eastAsia="ja-JP"/>
        </w:rPr>
        <w:t>i</w:t>
      </w:r>
      <w:r w:rsidRPr="0030331B">
        <w:rPr>
          <w:rFonts w:eastAsia="MS Mincho"/>
          <w:i/>
          <w:sz w:val="20"/>
          <w:szCs w:val="20"/>
          <w:lang w:eastAsia="ja-JP"/>
        </w:rPr>
        <w:t xml:space="preserve"> </w:t>
      </w:r>
      <w:r w:rsidRPr="0030331B">
        <w:rPr>
          <w:rFonts w:eastAsia="MS Mincho"/>
          <w:sz w:val="20"/>
          <w:szCs w:val="20"/>
          <w:lang w:eastAsia="ja-JP"/>
        </w:rPr>
        <w:t>(</w:t>
      </w:r>
      <w:r w:rsidRPr="0030331B">
        <w:rPr>
          <w:rFonts w:eastAsia="MS Mincho"/>
          <w:i/>
          <w:sz w:val="20"/>
          <w:szCs w:val="20"/>
          <w:lang w:eastAsia="ja-JP"/>
        </w:rPr>
        <w:t>hkl</w:t>
      </w:r>
      <w:r w:rsidRPr="0030331B">
        <w:rPr>
          <w:rFonts w:eastAsia="MS Mincho"/>
          <w:sz w:val="20"/>
          <w:szCs w:val="20"/>
          <w:lang w:eastAsia="ja-JP"/>
        </w:rPr>
        <w:t>) and &lt;I(</w:t>
      </w:r>
      <w:r w:rsidRPr="0030331B">
        <w:rPr>
          <w:rFonts w:eastAsia="MS Mincho"/>
          <w:i/>
          <w:sz w:val="20"/>
          <w:szCs w:val="20"/>
          <w:lang w:eastAsia="ja-JP"/>
        </w:rPr>
        <w:t>hkl</w:t>
      </w:r>
      <w:r w:rsidRPr="0030331B">
        <w:rPr>
          <w:rFonts w:eastAsia="MS Mincho"/>
          <w:sz w:val="20"/>
          <w:szCs w:val="20"/>
          <w:lang w:eastAsia="ja-JP"/>
        </w:rPr>
        <w:t>)&gt;</w:t>
      </w:r>
      <w:r w:rsidRPr="0030331B">
        <w:rPr>
          <w:rFonts w:eastAsia="MS Mincho"/>
          <w:i/>
          <w:sz w:val="20"/>
          <w:szCs w:val="20"/>
          <w:lang w:eastAsia="ja-JP"/>
        </w:rPr>
        <w:t xml:space="preserve"> </w:t>
      </w:r>
      <w:r w:rsidRPr="0030331B">
        <w:rPr>
          <w:rFonts w:eastAsia="MS Mincho"/>
          <w:sz w:val="20"/>
          <w:szCs w:val="20"/>
          <w:lang w:eastAsia="ja-JP"/>
        </w:rPr>
        <w:t xml:space="preserve">are the i and mean measurement of intensity of reflection </w:t>
      </w:r>
      <w:r w:rsidRPr="0030331B">
        <w:rPr>
          <w:rFonts w:eastAsia="MS Mincho"/>
          <w:i/>
          <w:iCs/>
          <w:sz w:val="20"/>
          <w:szCs w:val="20"/>
          <w:lang w:eastAsia="ja-JP"/>
        </w:rPr>
        <w:t>hkl.</w:t>
      </w:r>
      <w:r w:rsidRPr="0030331B">
        <w:rPr>
          <w:rFonts w:eastAsia="MS Mincho"/>
          <w:i/>
          <w:iCs/>
          <w:color w:val="302828"/>
          <w:sz w:val="20"/>
          <w:szCs w:val="20"/>
          <w:lang w:eastAsia="ja-JP"/>
        </w:rPr>
        <w:br/>
      </w:r>
      <w:r w:rsidRPr="0030331B">
        <w:rPr>
          <w:rFonts w:eastAsia="MS Mincho"/>
          <w:sz w:val="20"/>
          <w:szCs w:val="9"/>
          <w:vertAlign w:val="superscript"/>
          <w:lang w:eastAsia="ja-JP"/>
        </w:rPr>
        <w:t>c</w:t>
      </w:r>
      <w:r w:rsidRPr="0030331B">
        <w:rPr>
          <w:rFonts w:eastAsia="MS Mincho"/>
          <w:sz w:val="20"/>
          <w:szCs w:val="14"/>
          <w:lang w:eastAsia="ja-JP"/>
        </w:rPr>
        <w:t>CC1/2 = Pearson’s correlation coefficient between average intensities of random half data sets for each unique reflection.</w:t>
      </w:r>
    </w:p>
    <w:p w14:paraId="6EAEC9AD" w14:textId="37FC4BB9" w:rsidR="000D4074" w:rsidRDefault="00755F7C" w:rsidP="00755F7C">
      <w:r w:rsidRPr="0030331B">
        <w:rPr>
          <w:rFonts w:eastAsia="MS Mincho"/>
          <w:sz w:val="20"/>
          <w:vertAlign w:val="superscript"/>
          <w:lang w:eastAsia="ja-JP"/>
        </w:rPr>
        <w:t>d</w:t>
      </w:r>
      <w:r w:rsidRPr="0030331B">
        <w:rPr>
          <w:rFonts w:eastAsia="MS Mincho"/>
          <w:sz w:val="20"/>
          <w:lang w:eastAsia="ja-JP"/>
        </w:rPr>
        <w:t>Residues in favored, accepted, and outlier regions of the Ramachandran plot as reported by MOLPROBITY</w:t>
      </w:r>
      <w:r>
        <w:rPr>
          <w:rFonts w:eastAsia="MS Mincho"/>
          <w:sz w:val="20"/>
          <w:lang w:eastAsia="ja-JP"/>
        </w:rPr>
        <w:t>.</w:t>
      </w:r>
    </w:p>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F7C"/>
    <w:rsid w:val="000D4074"/>
    <w:rsid w:val="001E4B73"/>
    <w:rsid w:val="005314AC"/>
    <w:rsid w:val="00755F7C"/>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1A3FE"/>
  <w15:chartTrackingRefBased/>
  <w15:docId w15:val="{501A8D93-B5FE-4F9B-B944-16C8192A1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5F7C"/>
    <w:pPr>
      <w:spacing w:after="0" w:line="240" w:lineRule="auto"/>
    </w:pPr>
    <w:rPr>
      <w:rFonts w:ascii="Times New Roman" w:eastAsia="Times New Roma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755F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331</Words>
  <Characters>1888</Characters>
  <Application>Microsoft Office Word</Application>
  <DocSecurity>0</DocSecurity>
  <Lines>15</Lines>
  <Paragraphs>4</Paragraphs>
  <ScaleCrop>false</ScaleCrop>
  <Company>Springer Nature</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2023-05-24T06:24:00Z</dcterms:created>
  <dcterms:modified xsi:type="dcterms:W3CDTF">2023-05-24T06:25:00Z</dcterms:modified>
</cp:coreProperties>
</file>