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ABDF7" w14:textId="77777777" w:rsidR="006255DB" w:rsidRPr="00230BAC" w:rsidRDefault="008662B1">
      <w:pPr>
        <w:spacing w:beforeLines="50" w:before="156"/>
        <w:rPr>
          <w:b/>
          <w:sz w:val="24"/>
        </w:rPr>
      </w:pPr>
      <w:r w:rsidRPr="00230BAC">
        <w:rPr>
          <w:rFonts w:hint="eastAsia"/>
          <w:b/>
          <w:sz w:val="24"/>
        </w:rPr>
        <w:t>Supplemental Methods</w:t>
      </w:r>
    </w:p>
    <w:p w14:paraId="46F68A04" w14:textId="77777777" w:rsidR="006255DB" w:rsidRPr="00230BAC" w:rsidRDefault="008662B1">
      <w:pPr>
        <w:spacing w:beforeLines="50" w:before="156"/>
        <w:rPr>
          <w:b/>
          <w:sz w:val="24"/>
        </w:rPr>
      </w:pPr>
      <w:r w:rsidRPr="00230BAC">
        <w:rPr>
          <w:rFonts w:hint="eastAsia"/>
          <w:b/>
          <w:sz w:val="24"/>
        </w:rPr>
        <w:t xml:space="preserve">1.1 </w:t>
      </w:r>
      <w:r w:rsidRPr="00230BAC">
        <w:rPr>
          <w:b/>
          <w:sz w:val="24"/>
        </w:rPr>
        <w:t xml:space="preserve">Cell surface marker analysis </w:t>
      </w:r>
    </w:p>
    <w:p w14:paraId="7B199AC2" w14:textId="77777777" w:rsidR="006255DB" w:rsidRPr="00230BAC" w:rsidRDefault="008662B1">
      <w:pPr>
        <w:spacing w:beforeLines="50" w:before="156"/>
        <w:ind w:firstLineChars="200" w:firstLine="480"/>
        <w:rPr>
          <w:sz w:val="24"/>
        </w:rPr>
      </w:pPr>
      <w:r w:rsidRPr="00230BAC">
        <w:rPr>
          <w:sz w:val="24"/>
        </w:rPr>
        <w:t xml:space="preserve">Using </w:t>
      </w:r>
      <w:proofErr w:type="spellStart"/>
      <w:r w:rsidRPr="00230BAC">
        <w:rPr>
          <w:sz w:val="24"/>
        </w:rPr>
        <w:t>hUC</w:t>
      </w:r>
      <w:proofErr w:type="spellEnd"/>
      <w:r w:rsidRPr="00230BAC">
        <w:rPr>
          <w:sz w:val="24"/>
        </w:rPr>
        <w:t xml:space="preserve">-MSCs at passage 4, flow cytometry was conducted using a </w:t>
      </w:r>
      <w:proofErr w:type="spellStart"/>
      <w:r w:rsidRPr="00230BAC">
        <w:rPr>
          <w:sz w:val="24"/>
        </w:rPr>
        <w:t>Gallios</w:t>
      </w:r>
      <w:proofErr w:type="spellEnd"/>
      <w:r w:rsidRPr="00230BAC">
        <w:rPr>
          <w:sz w:val="24"/>
        </w:rPr>
        <w:t xml:space="preserve"> Flow Cytometer (Beckman Coulter, Fullerton, CA, USA) to assess the cell surface markers. The cells were washed with precooled PBS followed by staining with the following mouse antibo</w:t>
      </w:r>
      <w:r w:rsidRPr="00230BAC">
        <w:rPr>
          <w:sz w:val="24"/>
        </w:rPr>
        <w:t>dies: allophycocyanin (APC)-conjugated anti-CD29 (</w:t>
      </w:r>
      <w:proofErr w:type="spellStart"/>
      <w:r w:rsidRPr="00230BAC">
        <w:rPr>
          <w:sz w:val="24"/>
        </w:rPr>
        <w:t>Miltenyi</w:t>
      </w:r>
      <w:proofErr w:type="spellEnd"/>
      <w:r w:rsidRPr="00230BAC">
        <w:rPr>
          <w:sz w:val="24"/>
        </w:rPr>
        <w:t xml:space="preserve">, </w:t>
      </w:r>
      <w:proofErr w:type="spellStart"/>
      <w:r w:rsidRPr="00230BAC">
        <w:rPr>
          <w:sz w:val="24"/>
        </w:rPr>
        <w:t>Bergisch</w:t>
      </w:r>
      <w:proofErr w:type="spellEnd"/>
      <w:r w:rsidRPr="00230BAC">
        <w:rPr>
          <w:sz w:val="24"/>
        </w:rPr>
        <w:t xml:space="preserve"> </w:t>
      </w:r>
      <w:proofErr w:type="spellStart"/>
      <w:r w:rsidRPr="00230BAC">
        <w:rPr>
          <w:sz w:val="24"/>
        </w:rPr>
        <w:t>Gladbach</w:t>
      </w:r>
      <w:proofErr w:type="spellEnd"/>
      <w:r w:rsidRPr="00230BAC">
        <w:rPr>
          <w:sz w:val="24"/>
        </w:rPr>
        <w:t xml:space="preserve">, </w:t>
      </w:r>
      <w:hyperlink r:id="rId7" w:anchor="/javascript:;" w:history="1">
        <w:r w:rsidRPr="00230BAC">
          <w:rPr>
            <w:rStyle w:val="Hyperlink"/>
            <w:color w:val="auto"/>
            <w:sz w:val="24"/>
            <w:u w:val="none"/>
            <w:shd w:val="clear" w:color="auto" w:fill="FFFFFF"/>
          </w:rPr>
          <w:t>Germany</w:t>
        </w:r>
      </w:hyperlink>
      <w:r w:rsidRPr="00230BAC">
        <w:rPr>
          <w:sz w:val="24"/>
        </w:rPr>
        <w:t>), phycoerythrin (PE)-conjugated anti-CD73 (</w:t>
      </w:r>
      <w:proofErr w:type="spellStart"/>
      <w:r w:rsidRPr="00230BAC">
        <w:rPr>
          <w:sz w:val="24"/>
        </w:rPr>
        <w:t>Mi</w:t>
      </w:r>
      <w:r w:rsidRPr="00230BAC">
        <w:rPr>
          <w:sz w:val="24"/>
        </w:rPr>
        <w:t>ltenyi</w:t>
      </w:r>
      <w:proofErr w:type="spellEnd"/>
      <w:r w:rsidRPr="00230BAC">
        <w:rPr>
          <w:sz w:val="24"/>
        </w:rPr>
        <w:t>), fluorescein isothiocyanate (FITC)-conjugated anti-CD105 (</w:t>
      </w:r>
      <w:proofErr w:type="spellStart"/>
      <w:r w:rsidRPr="00230BAC">
        <w:rPr>
          <w:sz w:val="24"/>
        </w:rPr>
        <w:t>Biolegend</w:t>
      </w:r>
      <w:proofErr w:type="spellEnd"/>
      <w:r w:rsidRPr="00230BAC">
        <w:rPr>
          <w:sz w:val="24"/>
        </w:rPr>
        <w:t xml:space="preserve">, </w:t>
      </w:r>
      <w:r w:rsidRPr="00230BAC">
        <w:rPr>
          <w:sz w:val="24"/>
          <w:shd w:val="clear" w:color="auto" w:fill="FFFFFF"/>
        </w:rPr>
        <w:t>San Diego,</w:t>
      </w:r>
      <w:r w:rsidRPr="00230BAC">
        <w:rPr>
          <w:sz w:val="24"/>
        </w:rPr>
        <w:t xml:space="preserve"> CA, USA), PE-conjugated anti-CD31 (</w:t>
      </w:r>
      <w:proofErr w:type="spellStart"/>
      <w:r w:rsidRPr="00230BAC">
        <w:rPr>
          <w:sz w:val="24"/>
        </w:rPr>
        <w:t>eBioscience</w:t>
      </w:r>
      <w:proofErr w:type="spellEnd"/>
      <w:r w:rsidRPr="00230BAC">
        <w:rPr>
          <w:sz w:val="24"/>
        </w:rPr>
        <w:t xml:space="preserve">, </w:t>
      </w:r>
      <w:r w:rsidRPr="00230BAC">
        <w:rPr>
          <w:sz w:val="24"/>
          <w:shd w:val="clear" w:color="auto" w:fill="FFFFFF"/>
        </w:rPr>
        <w:t xml:space="preserve">San Diego, </w:t>
      </w:r>
      <w:r w:rsidRPr="00230BAC">
        <w:rPr>
          <w:sz w:val="24"/>
        </w:rPr>
        <w:t>CA, USA), PE-conjugated anti-CD34 (</w:t>
      </w:r>
      <w:proofErr w:type="spellStart"/>
      <w:r w:rsidRPr="00230BAC">
        <w:rPr>
          <w:sz w:val="24"/>
        </w:rPr>
        <w:t>eBioscience</w:t>
      </w:r>
      <w:proofErr w:type="spellEnd"/>
      <w:r w:rsidRPr="00230BAC">
        <w:rPr>
          <w:sz w:val="24"/>
        </w:rPr>
        <w:t>) and APC-conjugated anti-HLA-DR (</w:t>
      </w:r>
      <w:proofErr w:type="spellStart"/>
      <w:r w:rsidRPr="00230BAC">
        <w:rPr>
          <w:sz w:val="24"/>
        </w:rPr>
        <w:t>Miltenyi</w:t>
      </w:r>
      <w:proofErr w:type="spellEnd"/>
      <w:r w:rsidRPr="00230BAC">
        <w:rPr>
          <w:sz w:val="24"/>
        </w:rPr>
        <w:t xml:space="preserve">). </w:t>
      </w:r>
      <w:proofErr w:type="spellStart"/>
      <w:r w:rsidRPr="00230BAC">
        <w:rPr>
          <w:bCs/>
          <w:sz w:val="24"/>
          <w:shd w:val="clear" w:color="auto" w:fill="FFFFFF"/>
        </w:rPr>
        <w:t>Kaluza</w:t>
      </w:r>
      <w:proofErr w:type="spellEnd"/>
      <w:r w:rsidRPr="00230BAC">
        <w:rPr>
          <w:bCs/>
          <w:sz w:val="24"/>
          <w:shd w:val="clear" w:color="auto" w:fill="FFFFFF"/>
        </w:rPr>
        <w:t xml:space="preserve"> 1.2 cytomet</w:t>
      </w:r>
      <w:r w:rsidRPr="00230BAC">
        <w:rPr>
          <w:bCs/>
          <w:sz w:val="24"/>
          <w:shd w:val="clear" w:color="auto" w:fill="FFFFFF"/>
        </w:rPr>
        <w:t>ry software (</w:t>
      </w:r>
      <w:r w:rsidRPr="00230BAC">
        <w:rPr>
          <w:sz w:val="24"/>
        </w:rPr>
        <w:t>Beckman Coulter) was</w:t>
      </w:r>
      <w:r w:rsidRPr="00230BAC">
        <w:rPr>
          <w:bCs/>
          <w:sz w:val="24"/>
          <w:shd w:val="clear" w:color="auto" w:fill="FFFFFF"/>
        </w:rPr>
        <w:t xml:space="preserve"> used for the </w:t>
      </w:r>
      <w:proofErr w:type="spellStart"/>
      <w:r w:rsidRPr="00230BAC">
        <w:rPr>
          <w:bCs/>
          <w:sz w:val="24"/>
          <w:shd w:val="clear" w:color="auto" w:fill="FFFFFF"/>
        </w:rPr>
        <w:t>hUC</w:t>
      </w:r>
      <w:proofErr w:type="spellEnd"/>
      <w:r w:rsidRPr="00230BAC">
        <w:rPr>
          <w:bCs/>
          <w:sz w:val="24"/>
          <w:shd w:val="clear" w:color="auto" w:fill="FFFFFF"/>
        </w:rPr>
        <w:t>-MSC c</w:t>
      </w:r>
      <w:r w:rsidRPr="00230BAC">
        <w:rPr>
          <w:bCs/>
          <w:sz w:val="24"/>
        </w:rPr>
        <w:t>ell surface marker analysis.</w:t>
      </w:r>
    </w:p>
    <w:p w14:paraId="2053067B" w14:textId="77777777" w:rsidR="006255DB" w:rsidRPr="00230BAC" w:rsidRDefault="008662B1">
      <w:pPr>
        <w:spacing w:beforeLines="50" w:before="156"/>
        <w:rPr>
          <w:b/>
          <w:sz w:val="24"/>
        </w:rPr>
      </w:pPr>
      <w:r w:rsidRPr="00230BAC">
        <w:rPr>
          <w:rFonts w:hint="eastAsia"/>
          <w:b/>
          <w:sz w:val="24"/>
        </w:rPr>
        <w:t xml:space="preserve">1.2 </w:t>
      </w:r>
      <w:r w:rsidRPr="00230BAC">
        <w:rPr>
          <w:b/>
          <w:sz w:val="24"/>
        </w:rPr>
        <w:t>Cell differentiation</w:t>
      </w:r>
    </w:p>
    <w:p w14:paraId="2C2C55DB" w14:textId="77777777" w:rsidR="006255DB" w:rsidRPr="00230BAC" w:rsidRDefault="008662B1">
      <w:pPr>
        <w:spacing w:beforeLines="50" w:before="156"/>
        <w:ind w:firstLineChars="200" w:firstLine="480"/>
        <w:rPr>
          <w:sz w:val="24"/>
        </w:rPr>
      </w:pPr>
      <w:r w:rsidRPr="00230BAC">
        <w:rPr>
          <w:sz w:val="24"/>
        </w:rPr>
        <w:t xml:space="preserve">The differentiation potential of </w:t>
      </w:r>
      <w:proofErr w:type="spellStart"/>
      <w:r w:rsidRPr="00230BAC">
        <w:rPr>
          <w:sz w:val="24"/>
        </w:rPr>
        <w:t>hUC</w:t>
      </w:r>
      <w:proofErr w:type="spellEnd"/>
      <w:r w:rsidRPr="00230BAC">
        <w:rPr>
          <w:sz w:val="24"/>
        </w:rPr>
        <w:t xml:space="preserve">-MSC cultures, regarding chondrocyte and adipocyte lineages, was assessed using a </w:t>
      </w:r>
      <w:proofErr w:type="spellStart"/>
      <w:r w:rsidRPr="00230BAC">
        <w:rPr>
          <w:sz w:val="24"/>
        </w:rPr>
        <w:t>StemPro</w:t>
      </w:r>
      <w:proofErr w:type="spellEnd"/>
      <w:r w:rsidRPr="00230BAC">
        <w:rPr>
          <w:sz w:val="24"/>
          <w:vertAlign w:val="superscript"/>
        </w:rPr>
        <w:t>®</w:t>
      </w:r>
      <w:r w:rsidRPr="00230BAC">
        <w:rPr>
          <w:sz w:val="24"/>
        </w:rPr>
        <w:t xml:space="preserve"> Chondrogenesis Diff</w:t>
      </w:r>
      <w:r w:rsidRPr="00230BAC">
        <w:rPr>
          <w:sz w:val="24"/>
        </w:rPr>
        <w:t>erentiation Kit (Gibco) and Preadipocyte Differentiation Medium (</w:t>
      </w:r>
      <w:proofErr w:type="spellStart"/>
      <w:r w:rsidRPr="00230BAC">
        <w:rPr>
          <w:sz w:val="24"/>
        </w:rPr>
        <w:t>ScienCell</w:t>
      </w:r>
      <w:proofErr w:type="spellEnd"/>
      <w:r w:rsidRPr="00230BAC">
        <w:rPr>
          <w:sz w:val="24"/>
        </w:rPr>
        <w:t xml:space="preserve">, </w:t>
      </w:r>
      <w:r w:rsidRPr="00230BAC">
        <w:rPr>
          <w:sz w:val="24"/>
          <w:shd w:val="clear" w:color="auto" w:fill="FFFFFF"/>
        </w:rPr>
        <w:t>San Diego,</w:t>
      </w:r>
      <w:r w:rsidRPr="00230BAC">
        <w:rPr>
          <w:sz w:val="24"/>
        </w:rPr>
        <w:t xml:space="preserve"> CA, USA) according to the manufacturers’ instructions. Briefly, at 70–80% confluency, </w:t>
      </w:r>
      <w:proofErr w:type="spellStart"/>
      <w:r w:rsidRPr="00230BAC">
        <w:rPr>
          <w:sz w:val="24"/>
        </w:rPr>
        <w:t>hUC</w:t>
      </w:r>
      <w:proofErr w:type="spellEnd"/>
      <w:r w:rsidRPr="00230BAC">
        <w:rPr>
          <w:sz w:val="24"/>
        </w:rPr>
        <w:t>-MSCs were incubated in prewarmed complete differentiation medium with supplemen</w:t>
      </w:r>
      <w:r w:rsidRPr="00230BAC">
        <w:rPr>
          <w:sz w:val="24"/>
        </w:rPr>
        <w:t xml:space="preserve">ts. The differentiation medium was changed every 3 days. After 21 days under differentiation conditions, the cells were washed with 1x PBS (Gibco) and then fixed with 4% paraformaldehyde for 30 min at </w:t>
      </w:r>
      <w:bookmarkStart w:id="0" w:name="_Hlk38576143"/>
      <w:r w:rsidRPr="00230BAC">
        <w:rPr>
          <w:sz w:val="24"/>
        </w:rPr>
        <w:t>room temperature (RT</w:t>
      </w:r>
      <w:r w:rsidRPr="00230BAC">
        <w:rPr>
          <w:rStyle w:val="CommentReference"/>
          <w:sz w:val="24"/>
          <w:szCs w:val="24"/>
        </w:rPr>
        <w:t>)</w:t>
      </w:r>
      <w:bookmarkEnd w:id="0"/>
      <w:r w:rsidRPr="00230BAC">
        <w:rPr>
          <w:sz w:val="24"/>
        </w:rPr>
        <w:t xml:space="preserve">. After rinsing with 1x PBS (Gibco), the cells were stained with Oil Red O (Sigma-Aldrich, </w:t>
      </w:r>
      <w:r w:rsidRPr="00230BAC">
        <w:rPr>
          <w:sz w:val="24"/>
          <w:shd w:val="clear" w:color="auto" w:fill="FFFFFF"/>
        </w:rPr>
        <w:t xml:space="preserve">Saint Louis, </w:t>
      </w:r>
      <w:r w:rsidRPr="00230BAC">
        <w:rPr>
          <w:sz w:val="24"/>
        </w:rPr>
        <w:t xml:space="preserve">MO, USA, for adipocytes) and </w:t>
      </w:r>
      <w:proofErr w:type="spellStart"/>
      <w:r w:rsidRPr="00230BAC">
        <w:rPr>
          <w:sz w:val="24"/>
        </w:rPr>
        <w:t>Alcian</w:t>
      </w:r>
      <w:proofErr w:type="spellEnd"/>
      <w:r w:rsidRPr="00230BAC">
        <w:rPr>
          <w:sz w:val="24"/>
        </w:rPr>
        <w:t xml:space="preserve"> blue (</w:t>
      </w:r>
      <w:proofErr w:type="spellStart"/>
      <w:r w:rsidRPr="00230BAC">
        <w:rPr>
          <w:sz w:val="24"/>
        </w:rPr>
        <w:t>Servicebio</w:t>
      </w:r>
      <w:proofErr w:type="spellEnd"/>
      <w:r w:rsidRPr="00230BAC">
        <w:rPr>
          <w:sz w:val="24"/>
        </w:rPr>
        <w:t>, Wuhan, China, for chondrocytes) according to the manufacturers’ guidelines.</w:t>
      </w:r>
    </w:p>
    <w:p w14:paraId="3BE67CBD" w14:textId="77777777" w:rsidR="006255DB" w:rsidRPr="00230BAC" w:rsidRDefault="008662B1">
      <w:pPr>
        <w:autoSpaceDE w:val="0"/>
        <w:autoSpaceDN w:val="0"/>
        <w:adjustRightInd w:val="0"/>
        <w:spacing w:beforeLines="50" w:before="156"/>
        <w:jc w:val="left"/>
        <w:rPr>
          <w:b/>
          <w:bCs/>
          <w:kern w:val="0"/>
          <w:sz w:val="24"/>
        </w:rPr>
      </w:pPr>
      <w:r w:rsidRPr="00230BAC">
        <w:rPr>
          <w:b/>
          <w:bCs/>
          <w:kern w:val="0"/>
          <w:sz w:val="24"/>
        </w:rPr>
        <w:br w:type="page"/>
      </w:r>
      <w:r w:rsidRPr="00230BAC">
        <w:rPr>
          <w:b/>
          <w:bCs/>
          <w:kern w:val="0"/>
          <w:sz w:val="24"/>
        </w:rPr>
        <w:lastRenderedPageBreak/>
        <w:t>Additional Files</w:t>
      </w:r>
    </w:p>
    <w:p w14:paraId="144C31C2" w14:textId="77777777" w:rsidR="006255DB" w:rsidRPr="00230BAC" w:rsidRDefault="008662B1">
      <w:pPr>
        <w:spacing w:beforeLines="50" w:before="156"/>
        <w:rPr>
          <w:sz w:val="24"/>
        </w:rPr>
      </w:pPr>
      <w:r w:rsidRPr="00230BAC">
        <w:rPr>
          <w:b/>
          <w:bCs/>
          <w:kern w:val="0"/>
          <w:sz w:val="24"/>
        </w:rPr>
        <w:t>Figu</w:t>
      </w:r>
      <w:r w:rsidRPr="00230BAC">
        <w:rPr>
          <w:b/>
          <w:bCs/>
          <w:kern w:val="0"/>
          <w:sz w:val="24"/>
        </w:rPr>
        <w:t xml:space="preserve">re S1 </w:t>
      </w:r>
      <w:r w:rsidRPr="00230BAC">
        <w:rPr>
          <w:b/>
          <w:sz w:val="24"/>
        </w:rPr>
        <w:t xml:space="preserve">Characterization of </w:t>
      </w:r>
      <w:proofErr w:type="spellStart"/>
      <w:r w:rsidRPr="00230BAC">
        <w:rPr>
          <w:b/>
          <w:sz w:val="24"/>
        </w:rPr>
        <w:t>hUC</w:t>
      </w:r>
      <w:proofErr w:type="spellEnd"/>
      <w:r w:rsidRPr="00230BAC">
        <w:rPr>
          <w:b/>
          <w:sz w:val="24"/>
        </w:rPr>
        <w:t xml:space="preserve">-MSCs from preterm and term umbilical cords. </w:t>
      </w:r>
      <w:r w:rsidRPr="00230BAC">
        <w:rPr>
          <w:sz w:val="24"/>
        </w:rPr>
        <w:t xml:space="preserve">(A) </w:t>
      </w:r>
      <w:proofErr w:type="spellStart"/>
      <w:r w:rsidRPr="00230BAC">
        <w:rPr>
          <w:sz w:val="24"/>
        </w:rPr>
        <w:t>hUC</w:t>
      </w:r>
      <w:proofErr w:type="spellEnd"/>
      <w:r w:rsidRPr="00230BAC">
        <w:rPr>
          <w:sz w:val="24"/>
        </w:rPr>
        <w:t>-MSCs from preterm and term umbilical cords exhibited a fibroblast phenotype in culture. Adipogenesis capacity was confirmed by oil red O staining, and chondrocytes were evalu</w:t>
      </w:r>
      <w:r w:rsidRPr="00230BAC">
        <w:rPr>
          <w:sz w:val="24"/>
        </w:rPr>
        <w:t xml:space="preserve">ated by </w:t>
      </w:r>
      <w:proofErr w:type="spellStart"/>
      <w:r w:rsidRPr="00230BAC">
        <w:rPr>
          <w:sz w:val="24"/>
        </w:rPr>
        <w:t>Alcian</w:t>
      </w:r>
      <w:proofErr w:type="spellEnd"/>
      <w:r w:rsidRPr="00230BAC">
        <w:rPr>
          <w:sz w:val="24"/>
        </w:rPr>
        <w:t xml:space="preserve"> blue staining after differentiation. (B) Flow cytometry was used to detect the expression of positive markers (CD29, CD73, CD105) and negative markers (CD31, CD34 and HLA-DR) on </w:t>
      </w:r>
      <w:proofErr w:type="spellStart"/>
      <w:r w:rsidRPr="00230BAC">
        <w:rPr>
          <w:sz w:val="24"/>
        </w:rPr>
        <w:t>hUC</w:t>
      </w:r>
      <w:proofErr w:type="spellEnd"/>
      <w:r w:rsidRPr="00230BAC">
        <w:rPr>
          <w:sz w:val="24"/>
        </w:rPr>
        <w:t>-MSCs.</w:t>
      </w:r>
    </w:p>
    <w:p w14:paraId="4A1DA3D0" w14:textId="77777777" w:rsidR="006255DB" w:rsidRPr="00230BAC" w:rsidRDefault="008662B1">
      <w:pPr>
        <w:spacing w:beforeLines="50" w:before="156"/>
        <w:rPr>
          <w:sz w:val="24"/>
        </w:rPr>
      </w:pPr>
      <w:r w:rsidRPr="00230BAC">
        <w:rPr>
          <w:b/>
          <w:bCs/>
          <w:kern w:val="0"/>
          <w:sz w:val="24"/>
        </w:rPr>
        <w:t>Figure S</w:t>
      </w:r>
      <w:r w:rsidRPr="00230BAC">
        <w:rPr>
          <w:rFonts w:hint="eastAsia"/>
          <w:b/>
          <w:bCs/>
          <w:kern w:val="0"/>
          <w:sz w:val="24"/>
        </w:rPr>
        <w:t>2</w:t>
      </w:r>
      <w:r w:rsidRPr="00230BAC">
        <w:rPr>
          <w:rFonts w:hint="eastAsia"/>
          <w:b/>
          <w:bCs/>
          <w:kern w:val="0"/>
          <w:sz w:val="24"/>
        </w:rPr>
        <w:t xml:space="preserve"> </w:t>
      </w:r>
      <w:r w:rsidRPr="00230BAC">
        <w:rPr>
          <w:rFonts w:eastAsia="Lato-Bold"/>
          <w:b/>
          <w:bCs/>
          <w:sz w:val="24"/>
        </w:rPr>
        <w:t>Identification</w:t>
      </w:r>
      <w:bookmarkStart w:id="1" w:name="_GoBack"/>
      <w:bookmarkEnd w:id="1"/>
      <w:r w:rsidRPr="00230BAC">
        <w:rPr>
          <w:rFonts w:eastAsia="Lato-Bold"/>
          <w:b/>
          <w:bCs/>
          <w:sz w:val="24"/>
        </w:rPr>
        <w:t xml:space="preserve"> of</w:t>
      </w:r>
      <w:r w:rsidRPr="00230BAC">
        <w:rPr>
          <w:b/>
          <w:bCs/>
          <w:sz w:val="24"/>
        </w:rPr>
        <w:t xml:space="preserve"> </w:t>
      </w:r>
      <w:r w:rsidRPr="00230BAC">
        <w:rPr>
          <w:rFonts w:eastAsia="RsbjcyAdvTT86d47313"/>
          <w:b/>
          <w:bCs/>
          <w:sz w:val="24"/>
        </w:rPr>
        <w:t xml:space="preserve">protein integrity </w:t>
      </w:r>
      <w:r w:rsidRPr="00230BAC">
        <w:rPr>
          <w:b/>
          <w:bCs/>
          <w:sz w:val="24"/>
        </w:rPr>
        <w:t xml:space="preserve">of </w:t>
      </w:r>
      <w:proofErr w:type="spellStart"/>
      <w:r w:rsidRPr="00230BAC">
        <w:rPr>
          <w:b/>
          <w:bCs/>
          <w:sz w:val="24"/>
        </w:rPr>
        <w:t>hUC</w:t>
      </w:r>
      <w:proofErr w:type="spellEnd"/>
      <w:r w:rsidRPr="00230BAC">
        <w:rPr>
          <w:b/>
          <w:bCs/>
          <w:sz w:val="24"/>
        </w:rPr>
        <w:t>-</w:t>
      </w:r>
      <w:r w:rsidRPr="00230BAC">
        <w:rPr>
          <w:b/>
          <w:bCs/>
          <w:sz w:val="24"/>
        </w:rPr>
        <w:t>MSC CM from preterm and term infants by s</w:t>
      </w:r>
      <w:r w:rsidRPr="00230BAC">
        <w:rPr>
          <w:rFonts w:eastAsia="TimesNewRomanPSMT"/>
          <w:b/>
          <w:bCs/>
          <w:sz w:val="24"/>
        </w:rPr>
        <w:t xml:space="preserve">ilver </w:t>
      </w:r>
      <w:r w:rsidRPr="00230BAC">
        <w:rPr>
          <w:b/>
          <w:bCs/>
          <w:sz w:val="24"/>
        </w:rPr>
        <w:t>s</w:t>
      </w:r>
      <w:r w:rsidRPr="00230BAC">
        <w:rPr>
          <w:rFonts w:eastAsia="TimesNewRomanPSMT"/>
          <w:b/>
          <w:bCs/>
          <w:sz w:val="24"/>
        </w:rPr>
        <w:t>tain</w:t>
      </w:r>
      <w:r w:rsidRPr="00230BAC">
        <w:rPr>
          <w:b/>
          <w:bCs/>
          <w:sz w:val="24"/>
        </w:rPr>
        <w:t xml:space="preserve">ing. </w:t>
      </w:r>
      <w:r w:rsidRPr="00230BAC">
        <w:rPr>
          <w:sz w:val="24"/>
        </w:rPr>
        <w:t>T</w:t>
      </w:r>
      <w:r w:rsidRPr="00230BAC">
        <w:rPr>
          <w:rFonts w:eastAsia="Cambria"/>
          <w:sz w:val="24"/>
        </w:rPr>
        <w:t xml:space="preserve">he </w:t>
      </w:r>
      <w:r w:rsidRPr="00230BAC">
        <w:rPr>
          <w:rFonts w:eastAsia="RsbjcyAdvTT86d47313"/>
          <w:sz w:val="24"/>
        </w:rPr>
        <w:t xml:space="preserve">protein integrity </w:t>
      </w:r>
      <w:r w:rsidRPr="00230BAC">
        <w:rPr>
          <w:sz w:val="24"/>
        </w:rPr>
        <w:t xml:space="preserve">of </w:t>
      </w:r>
      <w:proofErr w:type="spellStart"/>
      <w:r w:rsidRPr="00230BAC">
        <w:rPr>
          <w:sz w:val="24"/>
        </w:rPr>
        <w:t>hUC</w:t>
      </w:r>
      <w:proofErr w:type="spellEnd"/>
      <w:r w:rsidRPr="00230BAC">
        <w:rPr>
          <w:sz w:val="24"/>
        </w:rPr>
        <w:t xml:space="preserve">-MSC CM was </w:t>
      </w:r>
      <w:r w:rsidRPr="00230BAC">
        <w:rPr>
          <w:sz w:val="24"/>
        </w:rPr>
        <w:t xml:space="preserve">visualized by </w:t>
      </w:r>
      <w:r w:rsidRPr="00230BAC">
        <w:rPr>
          <w:rFonts w:eastAsia="SgppdbAdvTT86d47313"/>
          <w:sz w:val="24"/>
        </w:rPr>
        <w:t>SDS-PAGE</w:t>
      </w:r>
      <w:r w:rsidRPr="00230BAC">
        <w:rPr>
          <w:sz w:val="24"/>
        </w:rPr>
        <w:t xml:space="preserve"> and </w:t>
      </w:r>
      <w:r w:rsidRPr="00230BAC">
        <w:rPr>
          <w:sz w:val="24"/>
        </w:rPr>
        <w:t>s</w:t>
      </w:r>
      <w:r w:rsidRPr="00230BAC">
        <w:rPr>
          <w:rFonts w:eastAsia="TimesNewRomanPSMT"/>
          <w:sz w:val="24"/>
        </w:rPr>
        <w:t xml:space="preserve">ilver </w:t>
      </w:r>
      <w:r w:rsidRPr="00230BAC">
        <w:rPr>
          <w:sz w:val="24"/>
        </w:rPr>
        <w:t>s</w:t>
      </w:r>
      <w:r w:rsidRPr="00230BAC">
        <w:rPr>
          <w:rFonts w:eastAsia="TimesNewRomanPSMT"/>
          <w:sz w:val="24"/>
        </w:rPr>
        <w:t>tain</w:t>
      </w:r>
      <w:r w:rsidRPr="00230BAC">
        <w:rPr>
          <w:sz w:val="24"/>
        </w:rPr>
        <w:t xml:space="preserve">ing </w:t>
      </w:r>
      <w:r w:rsidRPr="00230BAC">
        <w:rPr>
          <w:sz w:val="24"/>
        </w:rPr>
        <w:t xml:space="preserve">(n=3 per group, P1-3 represent </w:t>
      </w:r>
      <w:r w:rsidRPr="00230BAC">
        <w:rPr>
          <w:rFonts w:eastAsia="MinionPro-Regular"/>
          <w:sz w:val="24"/>
        </w:rPr>
        <w:t>preterm</w:t>
      </w:r>
      <w:r w:rsidRPr="00230BAC">
        <w:rPr>
          <w:sz w:val="24"/>
        </w:rPr>
        <w:t xml:space="preserve"> i</w:t>
      </w:r>
      <w:r w:rsidRPr="00230BAC">
        <w:rPr>
          <w:rFonts w:eastAsia="MinionPro-Regular"/>
          <w:sz w:val="24"/>
        </w:rPr>
        <w:t>nfants</w:t>
      </w:r>
      <w:r w:rsidRPr="00230BAC">
        <w:rPr>
          <w:sz w:val="24"/>
        </w:rPr>
        <w:t xml:space="preserve"> and T1-3 </w:t>
      </w:r>
      <w:r w:rsidRPr="00230BAC">
        <w:rPr>
          <w:rFonts w:eastAsia="MinionPro-Regular"/>
          <w:sz w:val="24"/>
        </w:rPr>
        <w:t>term</w:t>
      </w:r>
      <w:r w:rsidRPr="00230BAC">
        <w:rPr>
          <w:sz w:val="24"/>
        </w:rPr>
        <w:t xml:space="preserve"> represent </w:t>
      </w:r>
      <w:r w:rsidRPr="00230BAC">
        <w:rPr>
          <w:rFonts w:eastAsia="MinionPro-Regular"/>
          <w:sz w:val="24"/>
        </w:rPr>
        <w:t>term</w:t>
      </w:r>
      <w:r w:rsidRPr="00230BAC">
        <w:rPr>
          <w:sz w:val="24"/>
        </w:rPr>
        <w:t xml:space="preserve"> infants).</w:t>
      </w:r>
    </w:p>
    <w:p w14:paraId="6E222F36" w14:textId="77777777" w:rsidR="006255DB" w:rsidRPr="00230BAC" w:rsidRDefault="008662B1">
      <w:pPr>
        <w:spacing w:beforeLines="50" w:before="156"/>
        <w:rPr>
          <w:b/>
          <w:bCs/>
          <w:sz w:val="24"/>
        </w:rPr>
      </w:pPr>
      <w:r w:rsidRPr="00230BAC">
        <w:rPr>
          <w:b/>
          <w:bCs/>
          <w:kern w:val="0"/>
          <w:sz w:val="24"/>
          <w:lang w:bidi="ar"/>
        </w:rPr>
        <w:t xml:space="preserve">Table S1 Putative precursor </w:t>
      </w:r>
      <w:r w:rsidRPr="00230BAC">
        <w:rPr>
          <w:b/>
          <w:bCs/>
          <w:kern w:val="0"/>
          <w:sz w:val="24"/>
          <w:lang w:bidi="ar"/>
        </w:rPr>
        <w:t>proteins associated with diseases.</w:t>
      </w:r>
    </w:p>
    <w:p w14:paraId="307A23DA" w14:textId="77777777" w:rsidR="006255DB" w:rsidRPr="00230BAC" w:rsidRDefault="008662B1">
      <w:pPr>
        <w:spacing w:beforeLines="50" w:before="156"/>
        <w:rPr>
          <w:b/>
          <w:bCs/>
          <w:kern w:val="0"/>
          <w:sz w:val="24"/>
          <w:lang w:bidi="ar"/>
        </w:rPr>
      </w:pPr>
      <w:r w:rsidRPr="00230BAC">
        <w:rPr>
          <w:b/>
          <w:bCs/>
          <w:kern w:val="0"/>
          <w:sz w:val="24"/>
          <w:lang w:bidi="ar"/>
        </w:rPr>
        <w:t>Table S2 Precursor proteins involved in networks.</w:t>
      </w:r>
    </w:p>
    <w:p w14:paraId="58BE3823" w14:textId="77777777" w:rsidR="006255DB" w:rsidRPr="00230BAC" w:rsidRDefault="008662B1">
      <w:pPr>
        <w:spacing w:beforeLines="50" w:before="156"/>
        <w:rPr>
          <w:b/>
          <w:bCs/>
          <w:kern w:val="0"/>
          <w:sz w:val="24"/>
          <w:lang w:bidi="ar"/>
        </w:rPr>
      </w:pPr>
      <w:r w:rsidRPr="00230BAC">
        <w:rPr>
          <w:rFonts w:eastAsia="Times New Roman"/>
          <w:b/>
          <w:bCs/>
          <w:sz w:val="24"/>
        </w:rPr>
        <w:t>Table S</w:t>
      </w:r>
      <w:r w:rsidRPr="00230BAC">
        <w:rPr>
          <w:b/>
          <w:bCs/>
          <w:sz w:val="24"/>
        </w:rPr>
        <w:t>3</w:t>
      </w:r>
      <w:r w:rsidRPr="00230BAC">
        <w:rPr>
          <w:rFonts w:eastAsia="Times New Roman"/>
          <w:b/>
          <w:bCs/>
          <w:sz w:val="24"/>
        </w:rPr>
        <w:t xml:space="preserve"> Differentially peptides located in functional domain based on </w:t>
      </w:r>
      <w:proofErr w:type="spellStart"/>
      <w:r w:rsidRPr="00230BAC">
        <w:rPr>
          <w:rFonts w:eastAsia="Times New Roman"/>
          <w:b/>
          <w:bCs/>
          <w:sz w:val="24"/>
        </w:rPr>
        <w:t>Uniprot</w:t>
      </w:r>
      <w:proofErr w:type="spellEnd"/>
      <w:r w:rsidRPr="00230BAC">
        <w:rPr>
          <w:b/>
          <w:bCs/>
          <w:sz w:val="24"/>
        </w:rPr>
        <w:t xml:space="preserve"> </w:t>
      </w:r>
      <w:r w:rsidRPr="00230BAC">
        <w:rPr>
          <w:rFonts w:eastAsia="Times New Roman"/>
          <w:b/>
          <w:bCs/>
          <w:sz w:val="24"/>
        </w:rPr>
        <w:t>database.</w:t>
      </w:r>
    </w:p>
    <w:p w14:paraId="147C7DAB" w14:textId="77777777" w:rsidR="006255DB" w:rsidRPr="00230BAC" w:rsidRDefault="008662B1">
      <w:pPr>
        <w:spacing w:beforeLines="50" w:before="156"/>
      </w:pPr>
      <w:r w:rsidRPr="00230BAC">
        <w:rPr>
          <w:rFonts w:eastAsia="Times New Roman"/>
          <w:b/>
          <w:bCs/>
          <w:sz w:val="24"/>
        </w:rPr>
        <w:t>Table S</w:t>
      </w:r>
      <w:r w:rsidRPr="00230BAC">
        <w:rPr>
          <w:b/>
          <w:bCs/>
          <w:sz w:val="24"/>
        </w:rPr>
        <w:t>4</w:t>
      </w:r>
      <w:r w:rsidRPr="00230BAC">
        <w:rPr>
          <w:rFonts w:eastAsia="Times New Roman"/>
          <w:b/>
          <w:bCs/>
          <w:sz w:val="24"/>
        </w:rPr>
        <w:t xml:space="preserve"> Protein precursors and identified peptides related to respiratory system diseases</w:t>
      </w:r>
      <w:r w:rsidRPr="00230BAC">
        <w:rPr>
          <w:b/>
          <w:bCs/>
          <w:sz w:val="24"/>
        </w:rPr>
        <w:t>.</w:t>
      </w:r>
      <w:r w:rsidRPr="00230BAC">
        <w:rPr>
          <w:rFonts w:eastAsia="MinionScUnic"/>
          <w:b/>
          <w:bCs/>
          <w:sz w:val="24"/>
        </w:rPr>
        <w:t xml:space="preserve"> </w:t>
      </w:r>
    </w:p>
    <w:sectPr w:rsidR="006255DB" w:rsidRPr="00230BAC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EAF33" w14:textId="77777777" w:rsidR="008662B1" w:rsidRDefault="008662B1">
      <w:r>
        <w:separator/>
      </w:r>
    </w:p>
  </w:endnote>
  <w:endnote w:type="continuationSeparator" w:id="0">
    <w:p w14:paraId="6C4F2983" w14:textId="77777777" w:rsidR="008662B1" w:rsidRDefault="00866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o-Bold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RsbjcyAdvTT86d47313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panose1 w:val="02020603050405020304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gppdbAdvTT86d47313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MinionPro-Regular">
    <w:altName w:val="Segoe Print"/>
    <w:panose1 w:val="02040503050306020203"/>
    <w:charset w:val="00"/>
    <w:family w:val="auto"/>
    <w:pitch w:val="default"/>
    <w:sig w:usb0="00000000" w:usb1="00000000" w:usb2="00000000" w:usb3="00000000" w:csb0="00040001" w:csb1="00000000"/>
  </w:font>
  <w:font w:name="MinionScUnic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6A41E" w14:textId="77777777" w:rsidR="006255DB" w:rsidRDefault="008662B1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0002D750" w14:textId="77777777" w:rsidR="006255DB" w:rsidRDefault="006255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D42391" w14:textId="77777777" w:rsidR="008662B1" w:rsidRDefault="008662B1">
      <w:r>
        <w:separator/>
      </w:r>
    </w:p>
  </w:footnote>
  <w:footnote w:type="continuationSeparator" w:id="0">
    <w:p w14:paraId="58BAF9EB" w14:textId="77777777" w:rsidR="008662B1" w:rsidRDefault="00866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F7F0808"/>
    <w:rsid w:val="00230BAC"/>
    <w:rsid w:val="006255DB"/>
    <w:rsid w:val="008662B1"/>
    <w:rsid w:val="5F7F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879B895"/>
  <w15:docId w15:val="{E7BDFFF8-70AB-0541-AC8E-2022E9510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LineNumber">
    <w:name w:val="line number"/>
    <w:basedOn w:val="DefaultParagraphFont"/>
    <w:rsid w:val="00230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../../../../../DELL/AppData/Local/youdao/dict/Application/8.5.3.0/resultui/html/index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小五</dc:creator>
  <cp:lastModifiedBy>Jennifer Yeh</cp:lastModifiedBy>
  <cp:revision>2</cp:revision>
  <dcterms:created xsi:type="dcterms:W3CDTF">2020-08-28T04:28:00Z</dcterms:created>
  <dcterms:modified xsi:type="dcterms:W3CDTF">2020-09-03T16:51:00Z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