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74A2D" w14:textId="77777777" w:rsidR="0066769C" w:rsidRPr="005C0C0C" w:rsidRDefault="0066769C" w:rsidP="0066769C">
      <w:pPr>
        <w:pStyle w:val="Default"/>
        <w:spacing w:line="360" w:lineRule="auto"/>
        <w:rPr>
          <w:rFonts w:ascii="Arial" w:hAnsi="Arial" w:cs="Arial"/>
          <w:b/>
          <w:color w:val="212121"/>
          <w:sz w:val="20"/>
          <w:szCs w:val="20"/>
          <w:shd w:val="clear" w:color="auto" w:fill="FFFFFF"/>
        </w:rPr>
      </w:pPr>
      <w:r w:rsidRPr="005C0C0C">
        <w:rPr>
          <w:rFonts w:ascii="Arial" w:hAnsi="Arial" w:cs="Arial"/>
          <w:b/>
          <w:color w:val="212121"/>
          <w:sz w:val="20"/>
          <w:szCs w:val="20"/>
          <w:shd w:val="clear" w:color="auto" w:fill="FFFFFF"/>
        </w:rPr>
        <w:t xml:space="preserve">Appendix </w:t>
      </w:r>
    </w:p>
    <w:p w14:paraId="10B59BE8" w14:textId="77777777" w:rsidR="0066769C" w:rsidRPr="005C0C0C" w:rsidRDefault="0066769C" w:rsidP="0066769C">
      <w:pPr>
        <w:rPr>
          <w:rFonts w:ascii="Arial" w:hAnsi="Arial" w:cs="Arial"/>
          <w:b/>
          <w:sz w:val="20"/>
          <w:szCs w:val="20"/>
        </w:rPr>
      </w:pPr>
      <w:r w:rsidRPr="005C0C0C">
        <w:rPr>
          <w:rFonts w:ascii="Arial" w:hAnsi="Arial" w:cs="Arial"/>
          <w:b/>
          <w:sz w:val="20"/>
          <w:szCs w:val="20"/>
        </w:rPr>
        <w:t>Table 1. RTOG acute and late toxicity grading scale</w:t>
      </w:r>
    </w:p>
    <w:tbl>
      <w:tblPr>
        <w:tblpPr w:leftFromText="180" w:rightFromText="180" w:vertAnchor="text" w:horzAnchor="margin" w:tblpY="10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725"/>
        <w:gridCol w:w="1710"/>
        <w:gridCol w:w="1980"/>
        <w:gridCol w:w="2070"/>
        <w:gridCol w:w="1530"/>
        <w:gridCol w:w="810"/>
      </w:tblGrid>
      <w:tr w:rsidR="0066769C" w:rsidRPr="004113B0" w14:paraId="7850BA8E" w14:textId="77777777" w:rsidTr="00B04964">
        <w:trPr>
          <w:trHeight w:val="559"/>
        </w:trPr>
        <w:tc>
          <w:tcPr>
            <w:tcW w:w="1093" w:type="dxa"/>
          </w:tcPr>
          <w:p w14:paraId="222ADAFD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Organ Tissue</w:t>
            </w:r>
          </w:p>
        </w:tc>
        <w:tc>
          <w:tcPr>
            <w:tcW w:w="725" w:type="dxa"/>
          </w:tcPr>
          <w:p w14:paraId="611FEF3B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710" w:type="dxa"/>
          </w:tcPr>
          <w:p w14:paraId="212983AD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80" w:type="dxa"/>
          </w:tcPr>
          <w:p w14:paraId="50AD4423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070" w:type="dxa"/>
          </w:tcPr>
          <w:p w14:paraId="221BC6B6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530" w:type="dxa"/>
          </w:tcPr>
          <w:p w14:paraId="1EA2FF59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10" w:type="dxa"/>
          </w:tcPr>
          <w:p w14:paraId="6E2ABAE4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/>
                <w:bCs/>
                <w:sz w:val="19"/>
                <w:szCs w:val="19"/>
              </w:rPr>
              <w:t>5</w:t>
            </w:r>
          </w:p>
        </w:tc>
      </w:tr>
      <w:tr w:rsidR="0066769C" w:rsidRPr="004113B0" w14:paraId="7D76441A" w14:textId="77777777" w:rsidTr="00B04964">
        <w:trPr>
          <w:trHeight w:val="1434"/>
        </w:trPr>
        <w:tc>
          <w:tcPr>
            <w:tcW w:w="1093" w:type="dxa"/>
          </w:tcPr>
          <w:p w14:paraId="4C11D1FF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Skin</w:t>
            </w:r>
          </w:p>
          <w:p w14:paraId="62B1F994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(Acute)</w:t>
            </w:r>
          </w:p>
        </w:tc>
        <w:tc>
          <w:tcPr>
            <w:tcW w:w="725" w:type="dxa"/>
          </w:tcPr>
          <w:p w14:paraId="60C089B7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 change over</w:t>
            </w:r>
          </w:p>
          <w:p w14:paraId="55702159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baseline</w:t>
            </w:r>
          </w:p>
        </w:tc>
        <w:tc>
          <w:tcPr>
            <w:tcW w:w="1710" w:type="dxa"/>
          </w:tcPr>
          <w:p w14:paraId="49BC3470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Follicular, faint or dull erythema/</w:t>
            </w:r>
          </w:p>
          <w:p w14:paraId="5434961C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epilation/dry desquamation/</w:t>
            </w:r>
          </w:p>
          <w:p w14:paraId="006F9FD2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decreased sweating</w:t>
            </w:r>
          </w:p>
        </w:tc>
        <w:tc>
          <w:tcPr>
            <w:tcW w:w="1980" w:type="dxa"/>
          </w:tcPr>
          <w:p w14:paraId="5552E120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Tender or bright erythema,</w:t>
            </w:r>
          </w:p>
          <w:p w14:paraId="67937E69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patchy moist</w:t>
            </w:r>
          </w:p>
          <w:p w14:paraId="20657C21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desquamation/ moderate edema</w:t>
            </w:r>
          </w:p>
        </w:tc>
        <w:tc>
          <w:tcPr>
            <w:tcW w:w="2070" w:type="dxa"/>
          </w:tcPr>
          <w:p w14:paraId="7057CCBC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Confluent, moist desquamation</w:t>
            </w:r>
          </w:p>
          <w:p w14:paraId="735644D3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other than skin folds, pitting</w:t>
            </w:r>
          </w:p>
          <w:p w14:paraId="4F9B4EA8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edema</w:t>
            </w:r>
          </w:p>
        </w:tc>
        <w:tc>
          <w:tcPr>
            <w:tcW w:w="1530" w:type="dxa"/>
          </w:tcPr>
          <w:p w14:paraId="1425748D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Ulceration, hemorrhage,</w:t>
            </w:r>
          </w:p>
          <w:p w14:paraId="7BF4FFD0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necrosis</w:t>
            </w:r>
          </w:p>
        </w:tc>
        <w:tc>
          <w:tcPr>
            <w:tcW w:w="810" w:type="dxa"/>
          </w:tcPr>
          <w:p w14:paraId="0106D06B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NA</w:t>
            </w:r>
          </w:p>
        </w:tc>
      </w:tr>
      <w:tr w:rsidR="0066769C" w:rsidRPr="004113B0" w14:paraId="1BACAAF3" w14:textId="77777777" w:rsidTr="00B04964">
        <w:trPr>
          <w:trHeight w:val="860"/>
        </w:trPr>
        <w:tc>
          <w:tcPr>
            <w:tcW w:w="1093" w:type="dxa"/>
          </w:tcPr>
          <w:p w14:paraId="3D1F923B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Skin</w:t>
            </w:r>
          </w:p>
          <w:p w14:paraId="7F39BF51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(Late)</w:t>
            </w:r>
          </w:p>
        </w:tc>
        <w:tc>
          <w:tcPr>
            <w:tcW w:w="725" w:type="dxa"/>
          </w:tcPr>
          <w:p w14:paraId="656D771E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 xml:space="preserve">None </w:t>
            </w:r>
          </w:p>
          <w:p w14:paraId="337F9AEF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710" w:type="dxa"/>
          </w:tcPr>
          <w:p w14:paraId="41677EEB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Slight atrophy; pigmentation change;</w:t>
            </w:r>
          </w:p>
          <w:p w14:paraId="3A7CCAC6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some hair loss</w:t>
            </w:r>
          </w:p>
        </w:tc>
        <w:tc>
          <w:tcPr>
            <w:tcW w:w="1980" w:type="dxa"/>
          </w:tcPr>
          <w:p w14:paraId="607BD9C1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Patch atrophy; moderate</w:t>
            </w:r>
          </w:p>
          <w:p w14:paraId="0A5DBA6D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telangiectasia; total hair loss</w:t>
            </w:r>
          </w:p>
        </w:tc>
        <w:tc>
          <w:tcPr>
            <w:tcW w:w="2070" w:type="dxa"/>
          </w:tcPr>
          <w:p w14:paraId="48C59DFF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Market atrophy; gross telangiectasia</w:t>
            </w:r>
          </w:p>
          <w:p w14:paraId="604B1487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530" w:type="dxa"/>
          </w:tcPr>
          <w:p w14:paraId="3B5F7787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Ulceration</w:t>
            </w:r>
          </w:p>
          <w:p w14:paraId="587952E1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810" w:type="dxa"/>
            <w:vMerge w:val="restart"/>
          </w:tcPr>
          <w:p w14:paraId="416D5D9A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Death directly related to radia-tion late effects</w:t>
            </w:r>
          </w:p>
        </w:tc>
      </w:tr>
      <w:tr w:rsidR="0066769C" w:rsidRPr="004113B0" w14:paraId="684FE184" w14:textId="77777777" w:rsidTr="00B04964">
        <w:trPr>
          <w:trHeight w:val="1732"/>
        </w:trPr>
        <w:tc>
          <w:tcPr>
            <w:tcW w:w="1093" w:type="dxa"/>
          </w:tcPr>
          <w:p w14:paraId="4A26E320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Subcutan-eous tissue</w:t>
            </w:r>
          </w:p>
        </w:tc>
        <w:tc>
          <w:tcPr>
            <w:tcW w:w="725" w:type="dxa"/>
          </w:tcPr>
          <w:p w14:paraId="50E41AF7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None</w:t>
            </w:r>
          </w:p>
          <w:p w14:paraId="59EB557D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710" w:type="dxa"/>
          </w:tcPr>
          <w:p w14:paraId="343B7B7F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Slight induration (fibrosis) and loss or subcutan</w:t>
            </w:r>
          </w:p>
          <w:p w14:paraId="68FD7DDE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-eous fat</w:t>
            </w:r>
          </w:p>
        </w:tc>
        <w:tc>
          <w:tcPr>
            <w:tcW w:w="1980" w:type="dxa"/>
          </w:tcPr>
          <w:p w14:paraId="5FD29978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Moderate fibrosis but</w:t>
            </w:r>
          </w:p>
          <w:p w14:paraId="2D56790C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asymptomatic; slight field</w:t>
            </w:r>
          </w:p>
          <w:p w14:paraId="696E7CC6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contracture; &lt; 10% linear</w:t>
            </w:r>
          </w:p>
          <w:p w14:paraId="4EB5B9B4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reduction</w:t>
            </w:r>
          </w:p>
        </w:tc>
        <w:tc>
          <w:tcPr>
            <w:tcW w:w="2070" w:type="dxa"/>
          </w:tcPr>
          <w:p w14:paraId="2CA21F4F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induration and loss of subcutaneous tissue; field contracture &gt; 10% linear</w:t>
            </w:r>
          </w:p>
          <w:p w14:paraId="6297E945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measurement</w:t>
            </w:r>
          </w:p>
        </w:tc>
        <w:tc>
          <w:tcPr>
            <w:tcW w:w="1530" w:type="dxa"/>
          </w:tcPr>
          <w:p w14:paraId="78DCF885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Necrosis</w:t>
            </w:r>
          </w:p>
        </w:tc>
        <w:tc>
          <w:tcPr>
            <w:tcW w:w="810" w:type="dxa"/>
            <w:vMerge/>
          </w:tcPr>
          <w:p w14:paraId="5036FB34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6769C" w:rsidRPr="004113B0" w14:paraId="59727417" w14:textId="77777777" w:rsidTr="00B04964">
        <w:trPr>
          <w:trHeight w:val="416"/>
        </w:trPr>
        <w:tc>
          <w:tcPr>
            <w:tcW w:w="1093" w:type="dxa"/>
          </w:tcPr>
          <w:p w14:paraId="5B8B66CF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Lung</w:t>
            </w:r>
          </w:p>
        </w:tc>
        <w:tc>
          <w:tcPr>
            <w:tcW w:w="725" w:type="dxa"/>
          </w:tcPr>
          <w:p w14:paraId="0DF3F595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None</w:t>
            </w:r>
          </w:p>
          <w:p w14:paraId="63211B8F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</w:p>
        </w:tc>
        <w:tc>
          <w:tcPr>
            <w:tcW w:w="1710" w:type="dxa"/>
          </w:tcPr>
          <w:p w14:paraId="082B3344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Asymptomatic or mild symptoms</w:t>
            </w:r>
          </w:p>
          <w:p w14:paraId="7C5A63E8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(dry cough)</w:t>
            </w:r>
          </w:p>
          <w:p w14:paraId="32B7C1EE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Slight radiographic appearances</w:t>
            </w:r>
          </w:p>
        </w:tc>
        <w:tc>
          <w:tcPr>
            <w:tcW w:w="1980" w:type="dxa"/>
          </w:tcPr>
          <w:p w14:paraId="4E978AAC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Moderate symptomatic fibrosis or  pneumonitis (severe cough)</w:t>
            </w:r>
          </w:p>
          <w:p w14:paraId="26AFBFB4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Low grade fever; patchy</w:t>
            </w:r>
          </w:p>
          <w:p w14:paraId="3F5A205A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radiographic appearances</w:t>
            </w:r>
          </w:p>
        </w:tc>
        <w:tc>
          <w:tcPr>
            <w:tcW w:w="2070" w:type="dxa"/>
          </w:tcPr>
          <w:p w14:paraId="7F97ECDD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symptomatic fibrosis or</w:t>
            </w:r>
          </w:p>
          <w:p w14:paraId="0266E821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pneumonitis</w:t>
            </w:r>
          </w:p>
          <w:p w14:paraId="40E3E79F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Dense radiographic changes</w:t>
            </w:r>
          </w:p>
        </w:tc>
        <w:tc>
          <w:tcPr>
            <w:tcW w:w="1530" w:type="dxa"/>
          </w:tcPr>
          <w:p w14:paraId="023989FF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respiratory</w:t>
            </w:r>
          </w:p>
          <w:p w14:paraId="746FADD6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insufficiency/Continuous 02/</w:t>
            </w:r>
          </w:p>
          <w:p w14:paraId="7B6CDF68" w14:textId="77777777" w:rsidR="0066769C" w:rsidRPr="004113B0" w:rsidRDefault="0066769C" w:rsidP="00B04964">
            <w:pPr>
              <w:spacing w:line="240" w:lineRule="auto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Assisted ventilation</w:t>
            </w:r>
          </w:p>
        </w:tc>
        <w:tc>
          <w:tcPr>
            <w:tcW w:w="810" w:type="dxa"/>
            <w:vMerge/>
          </w:tcPr>
          <w:p w14:paraId="1AC38282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6769C" w:rsidRPr="004113B0" w14:paraId="3D9FC2AE" w14:textId="77777777" w:rsidTr="00B04964">
        <w:trPr>
          <w:trHeight w:val="1062"/>
        </w:trPr>
        <w:tc>
          <w:tcPr>
            <w:tcW w:w="1093" w:type="dxa"/>
          </w:tcPr>
          <w:p w14:paraId="16DC7F68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Chest or rib pain</w:t>
            </w:r>
          </w:p>
        </w:tc>
        <w:tc>
          <w:tcPr>
            <w:tcW w:w="725" w:type="dxa"/>
          </w:tcPr>
          <w:p w14:paraId="24108596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None</w:t>
            </w:r>
          </w:p>
        </w:tc>
        <w:tc>
          <w:tcPr>
            <w:tcW w:w="1710" w:type="dxa"/>
            <w:vAlign w:val="center"/>
          </w:tcPr>
          <w:p w14:paraId="28E185F0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Asymptomatic; no growth retardation; reduced bone density</w:t>
            </w:r>
          </w:p>
        </w:tc>
        <w:tc>
          <w:tcPr>
            <w:tcW w:w="1980" w:type="dxa"/>
            <w:vAlign w:val="center"/>
          </w:tcPr>
          <w:p w14:paraId="6EDC15BC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Moderate pain or tenderness; growth retardation; irregular bone sclerosis</w:t>
            </w:r>
          </w:p>
        </w:tc>
        <w:tc>
          <w:tcPr>
            <w:tcW w:w="2070" w:type="dxa"/>
            <w:vAlign w:val="center"/>
          </w:tcPr>
          <w:p w14:paraId="0C3ACD6E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pain or tenderness; complete arrest of bone growth; dense bone sclerosis</w:t>
            </w:r>
          </w:p>
        </w:tc>
        <w:tc>
          <w:tcPr>
            <w:tcW w:w="1530" w:type="dxa"/>
            <w:vAlign w:val="center"/>
          </w:tcPr>
          <w:p w14:paraId="46E79973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Necrosis / spontaneous fracture</w:t>
            </w:r>
          </w:p>
        </w:tc>
        <w:tc>
          <w:tcPr>
            <w:tcW w:w="810" w:type="dxa"/>
            <w:vMerge/>
          </w:tcPr>
          <w:p w14:paraId="3DF6BC3A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6769C" w:rsidRPr="004113B0" w14:paraId="3A7EE1A4" w14:textId="77777777" w:rsidTr="00B04964">
        <w:trPr>
          <w:trHeight w:val="1062"/>
        </w:trPr>
        <w:tc>
          <w:tcPr>
            <w:tcW w:w="1093" w:type="dxa"/>
          </w:tcPr>
          <w:p w14:paraId="34FC5D3C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>Shoulder morbidity</w:t>
            </w:r>
          </w:p>
        </w:tc>
        <w:tc>
          <w:tcPr>
            <w:tcW w:w="725" w:type="dxa"/>
          </w:tcPr>
          <w:p w14:paraId="5091A056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None</w:t>
            </w:r>
          </w:p>
        </w:tc>
        <w:tc>
          <w:tcPr>
            <w:tcW w:w="1710" w:type="dxa"/>
          </w:tcPr>
          <w:p w14:paraId="7DC0DF67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Mild joint stiffness; slight limitation of movement</w:t>
            </w:r>
          </w:p>
        </w:tc>
        <w:tc>
          <w:tcPr>
            <w:tcW w:w="1980" w:type="dxa"/>
            <w:vAlign w:val="center"/>
          </w:tcPr>
          <w:p w14:paraId="6B475C4A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Moderate stiffness; intermittent or moderate joint pain; moderate limitation of movement</w:t>
            </w:r>
          </w:p>
        </w:tc>
        <w:tc>
          <w:tcPr>
            <w:tcW w:w="2070" w:type="dxa"/>
            <w:vAlign w:val="center"/>
          </w:tcPr>
          <w:p w14:paraId="2BAC760D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joint stiffness; pain with severe limitation of movement</w:t>
            </w:r>
          </w:p>
        </w:tc>
        <w:tc>
          <w:tcPr>
            <w:tcW w:w="1530" w:type="dxa"/>
            <w:vAlign w:val="center"/>
          </w:tcPr>
          <w:p w14:paraId="12398B3F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Necrosis / complete fixation</w:t>
            </w:r>
          </w:p>
        </w:tc>
        <w:tc>
          <w:tcPr>
            <w:tcW w:w="810" w:type="dxa"/>
            <w:vMerge/>
          </w:tcPr>
          <w:p w14:paraId="449F9E0B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6769C" w:rsidRPr="004113B0" w14:paraId="46DC7B34" w14:textId="77777777" w:rsidTr="00B04964">
        <w:trPr>
          <w:trHeight w:val="1062"/>
        </w:trPr>
        <w:tc>
          <w:tcPr>
            <w:tcW w:w="1093" w:type="dxa"/>
          </w:tcPr>
          <w:p w14:paraId="30A31BA8" w14:textId="77777777" w:rsidR="0066769C" w:rsidRPr="004113B0" w:rsidRDefault="0066769C" w:rsidP="00B04964">
            <w:pPr>
              <w:spacing w:line="240" w:lineRule="auto"/>
              <w:jc w:val="both"/>
              <w:rPr>
                <w:rFonts w:ascii="Arial" w:eastAsia="Calibri" w:hAnsi="Arial" w:cs="Arial"/>
                <w:bCs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bCs/>
                <w:sz w:val="19"/>
                <w:szCs w:val="19"/>
              </w:rPr>
              <w:t xml:space="preserve">Cardiac </w:t>
            </w:r>
          </w:p>
        </w:tc>
        <w:tc>
          <w:tcPr>
            <w:tcW w:w="725" w:type="dxa"/>
          </w:tcPr>
          <w:p w14:paraId="7C68D604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en-IN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  <w:lang w:eastAsia="en-IN"/>
              </w:rPr>
              <w:t>None</w:t>
            </w:r>
          </w:p>
        </w:tc>
        <w:tc>
          <w:tcPr>
            <w:tcW w:w="1710" w:type="dxa"/>
            <w:vAlign w:val="center"/>
          </w:tcPr>
          <w:p w14:paraId="5CE75D6C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Asymptomatic or mild symptoms; transient T wave inversion &amp; ST changes; sinus tachy&gt; 110 (at rest)</w:t>
            </w:r>
          </w:p>
        </w:tc>
        <w:tc>
          <w:tcPr>
            <w:tcW w:w="1980" w:type="dxa"/>
            <w:vAlign w:val="center"/>
          </w:tcPr>
          <w:p w14:paraId="32F7EFBF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Moderate angina on effort; mild pericarditis; normal heart size; persistent abnormal T wave and ST changes; low ORS</w:t>
            </w:r>
          </w:p>
        </w:tc>
        <w:tc>
          <w:tcPr>
            <w:tcW w:w="2070" w:type="dxa"/>
            <w:vAlign w:val="center"/>
          </w:tcPr>
          <w:p w14:paraId="6CB5415C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Severe angina; pericardial effusion; constrictive pericarditis; moderate heart failure; cardiac enlargement; EKG abnormalities</w:t>
            </w:r>
          </w:p>
        </w:tc>
        <w:tc>
          <w:tcPr>
            <w:tcW w:w="1530" w:type="dxa"/>
            <w:vAlign w:val="center"/>
          </w:tcPr>
          <w:p w14:paraId="00995180" w14:textId="77777777" w:rsidR="0066769C" w:rsidRPr="004113B0" w:rsidRDefault="0066769C" w:rsidP="00B04964">
            <w:pPr>
              <w:rPr>
                <w:rFonts w:ascii="Arial" w:eastAsia="Calibri" w:hAnsi="Arial" w:cs="Arial"/>
                <w:sz w:val="19"/>
                <w:szCs w:val="19"/>
              </w:rPr>
            </w:pPr>
            <w:r w:rsidRPr="004113B0">
              <w:rPr>
                <w:rFonts w:ascii="Arial" w:eastAsia="Calibri" w:hAnsi="Arial" w:cs="Arial"/>
                <w:sz w:val="19"/>
                <w:szCs w:val="19"/>
              </w:rPr>
              <w:t>Tamponade / severe heart failure; severe constrictive pericarditis</w:t>
            </w:r>
          </w:p>
        </w:tc>
        <w:tc>
          <w:tcPr>
            <w:tcW w:w="810" w:type="dxa"/>
            <w:vMerge/>
          </w:tcPr>
          <w:p w14:paraId="14D83E58" w14:textId="77777777" w:rsidR="0066769C" w:rsidRPr="004113B0" w:rsidRDefault="0066769C" w:rsidP="00B049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</w:tbl>
    <w:p w14:paraId="136F58F1" w14:textId="77777777" w:rsidR="0066769C" w:rsidRPr="005C0C0C" w:rsidRDefault="0066769C" w:rsidP="0066769C">
      <w:pPr>
        <w:pStyle w:val="Default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1B3C5A8" w14:textId="77777777" w:rsidR="0066769C" w:rsidRDefault="0066769C" w:rsidP="0066769C">
      <w:pPr>
        <w:pStyle w:val="Default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8B28909" w14:textId="77777777" w:rsidR="0066769C" w:rsidRPr="005C0C0C" w:rsidRDefault="0066769C" w:rsidP="0066769C">
      <w:pPr>
        <w:pStyle w:val="Default"/>
        <w:spacing w:line="360" w:lineRule="auto"/>
        <w:ind w:left="461"/>
        <w:rPr>
          <w:rFonts w:ascii="Arial" w:hAnsi="Arial" w:cs="Arial"/>
          <w:color w:val="000000" w:themeColor="text1"/>
          <w:sz w:val="20"/>
          <w:szCs w:val="20"/>
        </w:rPr>
      </w:pPr>
    </w:p>
    <w:p w14:paraId="0A3687BE" w14:textId="77777777" w:rsidR="00CA67E5" w:rsidRDefault="0066769C"/>
    <w:sectPr w:rsidR="00CA67E5" w:rsidSect="009B02FC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2143297"/>
      <w:docPartObj>
        <w:docPartGallery w:val="Page Numbers (Bottom of Page)"/>
        <w:docPartUnique/>
      </w:docPartObj>
    </w:sdtPr>
    <w:sdtEndPr/>
    <w:sdtContent>
      <w:p w14:paraId="543FF14A" w14:textId="77777777" w:rsidR="00DF5C2F" w:rsidRDefault="00667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418879D" w14:textId="77777777" w:rsidR="00DF5C2F" w:rsidRDefault="0066769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9C"/>
    <w:rsid w:val="0066769C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3598D"/>
  <w15:chartTrackingRefBased/>
  <w15:docId w15:val="{E3DD656A-C76C-4B04-9BC9-DD43A5FB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7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667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>Springer Nature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2023-08-03T10:42:00Z</dcterms:created>
  <dcterms:modified xsi:type="dcterms:W3CDTF">2023-08-03T10:42:00Z</dcterms:modified>
</cp:coreProperties>
</file>