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E96DA" w14:textId="77777777" w:rsidR="009356EC" w:rsidRDefault="009356EC" w:rsidP="001F5B0D">
      <w:pPr>
        <w:spacing w:line="360" w:lineRule="auto"/>
        <w:jc w:val="both"/>
        <w:rPr>
          <w:rFonts w:asciiTheme="minorHAnsi" w:hAnsiTheme="minorHAnsi" w:cstheme="minorHAnsi"/>
        </w:rPr>
      </w:pPr>
    </w:p>
    <w:tbl>
      <w:tblPr>
        <w:tblStyle w:val="ListTable7Colorful"/>
        <w:tblW w:w="0" w:type="auto"/>
        <w:tblLook w:val="04A0" w:firstRow="1" w:lastRow="0" w:firstColumn="1" w:lastColumn="0" w:noHBand="0" w:noVBand="1"/>
      </w:tblPr>
      <w:tblGrid>
        <w:gridCol w:w="1701"/>
        <w:gridCol w:w="3654"/>
        <w:gridCol w:w="3655"/>
      </w:tblGrid>
      <w:tr w:rsidR="009356EC" w:rsidRPr="0004434F" w14:paraId="6178164E" w14:textId="77777777" w:rsidTr="001F5B0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701" w:type="dxa"/>
          </w:tcPr>
          <w:p w14:paraId="0FBDDDE9" w14:textId="77777777" w:rsidR="009356EC" w:rsidRPr="008D69E4" w:rsidRDefault="009356EC" w:rsidP="009356EC">
            <w:pPr>
              <w:spacing w:line="360" w:lineRule="auto"/>
              <w:jc w:val="both"/>
              <w:rPr>
                <w:rFonts w:asciiTheme="minorHAnsi" w:hAnsiTheme="minorHAnsi" w:cstheme="minorHAnsi"/>
              </w:rPr>
            </w:pPr>
            <w:r w:rsidRPr="008D69E4">
              <w:rPr>
                <w:rFonts w:asciiTheme="minorHAnsi" w:hAnsiTheme="minorHAnsi" w:cstheme="minorHAnsi"/>
              </w:rPr>
              <w:t>Study Criteria</w:t>
            </w:r>
          </w:p>
        </w:tc>
        <w:tc>
          <w:tcPr>
            <w:tcW w:w="3654" w:type="dxa"/>
          </w:tcPr>
          <w:p w14:paraId="01F6F207" w14:textId="77777777" w:rsidR="009356EC" w:rsidRPr="008D69E4" w:rsidRDefault="009356EC" w:rsidP="009356EC">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Inclusion Criteria</w:t>
            </w:r>
          </w:p>
        </w:tc>
        <w:tc>
          <w:tcPr>
            <w:tcW w:w="3655" w:type="dxa"/>
          </w:tcPr>
          <w:p w14:paraId="79AF9F1D" w14:textId="77777777" w:rsidR="009356EC" w:rsidRPr="008D69E4" w:rsidRDefault="009356EC" w:rsidP="009356EC">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Exclusion Criteria</w:t>
            </w:r>
          </w:p>
        </w:tc>
      </w:tr>
      <w:tr w:rsidR="009356EC" w:rsidRPr="0004434F" w14:paraId="6A495718"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Pr>
          <w:p w14:paraId="56FCA3BF" w14:textId="77777777" w:rsidR="009356EC" w:rsidRPr="008D69E4" w:rsidRDefault="009356EC" w:rsidP="009356EC">
            <w:pPr>
              <w:spacing w:line="360" w:lineRule="auto"/>
              <w:jc w:val="both"/>
              <w:rPr>
                <w:rFonts w:asciiTheme="minorHAnsi" w:hAnsiTheme="minorHAnsi" w:cstheme="minorHAnsi"/>
              </w:rPr>
            </w:pPr>
            <w:r w:rsidRPr="008D69E4">
              <w:rPr>
                <w:rFonts w:asciiTheme="minorHAnsi" w:hAnsiTheme="minorHAnsi" w:cstheme="minorHAnsi"/>
              </w:rPr>
              <w:t>Study design</w:t>
            </w:r>
          </w:p>
        </w:tc>
        <w:tc>
          <w:tcPr>
            <w:tcW w:w="3654" w:type="dxa"/>
          </w:tcPr>
          <w:p w14:paraId="3522C86E" w14:textId="77777777" w:rsidR="009356EC" w:rsidRPr="008D69E4" w:rsidRDefault="009356EC" w:rsidP="009356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Systematic review (+/- meta-analysis)</w:t>
            </w:r>
          </w:p>
        </w:tc>
        <w:tc>
          <w:tcPr>
            <w:tcW w:w="3655" w:type="dxa"/>
          </w:tcPr>
          <w:p w14:paraId="126FE8F9" w14:textId="77777777" w:rsidR="009356EC" w:rsidRPr="008D69E4" w:rsidRDefault="009356EC" w:rsidP="009356EC">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Non-reviews; protocols</w:t>
            </w:r>
          </w:p>
        </w:tc>
      </w:tr>
      <w:tr w:rsidR="009356EC" w:rsidRPr="0004434F" w14:paraId="1CB5CFCD" w14:textId="77777777" w:rsidTr="001F5B0D">
        <w:tc>
          <w:tcPr>
            <w:cnfStyle w:val="001000000000" w:firstRow="0" w:lastRow="0" w:firstColumn="1" w:lastColumn="0" w:oddVBand="0" w:evenVBand="0" w:oddHBand="0" w:evenHBand="0" w:firstRowFirstColumn="0" w:firstRowLastColumn="0" w:lastRowFirstColumn="0" w:lastRowLastColumn="0"/>
            <w:tcW w:w="1701" w:type="dxa"/>
          </w:tcPr>
          <w:p w14:paraId="1A9F2E3B" w14:textId="77777777" w:rsidR="009356EC" w:rsidRPr="008D69E4" w:rsidRDefault="009356EC" w:rsidP="009356EC">
            <w:pPr>
              <w:spacing w:line="360" w:lineRule="auto"/>
              <w:jc w:val="both"/>
              <w:rPr>
                <w:rFonts w:asciiTheme="minorHAnsi" w:hAnsiTheme="minorHAnsi" w:cstheme="minorHAnsi"/>
              </w:rPr>
            </w:pPr>
            <w:r w:rsidRPr="008D69E4">
              <w:rPr>
                <w:rFonts w:asciiTheme="minorHAnsi" w:hAnsiTheme="minorHAnsi" w:cstheme="minorHAnsi"/>
              </w:rPr>
              <w:t>Population</w:t>
            </w:r>
          </w:p>
        </w:tc>
        <w:tc>
          <w:tcPr>
            <w:tcW w:w="3654" w:type="dxa"/>
          </w:tcPr>
          <w:p w14:paraId="67BD403C" w14:textId="77777777" w:rsidR="009356EC" w:rsidRPr="008D69E4" w:rsidRDefault="009356EC" w:rsidP="009356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Postsurgical patients exposed to acute / sub-acute pain (adults +/- children)</w:t>
            </w:r>
          </w:p>
        </w:tc>
        <w:tc>
          <w:tcPr>
            <w:tcW w:w="3655" w:type="dxa"/>
          </w:tcPr>
          <w:p w14:paraId="62561D7B" w14:textId="77777777" w:rsidR="009356EC" w:rsidRPr="008D69E4" w:rsidRDefault="009356EC" w:rsidP="009356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Non-postsurgical patients; patients exposed to chronic pain; paediatric-only patients</w:t>
            </w:r>
          </w:p>
        </w:tc>
      </w:tr>
      <w:tr w:rsidR="009356EC" w:rsidRPr="0004434F" w14:paraId="235DED9D"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Pr>
          <w:p w14:paraId="05F1B654" w14:textId="77777777" w:rsidR="009356EC" w:rsidRPr="008D69E4" w:rsidRDefault="009356EC" w:rsidP="009356EC">
            <w:pPr>
              <w:spacing w:line="360" w:lineRule="auto"/>
              <w:jc w:val="both"/>
              <w:rPr>
                <w:rFonts w:asciiTheme="minorHAnsi" w:hAnsiTheme="minorHAnsi" w:cstheme="minorHAnsi"/>
              </w:rPr>
            </w:pPr>
            <w:r w:rsidRPr="008D69E4">
              <w:rPr>
                <w:rFonts w:asciiTheme="minorHAnsi" w:hAnsiTheme="minorHAnsi" w:cstheme="minorHAnsi"/>
              </w:rPr>
              <w:t>Intervention</w:t>
            </w:r>
          </w:p>
        </w:tc>
        <w:tc>
          <w:tcPr>
            <w:tcW w:w="3654" w:type="dxa"/>
          </w:tcPr>
          <w:p w14:paraId="24EC799A" w14:textId="77777777" w:rsidR="009356EC" w:rsidRPr="008D69E4" w:rsidRDefault="009356EC" w:rsidP="009356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rPr>
            </w:pPr>
            <w:r w:rsidRPr="008D69E4">
              <w:rPr>
                <w:rFonts w:asciiTheme="minorHAnsi" w:hAnsiTheme="minorHAnsi" w:cstheme="minorHAnsi"/>
              </w:rPr>
              <w:t xml:space="preserve">An intervention related to one of either the ten priorities described by Levy et al. </w:t>
            </w:r>
            <w:r w:rsidRPr="008D69E4">
              <w:rPr>
                <w:rFonts w:asciiTheme="minorHAnsi" w:hAnsiTheme="minorHAnsi" w:cstheme="minorHAnsi"/>
                <w:i/>
              </w:rPr>
              <w:t>(2020)</w:t>
            </w:r>
            <w:r w:rsidRPr="008D69E4">
              <w:rPr>
                <w:rFonts w:asciiTheme="minorHAnsi" w:hAnsiTheme="minorHAnsi" w:cstheme="minorHAnsi"/>
              </w:rPr>
              <w:t xml:space="preserve"> or ten priorities described by Forget et al. </w:t>
            </w:r>
            <w:r w:rsidRPr="008D69E4">
              <w:rPr>
                <w:rFonts w:asciiTheme="minorHAnsi" w:hAnsiTheme="minorHAnsi" w:cstheme="minorHAnsi"/>
                <w:i/>
              </w:rPr>
              <w:t>(2022)</w:t>
            </w:r>
          </w:p>
        </w:tc>
        <w:tc>
          <w:tcPr>
            <w:tcW w:w="3655" w:type="dxa"/>
          </w:tcPr>
          <w:p w14:paraId="1F01CE8E" w14:textId="77777777" w:rsidR="009356EC" w:rsidRPr="008D69E4" w:rsidRDefault="009356EC" w:rsidP="009356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Non-relevant intervention</w:t>
            </w:r>
          </w:p>
        </w:tc>
      </w:tr>
      <w:tr w:rsidR="009356EC" w:rsidRPr="0004434F" w14:paraId="4669F459" w14:textId="77777777" w:rsidTr="001F5B0D">
        <w:tc>
          <w:tcPr>
            <w:cnfStyle w:val="001000000000" w:firstRow="0" w:lastRow="0" w:firstColumn="1" w:lastColumn="0" w:oddVBand="0" w:evenVBand="0" w:oddHBand="0" w:evenHBand="0" w:firstRowFirstColumn="0" w:firstRowLastColumn="0" w:lastRowFirstColumn="0" w:lastRowLastColumn="0"/>
            <w:tcW w:w="1701" w:type="dxa"/>
          </w:tcPr>
          <w:p w14:paraId="65715336" w14:textId="77777777" w:rsidR="009356EC" w:rsidRPr="008D69E4" w:rsidRDefault="009356EC" w:rsidP="009356EC">
            <w:pPr>
              <w:spacing w:line="360" w:lineRule="auto"/>
              <w:jc w:val="both"/>
              <w:rPr>
                <w:rFonts w:asciiTheme="minorHAnsi" w:hAnsiTheme="minorHAnsi" w:cstheme="minorHAnsi"/>
              </w:rPr>
            </w:pPr>
            <w:r w:rsidRPr="008D69E4">
              <w:rPr>
                <w:rFonts w:asciiTheme="minorHAnsi" w:hAnsiTheme="minorHAnsi" w:cstheme="minorHAnsi"/>
              </w:rPr>
              <w:t>Comparison</w:t>
            </w:r>
          </w:p>
        </w:tc>
        <w:tc>
          <w:tcPr>
            <w:tcW w:w="3654" w:type="dxa"/>
          </w:tcPr>
          <w:p w14:paraId="47921AC7" w14:textId="77777777" w:rsidR="009356EC" w:rsidRPr="008D69E4" w:rsidRDefault="009356EC" w:rsidP="009356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A method to analyse the efficacy of the intervention</w:t>
            </w:r>
          </w:p>
        </w:tc>
        <w:tc>
          <w:tcPr>
            <w:tcW w:w="3655" w:type="dxa"/>
          </w:tcPr>
          <w:p w14:paraId="4B1A2E2B" w14:textId="77777777" w:rsidR="009356EC" w:rsidRPr="008D69E4" w:rsidRDefault="009356EC" w:rsidP="009356EC">
            <w:pPr>
              <w:spacing w:line="360"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No method to analyse the efficacy of the intervention</w:t>
            </w:r>
          </w:p>
        </w:tc>
      </w:tr>
      <w:tr w:rsidR="009356EC" w:rsidRPr="0004434F" w14:paraId="3542C076"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Pr>
          <w:p w14:paraId="69CFD42B" w14:textId="77777777" w:rsidR="009356EC" w:rsidRPr="008D69E4" w:rsidRDefault="009356EC" w:rsidP="009356EC">
            <w:pPr>
              <w:spacing w:line="360" w:lineRule="auto"/>
              <w:jc w:val="both"/>
              <w:rPr>
                <w:rFonts w:asciiTheme="minorHAnsi" w:hAnsiTheme="minorHAnsi" w:cstheme="minorHAnsi"/>
              </w:rPr>
            </w:pPr>
            <w:r w:rsidRPr="008D69E4">
              <w:rPr>
                <w:rFonts w:asciiTheme="minorHAnsi" w:hAnsiTheme="minorHAnsi" w:cstheme="minorHAnsi"/>
              </w:rPr>
              <w:t>Outcome</w:t>
            </w:r>
          </w:p>
        </w:tc>
        <w:tc>
          <w:tcPr>
            <w:tcW w:w="3654" w:type="dxa"/>
          </w:tcPr>
          <w:p w14:paraId="650B6DA7" w14:textId="77777777" w:rsidR="009356EC" w:rsidRPr="008D69E4" w:rsidRDefault="009356EC" w:rsidP="009356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An outcome related to acute postoperative pain / opioid use / relevant clinical outcomes</w:t>
            </w:r>
          </w:p>
        </w:tc>
        <w:tc>
          <w:tcPr>
            <w:tcW w:w="3655" w:type="dxa"/>
          </w:tcPr>
          <w:p w14:paraId="027A9F6D" w14:textId="77777777" w:rsidR="009356EC" w:rsidRPr="008D69E4" w:rsidRDefault="009356EC" w:rsidP="009356EC">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D69E4">
              <w:rPr>
                <w:rFonts w:asciiTheme="minorHAnsi" w:hAnsiTheme="minorHAnsi" w:cstheme="minorHAnsi"/>
              </w:rPr>
              <w:t>An outcome unrelated to acute postoperative pain / opioid use / relevant clinical outcomes</w:t>
            </w:r>
          </w:p>
        </w:tc>
      </w:tr>
    </w:tbl>
    <w:p w14:paraId="5CDE3A9F" w14:textId="547BC8BE" w:rsidR="009356EC" w:rsidRDefault="009356EC" w:rsidP="009356EC">
      <w:pPr>
        <w:spacing w:line="360" w:lineRule="auto"/>
        <w:jc w:val="both"/>
        <w:rPr>
          <w:rFonts w:asciiTheme="minorHAnsi" w:hAnsiTheme="minorHAnsi" w:cstheme="minorHAnsi"/>
          <w:i/>
          <w:color w:val="000000" w:themeColor="text1"/>
          <w:sz w:val="20"/>
          <w:szCs w:val="20"/>
        </w:rPr>
      </w:pPr>
      <w:r w:rsidRPr="00591EC8">
        <w:rPr>
          <w:rStyle w:val="Heading4Char"/>
        </w:rPr>
        <w:t>Table 1:</w:t>
      </w:r>
      <w:r w:rsidRPr="008D69E4">
        <w:rPr>
          <w:i/>
          <w:color w:val="4472C4" w:themeColor="accent1"/>
        </w:rPr>
        <w:t xml:space="preserve"> </w:t>
      </w:r>
      <w:r w:rsidRPr="008D69E4">
        <w:rPr>
          <w:rFonts w:asciiTheme="minorHAnsi" w:hAnsiTheme="minorHAnsi" w:cstheme="minorHAnsi"/>
          <w:b/>
          <w:i/>
          <w:color w:val="000000" w:themeColor="text1"/>
          <w:sz w:val="20"/>
          <w:szCs w:val="20"/>
        </w:rPr>
        <w:t>Summary of inclusion and exclusion criteria</w:t>
      </w:r>
      <w:r w:rsidRPr="008D69E4">
        <w:rPr>
          <w:rFonts w:asciiTheme="minorHAnsi" w:hAnsiTheme="minorHAnsi" w:cstheme="minorHAnsi"/>
          <w:i/>
          <w:color w:val="000000" w:themeColor="text1"/>
          <w:sz w:val="20"/>
          <w:szCs w:val="20"/>
        </w:rPr>
        <w:t xml:space="preserve">. This table summarises the inclusion and exclusion criteria applied to assess study eligibility during this overview. </w:t>
      </w:r>
    </w:p>
    <w:p w14:paraId="2BD0F8D7" w14:textId="0AE72574" w:rsidR="009356EC" w:rsidRDefault="009356EC" w:rsidP="009356EC">
      <w:pPr>
        <w:spacing w:line="360" w:lineRule="auto"/>
        <w:jc w:val="both"/>
        <w:rPr>
          <w:rFonts w:asciiTheme="minorHAnsi" w:hAnsiTheme="minorHAnsi" w:cstheme="minorHAnsi"/>
          <w:i/>
          <w:color w:val="000000" w:themeColor="text1"/>
          <w:sz w:val="20"/>
          <w:szCs w:val="20"/>
        </w:rPr>
      </w:pPr>
    </w:p>
    <w:p w14:paraId="60948258" w14:textId="77777777" w:rsidR="009356EC" w:rsidRPr="008D69E4" w:rsidRDefault="009356EC" w:rsidP="009356EC">
      <w:pPr>
        <w:spacing w:line="360" w:lineRule="auto"/>
        <w:jc w:val="both"/>
        <w:rPr>
          <w:rFonts w:asciiTheme="minorHAnsi" w:hAnsiTheme="minorHAnsi" w:cstheme="minorHAnsi"/>
          <w:sz w:val="20"/>
          <w:szCs w:val="20"/>
        </w:rPr>
      </w:pPr>
    </w:p>
    <w:tbl>
      <w:tblPr>
        <w:tblStyle w:val="GridTable7Colorful-Accent5"/>
        <w:tblW w:w="14732" w:type="dxa"/>
        <w:tblInd w:w="-557" w:type="dxa"/>
        <w:tblLook w:val="04A0" w:firstRow="1" w:lastRow="0" w:firstColumn="1" w:lastColumn="0" w:noHBand="0" w:noVBand="1"/>
      </w:tblPr>
      <w:tblGrid>
        <w:gridCol w:w="6"/>
        <w:gridCol w:w="1334"/>
        <w:gridCol w:w="770"/>
        <w:gridCol w:w="1354"/>
        <w:gridCol w:w="1126"/>
        <w:gridCol w:w="1487"/>
        <w:gridCol w:w="1270"/>
        <w:gridCol w:w="2466"/>
        <w:gridCol w:w="2481"/>
        <w:gridCol w:w="2014"/>
        <w:gridCol w:w="424"/>
      </w:tblGrid>
      <w:tr w:rsidR="009356EC" w14:paraId="62303AFE" w14:textId="77777777" w:rsidTr="001F5B0D">
        <w:trPr>
          <w:gridAfter w:val="1"/>
          <w:cnfStyle w:val="100000000000" w:firstRow="1" w:lastRow="0" w:firstColumn="0" w:lastColumn="0" w:oddVBand="0" w:evenVBand="0" w:oddHBand="0" w:evenHBand="0" w:firstRowFirstColumn="0" w:firstRowLastColumn="0" w:lastRowFirstColumn="0" w:lastRowLastColumn="0"/>
          <w:wAfter w:w="557" w:type="dxa"/>
        </w:trPr>
        <w:tc>
          <w:tcPr>
            <w:cnfStyle w:val="001000000100" w:firstRow="0" w:lastRow="0" w:firstColumn="1" w:lastColumn="0" w:oddVBand="0" w:evenVBand="0" w:oddHBand="0" w:evenHBand="0" w:firstRowFirstColumn="1" w:firstRowLastColumn="0" w:lastRowFirstColumn="0" w:lastRowLastColumn="0"/>
            <w:tcW w:w="1358" w:type="dxa"/>
            <w:gridSpan w:val="2"/>
          </w:tcPr>
          <w:p w14:paraId="38127A8D" w14:textId="77777777" w:rsidR="009356EC" w:rsidRPr="00C84BE3" w:rsidRDefault="009356EC" w:rsidP="001F5B0D">
            <w:pPr>
              <w:jc w:val="both"/>
              <w:rPr>
                <w:rFonts w:asciiTheme="minorHAnsi" w:hAnsiTheme="minorHAnsi" w:cstheme="minorHAnsi"/>
              </w:rPr>
            </w:pPr>
            <w:r w:rsidRPr="00C84BE3">
              <w:rPr>
                <w:rFonts w:asciiTheme="minorHAnsi" w:hAnsiTheme="minorHAnsi" w:cstheme="minorHAnsi"/>
              </w:rPr>
              <w:lastRenderedPageBreak/>
              <w:t>Authors</w:t>
            </w:r>
          </w:p>
        </w:tc>
        <w:tc>
          <w:tcPr>
            <w:tcW w:w="794" w:type="dxa"/>
          </w:tcPr>
          <w:p w14:paraId="37F448F1"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C84BE3">
              <w:rPr>
                <w:rFonts w:asciiTheme="minorHAnsi" w:hAnsiTheme="minorHAnsi" w:cstheme="minorHAnsi"/>
              </w:rPr>
              <w:t>Year</w:t>
            </w:r>
          </w:p>
        </w:tc>
        <w:tc>
          <w:tcPr>
            <w:tcW w:w="1259" w:type="dxa"/>
          </w:tcPr>
          <w:p w14:paraId="319F1799"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i/>
              </w:rPr>
            </w:pPr>
            <w:r w:rsidRPr="00C84BE3">
              <w:rPr>
                <w:rFonts w:asciiTheme="minorHAnsi" w:hAnsiTheme="minorHAnsi" w:cstheme="minorHAnsi"/>
              </w:rPr>
              <w:t>Country</w:t>
            </w:r>
          </w:p>
        </w:tc>
        <w:tc>
          <w:tcPr>
            <w:tcW w:w="1142" w:type="dxa"/>
          </w:tcPr>
          <w:p w14:paraId="3F591E73"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C84BE3">
              <w:rPr>
                <w:rFonts w:asciiTheme="minorHAnsi" w:hAnsiTheme="minorHAnsi" w:cstheme="minorHAnsi"/>
              </w:rPr>
              <w:t>Included study design</w:t>
            </w:r>
          </w:p>
        </w:tc>
        <w:tc>
          <w:tcPr>
            <w:tcW w:w="1469" w:type="dxa"/>
          </w:tcPr>
          <w:p w14:paraId="58F201C2"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rPr>
            </w:pPr>
            <w:r w:rsidRPr="00C84BE3">
              <w:rPr>
                <w:rFonts w:asciiTheme="minorHAnsi" w:hAnsiTheme="minorHAnsi" w:cstheme="minorHAnsi"/>
              </w:rPr>
              <w:t>No. of studies</w:t>
            </w:r>
          </w:p>
          <w:p w14:paraId="573A6377"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C84BE3">
              <w:rPr>
                <w:rFonts w:asciiTheme="minorHAnsi" w:hAnsiTheme="minorHAnsi" w:cstheme="minorHAnsi"/>
                <w:i/>
              </w:rPr>
              <w:t>(total no. of participants)</w:t>
            </w:r>
          </w:p>
        </w:tc>
        <w:tc>
          <w:tcPr>
            <w:tcW w:w="1278" w:type="dxa"/>
          </w:tcPr>
          <w:p w14:paraId="7606ACF6"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C84BE3">
              <w:rPr>
                <w:rFonts w:asciiTheme="minorHAnsi" w:hAnsiTheme="minorHAnsi" w:cstheme="minorHAnsi"/>
              </w:rPr>
              <w:t>Search period</w:t>
            </w:r>
          </w:p>
        </w:tc>
        <w:tc>
          <w:tcPr>
            <w:tcW w:w="2613" w:type="dxa"/>
          </w:tcPr>
          <w:p w14:paraId="7926464F"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C84BE3">
              <w:rPr>
                <w:rFonts w:asciiTheme="minorHAnsi" w:hAnsiTheme="minorHAnsi" w:cstheme="minorHAnsi"/>
              </w:rPr>
              <w:t>Intervention</w:t>
            </w:r>
          </w:p>
        </w:tc>
        <w:tc>
          <w:tcPr>
            <w:tcW w:w="2693" w:type="dxa"/>
          </w:tcPr>
          <w:p w14:paraId="4C644919"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C84BE3">
              <w:rPr>
                <w:rFonts w:asciiTheme="minorHAnsi" w:hAnsiTheme="minorHAnsi" w:cstheme="minorHAnsi"/>
              </w:rPr>
              <w:t>Primary outcome measures</w:t>
            </w:r>
          </w:p>
        </w:tc>
        <w:tc>
          <w:tcPr>
            <w:tcW w:w="2126" w:type="dxa"/>
          </w:tcPr>
          <w:p w14:paraId="3E551C6C" w14:textId="77777777" w:rsidR="009356EC" w:rsidRPr="00C84BE3" w:rsidRDefault="009356EC" w:rsidP="001F5B0D">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C84BE3">
              <w:rPr>
                <w:rFonts w:asciiTheme="minorHAnsi" w:hAnsiTheme="minorHAnsi" w:cstheme="minorHAnsi"/>
              </w:rPr>
              <w:t>Quality evaluation method</w:t>
            </w:r>
          </w:p>
        </w:tc>
      </w:tr>
      <w:tr w:rsidR="009356EC" w14:paraId="62A79029" w14:textId="77777777" w:rsidTr="001F5B0D">
        <w:trPr>
          <w:gridBefore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6F54015B"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Albrecht et al.</w:t>
            </w:r>
          </w:p>
        </w:tc>
        <w:tc>
          <w:tcPr>
            <w:tcW w:w="794" w:type="dxa"/>
          </w:tcPr>
          <w:p w14:paraId="04C4ED28"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2019</w:t>
            </w:r>
          </w:p>
        </w:tc>
        <w:tc>
          <w:tcPr>
            <w:tcW w:w="1259" w:type="dxa"/>
          </w:tcPr>
          <w:p w14:paraId="11CADCFE"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Switzerland</w:t>
            </w:r>
          </w:p>
        </w:tc>
        <w:tc>
          <w:tcPr>
            <w:tcW w:w="1142" w:type="dxa"/>
          </w:tcPr>
          <w:p w14:paraId="2E8CBE5D"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w:t>
            </w:r>
          </w:p>
        </w:tc>
        <w:tc>
          <w:tcPr>
            <w:tcW w:w="1469" w:type="dxa"/>
          </w:tcPr>
          <w:p w14:paraId="686FB133"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27</w:t>
            </w:r>
          </w:p>
          <w:p w14:paraId="1FEDF34E"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(1,630)</w:t>
            </w:r>
          </w:p>
        </w:tc>
        <w:tc>
          <w:tcPr>
            <w:tcW w:w="1278" w:type="dxa"/>
          </w:tcPr>
          <w:p w14:paraId="069BC1E5"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30 June 2019</w:t>
            </w:r>
          </w:p>
        </w:tc>
        <w:tc>
          <w:tcPr>
            <w:tcW w:w="2613" w:type="dxa"/>
          </w:tcPr>
          <w:p w14:paraId="206A1767"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High-dose vs low-dose intraoperative opioids</w:t>
            </w:r>
          </w:p>
        </w:tc>
        <w:tc>
          <w:tcPr>
            <w:tcW w:w="2693" w:type="dxa"/>
          </w:tcPr>
          <w:p w14:paraId="2110A083"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Pain score at rest at 24 postoperative hours</w:t>
            </w:r>
          </w:p>
        </w:tc>
        <w:tc>
          <w:tcPr>
            <w:tcW w:w="2126" w:type="dxa"/>
            <w:gridSpan w:val="2"/>
          </w:tcPr>
          <w:p w14:paraId="15EA901E"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GRADE</w:t>
            </w:r>
          </w:p>
        </w:tc>
      </w:tr>
      <w:tr w:rsidR="009356EC" w14:paraId="594CFDC2" w14:textId="77777777" w:rsidTr="001F5B0D">
        <w:trPr>
          <w:gridBefore w:val="1"/>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515256C0"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Arwi &amp; Schug</w:t>
            </w:r>
          </w:p>
        </w:tc>
        <w:tc>
          <w:tcPr>
            <w:tcW w:w="794" w:type="dxa"/>
          </w:tcPr>
          <w:p w14:paraId="5ED6E621"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2020</w:t>
            </w:r>
          </w:p>
        </w:tc>
        <w:tc>
          <w:tcPr>
            <w:tcW w:w="1259" w:type="dxa"/>
          </w:tcPr>
          <w:p w14:paraId="75476CC8"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Australia</w:t>
            </w:r>
          </w:p>
        </w:tc>
        <w:tc>
          <w:tcPr>
            <w:tcW w:w="1142" w:type="dxa"/>
          </w:tcPr>
          <w:p w14:paraId="50252AF8"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NRSIs</w:t>
            </w:r>
          </w:p>
        </w:tc>
        <w:tc>
          <w:tcPr>
            <w:tcW w:w="1469" w:type="dxa"/>
          </w:tcPr>
          <w:p w14:paraId="3CEE3EBD"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28</w:t>
            </w:r>
          </w:p>
          <w:p w14:paraId="1AE9BFEA"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(661,441)</w:t>
            </w:r>
          </w:p>
        </w:tc>
        <w:tc>
          <w:tcPr>
            <w:tcW w:w="1278" w:type="dxa"/>
          </w:tcPr>
          <w:p w14:paraId="14743307"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1 December 2018</w:t>
            </w:r>
          </w:p>
        </w:tc>
        <w:tc>
          <w:tcPr>
            <w:tcW w:w="2613" w:type="dxa"/>
          </w:tcPr>
          <w:p w14:paraId="48D63DCD"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Opioids prescribed at discharge after inpatient care</w:t>
            </w:r>
          </w:p>
        </w:tc>
        <w:tc>
          <w:tcPr>
            <w:tcW w:w="2693" w:type="dxa"/>
          </w:tcPr>
          <w:p w14:paraId="5E0DCC65"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The potential for harm of discharge opioids including excessive prescribing of discharge opioids, improper storage and disposal of opioids</w:t>
            </w:r>
          </w:p>
        </w:tc>
        <w:tc>
          <w:tcPr>
            <w:tcW w:w="2126" w:type="dxa"/>
            <w:gridSpan w:val="2"/>
          </w:tcPr>
          <w:p w14:paraId="5267203F"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Newcastle-Ottawa Quality Assessment Scale</w:t>
            </w:r>
          </w:p>
        </w:tc>
      </w:tr>
      <w:tr w:rsidR="009356EC" w14:paraId="5BE0029E" w14:textId="77777777" w:rsidTr="001F5B0D">
        <w:trPr>
          <w:gridBefore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79AFD264"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Baamer et al.</w:t>
            </w:r>
          </w:p>
        </w:tc>
        <w:tc>
          <w:tcPr>
            <w:tcW w:w="794" w:type="dxa"/>
          </w:tcPr>
          <w:p w14:paraId="69273B24"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2022</w:t>
            </w:r>
          </w:p>
        </w:tc>
        <w:tc>
          <w:tcPr>
            <w:tcW w:w="1259" w:type="dxa"/>
          </w:tcPr>
          <w:p w14:paraId="2114B4D0"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UK</w:t>
            </w:r>
          </w:p>
        </w:tc>
        <w:tc>
          <w:tcPr>
            <w:tcW w:w="1142" w:type="dxa"/>
          </w:tcPr>
          <w:p w14:paraId="32695625"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 and NRSIs</w:t>
            </w:r>
          </w:p>
        </w:tc>
        <w:tc>
          <w:tcPr>
            <w:tcW w:w="1469" w:type="dxa"/>
          </w:tcPr>
          <w:p w14:paraId="0E1AA754"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31</w:t>
            </w:r>
          </w:p>
          <w:p w14:paraId="2F920BD9"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(12,498)</w:t>
            </w:r>
          </w:p>
        </w:tc>
        <w:tc>
          <w:tcPr>
            <w:tcW w:w="1278" w:type="dxa"/>
          </w:tcPr>
          <w:p w14:paraId="10DD3E81"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August 2020</w:t>
            </w:r>
          </w:p>
        </w:tc>
        <w:tc>
          <w:tcPr>
            <w:tcW w:w="2613" w:type="dxa"/>
          </w:tcPr>
          <w:p w14:paraId="12B396F5"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Unidimensional and functional assessment tools used for postoperative patients</w:t>
            </w:r>
          </w:p>
        </w:tc>
        <w:tc>
          <w:tcPr>
            <w:tcW w:w="2693" w:type="dxa"/>
          </w:tcPr>
          <w:p w14:paraId="0EB30268"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Measurement error, cross-cultural validity, reliability, responsiveness, and hypothesis testing for construct validity</w:t>
            </w:r>
          </w:p>
        </w:tc>
        <w:tc>
          <w:tcPr>
            <w:tcW w:w="2126" w:type="dxa"/>
            <w:gridSpan w:val="2"/>
          </w:tcPr>
          <w:p w14:paraId="04701B9D"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Modified version of the Newcastle-Ottawa Quality Assessment Scale; and COSMIN criteria for methodological quality</w:t>
            </w:r>
          </w:p>
        </w:tc>
      </w:tr>
      <w:tr w:rsidR="009356EC" w14:paraId="51834340" w14:textId="77777777" w:rsidTr="001F5B0D">
        <w:trPr>
          <w:gridBefore w:val="1"/>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3BD14429"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Bicket et al.</w:t>
            </w:r>
          </w:p>
        </w:tc>
        <w:tc>
          <w:tcPr>
            <w:tcW w:w="794" w:type="dxa"/>
          </w:tcPr>
          <w:p w14:paraId="6630ADC9"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2017</w:t>
            </w:r>
          </w:p>
        </w:tc>
        <w:tc>
          <w:tcPr>
            <w:tcW w:w="1259" w:type="dxa"/>
          </w:tcPr>
          <w:p w14:paraId="7487F080"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USA</w:t>
            </w:r>
          </w:p>
        </w:tc>
        <w:tc>
          <w:tcPr>
            <w:tcW w:w="1142" w:type="dxa"/>
          </w:tcPr>
          <w:p w14:paraId="1E2261B4"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 and NRSIs</w:t>
            </w:r>
          </w:p>
        </w:tc>
        <w:tc>
          <w:tcPr>
            <w:tcW w:w="1469" w:type="dxa"/>
          </w:tcPr>
          <w:p w14:paraId="280AEBF7"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6</w:t>
            </w:r>
          </w:p>
          <w:p w14:paraId="460B37B3"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(810)</w:t>
            </w:r>
          </w:p>
        </w:tc>
        <w:tc>
          <w:tcPr>
            <w:tcW w:w="1278" w:type="dxa"/>
          </w:tcPr>
          <w:p w14:paraId="3764A71E"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20 July 2016</w:t>
            </w:r>
          </w:p>
        </w:tc>
        <w:tc>
          <w:tcPr>
            <w:tcW w:w="2613" w:type="dxa"/>
          </w:tcPr>
          <w:p w14:paraId="2B6C029D"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Opioids prescribed for acute postoperative pain</w:t>
            </w:r>
          </w:p>
        </w:tc>
        <w:tc>
          <w:tcPr>
            <w:tcW w:w="2693" w:type="dxa"/>
          </w:tcPr>
          <w:p w14:paraId="69AD1D45"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The number of patients reporting any unused opioids</w:t>
            </w:r>
          </w:p>
        </w:tc>
        <w:tc>
          <w:tcPr>
            <w:tcW w:w="2126" w:type="dxa"/>
            <w:gridSpan w:val="2"/>
          </w:tcPr>
          <w:p w14:paraId="3148D0E9"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Newcastle-Ottawa Quality Assessment Scale</w:t>
            </w:r>
          </w:p>
        </w:tc>
      </w:tr>
      <w:tr w:rsidR="009356EC" w14:paraId="0F339A2C" w14:textId="77777777" w:rsidTr="001F5B0D">
        <w:trPr>
          <w:gridBefore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33B7C877"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Feinberg et al.</w:t>
            </w:r>
          </w:p>
        </w:tc>
        <w:tc>
          <w:tcPr>
            <w:tcW w:w="794" w:type="dxa"/>
          </w:tcPr>
          <w:p w14:paraId="2C924B62"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2018</w:t>
            </w:r>
          </w:p>
        </w:tc>
        <w:tc>
          <w:tcPr>
            <w:tcW w:w="1259" w:type="dxa"/>
          </w:tcPr>
          <w:p w14:paraId="0362B364"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Canada</w:t>
            </w:r>
          </w:p>
        </w:tc>
        <w:tc>
          <w:tcPr>
            <w:tcW w:w="1142" w:type="dxa"/>
          </w:tcPr>
          <w:p w14:paraId="7C88AD0F"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NRSIs</w:t>
            </w:r>
          </w:p>
        </w:tc>
        <w:tc>
          <w:tcPr>
            <w:tcW w:w="1469" w:type="dxa"/>
          </w:tcPr>
          <w:p w14:paraId="22641F53"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11</w:t>
            </w:r>
          </w:p>
          <w:p w14:paraId="761264D4"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(3,562)</w:t>
            </w:r>
          </w:p>
        </w:tc>
        <w:tc>
          <w:tcPr>
            <w:tcW w:w="1278" w:type="dxa"/>
          </w:tcPr>
          <w:p w14:paraId="3AB30344"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17 December 2016</w:t>
            </w:r>
          </w:p>
        </w:tc>
        <w:tc>
          <w:tcPr>
            <w:tcW w:w="2613" w:type="dxa"/>
          </w:tcPr>
          <w:p w14:paraId="00911110"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Opioids prescribed for acute postoperative pain</w:t>
            </w:r>
          </w:p>
        </w:tc>
        <w:tc>
          <w:tcPr>
            <w:tcW w:w="2693" w:type="dxa"/>
          </w:tcPr>
          <w:p w14:paraId="58483F9E"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The quantity of opioid medication used post-discharge</w:t>
            </w:r>
          </w:p>
        </w:tc>
        <w:tc>
          <w:tcPr>
            <w:tcW w:w="2126" w:type="dxa"/>
            <w:gridSpan w:val="2"/>
          </w:tcPr>
          <w:p w14:paraId="66BD8210"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None</w:t>
            </w:r>
          </w:p>
        </w:tc>
      </w:tr>
      <w:tr w:rsidR="009356EC" w14:paraId="2D07D8EF" w14:textId="77777777" w:rsidTr="001F5B0D">
        <w:trPr>
          <w:gridBefore w:val="1"/>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49AE5536"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Horn et al.</w:t>
            </w:r>
          </w:p>
        </w:tc>
        <w:tc>
          <w:tcPr>
            <w:tcW w:w="794" w:type="dxa"/>
          </w:tcPr>
          <w:p w14:paraId="4007E08B"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2020</w:t>
            </w:r>
          </w:p>
        </w:tc>
        <w:tc>
          <w:tcPr>
            <w:tcW w:w="1259" w:type="dxa"/>
          </w:tcPr>
          <w:p w14:paraId="093E0BDE"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USA</w:t>
            </w:r>
          </w:p>
        </w:tc>
        <w:tc>
          <w:tcPr>
            <w:tcW w:w="1142" w:type="dxa"/>
          </w:tcPr>
          <w:p w14:paraId="2C59EF2F"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 and NRSIs</w:t>
            </w:r>
          </w:p>
        </w:tc>
        <w:tc>
          <w:tcPr>
            <w:tcW w:w="1469" w:type="dxa"/>
          </w:tcPr>
          <w:p w14:paraId="1139A602"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43</w:t>
            </w:r>
          </w:p>
          <w:p w14:paraId="6BA25C96"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(Not reported)</w:t>
            </w:r>
          </w:p>
        </w:tc>
        <w:tc>
          <w:tcPr>
            <w:tcW w:w="1278" w:type="dxa"/>
          </w:tcPr>
          <w:p w14:paraId="4EC6D9BB"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Not reported</w:t>
            </w:r>
          </w:p>
        </w:tc>
        <w:tc>
          <w:tcPr>
            <w:tcW w:w="2613" w:type="dxa"/>
          </w:tcPr>
          <w:p w14:paraId="3D9BC2DC"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Preoperative psychoeducational methods</w:t>
            </w:r>
          </w:p>
        </w:tc>
        <w:tc>
          <w:tcPr>
            <w:tcW w:w="2693" w:type="dxa"/>
          </w:tcPr>
          <w:p w14:paraId="1B8F494A"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 xml:space="preserve">The quality of preoperative psychoeducation and </w:t>
            </w:r>
            <w:r w:rsidRPr="00C84BE3">
              <w:rPr>
                <w:rFonts w:asciiTheme="minorHAnsi" w:hAnsiTheme="minorHAnsi" w:cstheme="minorHAnsi"/>
                <w:color w:val="000000" w:themeColor="text1"/>
              </w:rPr>
              <w:lastRenderedPageBreak/>
              <w:t>its effects on the outcome of surgery</w:t>
            </w:r>
          </w:p>
        </w:tc>
        <w:tc>
          <w:tcPr>
            <w:tcW w:w="2126" w:type="dxa"/>
            <w:gridSpan w:val="2"/>
          </w:tcPr>
          <w:p w14:paraId="62FB6DC7"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lastRenderedPageBreak/>
              <w:t>Oxford levels of evidence</w:t>
            </w:r>
          </w:p>
          <w:p w14:paraId="62AF5996"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p w14:paraId="7C0CB7B7"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p w14:paraId="0EF0DAB9"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p>
          <w:p w14:paraId="4903ACC5" w14:textId="77777777" w:rsidR="009356EC" w:rsidRPr="00C84BE3" w:rsidRDefault="009356EC" w:rsidP="001F5B0D">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r>
      <w:tr w:rsidR="009356EC" w14:paraId="30D3B5ED" w14:textId="77777777" w:rsidTr="001F5B0D">
        <w:trPr>
          <w:gridBefore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211A1AB9"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lastRenderedPageBreak/>
              <w:t>Lamplot et al.</w:t>
            </w:r>
          </w:p>
        </w:tc>
        <w:tc>
          <w:tcPr>
            <w:tcW w:w="794" w:type="dxa"/>
          </w:tcPr>
          <w:p w14:paraId="017FF324"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2021</w:t>
            </w:r>
          </w:p>
        </w:tc>
        <w:tc>
          <w:tcPr>
            <w:tcW w:w="1259" w:type="dxa"/>
          </w:tcPr>
          <w:p w14:paraId="249F6DF1"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USA</w:t>
            </w:r>
          </w:p>
        </w:tc>
        <w:tc>
          <w:tcPr>
            <w:tcW w:w="1142" w:type="dxa"/>
          </w:tcPr>
          <w:p w14:paraId="1349836E"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 and NRSIs</w:t>
            </w:r>
          </w:p>
        </w:tc>
        <w:tc>
          <w:tcPr>
            <w:tcW w:w="1469" w:type="dxa"/>
          </w:tcPr>
          <w:p w14:paraId="0643DFE1"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16</w:t>
            </w:r>
          </w:p>
          <w:p w14:paraId="74F06C73"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(3,077)</w:t>
            </w:r>
          </w:p>
        </w:tc>
        <w:tc>
          <w:tcPr>
            <w:tcW w:w="1278" w:type="dxa"/>
          </w:tcPr>
          <w:p w14:paraId="467D78B1"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2 October 2019</w:t>
            </w:r>
          </w:p>
        </w:tc>
        <w:tc>
          <w:tcPr>
            <w:tcW w:w="2613" w:type="dxa"/>
          </w:tcPr>
          <w:p w14:paraId="568BF8BD"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Opioids prescribed for acute postoperative pain</w:t>
            </w:r>
          </w:p>
        </w:tc>
        <w:tc>
          <w:tcPr>
            <w:tcW w:w="2693" w:type="dxa"/>
          </w:tcPr>
          <w:p w14:paraId="52D24DB7"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Rates of disposal of unused opioids and the reported disposal mechanisms for unused opioids</w:t>
            </w:r>
          </w:p>
        </w:tc>
        <w:tc>
          <w:tcPr>
            <w:tcW w:w="2126" w:type="dxa"/>
            <w:gridSpan w:val="2"/>
          </w:tcPr>
          <w:p w14:paraId="68FC4443"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SIGN checklists for cohort studies and RCTs</w:t>
            </w:r>
          </w:p>
        </w:tc>
      </w:tr>
      <w:tr w:rsidR="009356EC" w14:paraId="33BB0729" w14:textId="77777777" w:rsidTr="001F5B0D">
        <w:trPr>
          <w:gridBefore w:val="1"/>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44F71B0A"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Lawal et al.</w:t>
            </w:r>
          </w:p>
        </w:tc>
        <w:tc>
          <w:tcPr>
            <w:tcW w:w="794" w:type="dxa"/>
          </w:tcPr>
          <w:p w14:paraId="56D53595"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2020</w:t>
            </w:r>
          </w:p>
        </w:tc>
        <w:tc>
          <w:tcPr>
            <w:tcW w:w="1259" w:type="dxa"/>
          </w:tcPr>
          <w:p w14:paraId="4C7584FF"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USA</w:t>
            </w:r>
          </w:p>
        </w:tc>
        <w:tc>
          <w:tcPr>
            <w:tcW w:w="1142" w:type="dxa"/>
          </w:tcPr>
          <w:p w14:paraId="537C0BBE"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NRSIs</w:t>
            </w:r>
          </w:p>
        </w:tc>
        <w:tc>
          <w:tcPr>
            <w:tcW w:w="1469" w:type="dxa"/>
          </w:tcPr>
          <w:p w14:paraId="58DB6172"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33</w:t>
            </w:r>
          </w:p>
          <w:p w14:paraId="7336420E"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(1,922,743)</w:t>
            </w:r>
          </w:p>
        </w:tc>
        <w:tc>
          <w:tcPr>
            <w:tcW w:w="1278" w:type="dxa"/>
          </w:tcPr>
          <w:p w14:paraId="039105A8"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30 June 2019</w:t>
            </w:r>
          </w:p>
        </w:tc>
        <w:tc>
          <w:tcPr>
            <w:tcW w:w="2613" w:type="dxa"/>
          </w:tcPr>
          <w:p w14:paraId="6D92A72A"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Postoperative opioid use</w:t>
            </w:r>
          </w:p>
        </w:tc>
        <w:tc>
          <w:tcPr>
            <w:tcW w:w="2693" w:type="dxa"/>
          </w:tcPr>
          <w:p w14:paraId="2E23EBBF"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Risk factors associated with prolonged opioid use after surgery</w:t>
            </w:r>
          </w:p>
        </w:tc>
        <w:tc>
          <w:tcPr>
            <w:tcW w:w="2126" w:type="dxa"/>
            <w:gridSpan w:val="2"/>
          </w:tcPr>
          <w:p w14:paraId="3317D109"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Newcastle-Ottawa Quality Assessment Scale</w:t>
            </w:r>
          </w:p>
        </w:tc>
      </w:tr>
      <w:tr w:rsidR="009356EC" w14:paraId="5A28C4BF" w14:textId="77777777" w:rsidTr="001F5B0D">
        <w:trPr>
          <w:gridBefore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290E6EE9"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Martinez et al.</w:t>
            </w:r>
          </w:p>
        </w:tc>
        <w:tc>
          <w:tcPr>
            <w:tcW w:w="794" w:type="dxa"/>
          </w:tcPr>
          <w:p w14:paraId="29C1B145"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2017</w:t>
            </w:r>
          </w:p>
        </w:tc>
        <w:tc>
          <w:tcPr>
            <w:tcW w:w="1259" w:type="dxa"/>
          </w:tcPr>
          <w:p w14:paraId="06BA68A1"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France</w:t>
            </w:r>
          </w:p>
        </w:tc>
        <w:tc>
          <w:tcPr>
            <w:tcW w:w="1142" w:type="dxa"/>
          </w:tcPr>
          <w:p w14:paraId="384CA3AF"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w:t>
            </w:r>
          </w:p>
        </w:tc>
        <w:tc>
          <w:tcPr>
            <w:tcW w:w="1469" w:type="dxa"/>
          </w:tcPr>
          <w:p w14:paraId="6F303714"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135</w:t>
            </w:r>
          </w:p>
          <w:p w14:paraId="27BDF78C"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(13,287)</w:t>
            </w:r>
          </w:p>
        </w:tc>
        <w:tc>
          <w:tcPr>
            <w:tcW w:w="1278" w:type="dxa"/>
          </w:tcPr>
          <w:p w14:paraId="3DCE844F"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August 2015</w:t>
            </w:r>
          </w:p>
        </w:tc>
        <w:tc>
          <w:tcPr>
            <w:tcW w:w="2613" w:type="dxa"/>
          </w:tcPr>
          <w:p w14:paraId="36B6AB5C"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Analgesics other than morphine prescribed for acute postoperative pain</w:t>
            </w:r>
          </w:p>
        </w:tc>
        <w:tc>
          <w:tcPr>
            <w:tcW w:w="2693" w:type="dxa"/>
          </w:tcPr>
          <w:p w14:paraId="18D8A80A"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Morphine consumption, pain, incidence of nausea, vomiting at 24 hours and severe adverse effects</w:t>
            </w:r>
          </w:p>
        </w:tc>
        <w:tc>
          <w:tcPr>
            <w:tcW w:w="2126" w:type="dxa"/>
            <w:gridSpan w:val="2"/>
          </w:tcPr>
          <w:p w14:paraId="4AB34347"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Cochrane Risk of Bias tool</w:t>
            </w:r>
          </w:p>
        </w:tc>
      </w:tr>
      <w:tr w:rsidR="009356EC" w14:paraId="6D506756" w14:textId="77777777" w:rsidTr="001F5B0D">
        <w:trPr>
          <w:gridBefore w:val="1"/>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6910B7F0"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Powell et al.</w:t>
            </w:r>
          </w:p>
        </w:tc>
        <w:tc>
          <w:tcPr>
            <w:tcW w:w="794" w:type="dxa"/>
          </w:tcPr>
          <w:p w14:paraId="416D6940"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2016</w:t>
            </w:r>
          </w:p>
        </w:tc>
        <w:tc>
          <w:tcPr>
            <w:tcW w:w="1259" w:type="dxa"/>
          </w:tcPr>
          <w:p w14:paraId="1D6B87C8"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UK</w:t>
            </w:r>
          </w:p>
        </w:tc>
        <w:tc>
          <w:tcPr>
            <w:tcW w:w="1142" w:type="dxa"/>
          </w:tcPr>
          <w:p w14:paraId="4144BABB"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w:t>
            </w:r>
          </w:p>
        </w:tc>
        <w:tc>
          <w:tcPr>
            <w:tcW w:w="1469" w:type="dxa"/>
          </w:tcPr>
          <w:p w14:paraId="04BC5ED2"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105</w:t>
            </w:r>
          </w:p>
          <w:p w14:paraId="498E4B52"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(10,302)</w:t>
            </w:r>
          </w:p>
        </w:tc>
        <w:tc>
          <w:tcPr>
            <w:tcW w:w="1278" w:type="dxa"/>
          </w:tcPr>
          <w:p w14:paraId="72EC68FF"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Up to May 2014</w:t>
            </w:r>
          </w:p>
        </w:tc>
        <w:tc>
          <w:tcPr>
            <w:tcW w:w="2613" w:type="dxa"/>
          </w:tcPr>
          <w:p w14:paraId="7284E12A"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Psychological preparation in adults undergoing elective surgery under general anaesthetic</w:t>
            </w:r>
          </w:p>
        </w:tc>
        <w:tc>
          <w:tcPr>
            <w:tcW w:w="2693" w:type="dxa"/>
          </w:tcPr>
          <w:p w14:paraId="6EBF0310"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Postoperative outcomes including pain, behavioural recovery, length of stay and negative affect</w:t>
            </w:r>
          </w:p>
        </w:tc>
        <w:tc>
          <w:tcPr>
            <w:tcW w:w="2126" w:type="dxa"/>
            <w:gridSpan w:val="2"/>
          </w:tcPr>
          <w:p w14:paraId="30E571ED"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Cochrane Risk of Bias tool</w:t>
            </w:r>
          </w:p>
        </w:tc>
      </w:tr>
      <w:tr w:rsidR="009356EC" w14:paraId="1D00122B" w14:textId="77777777" w:rsidTr="001F5B0D">
        <w:trPr>
          <w:gridBefore w:val="1"/>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40995111" w14:textId="77777777" w:rsidR="009356EC" w:rsidRPr="00C84BE3" w:rsidRDefault="009356EC" w:rsidP="001F5B0D">
            <w:pPr>
              <w:jc w:val="left"/>
              <w:rPr>
                <w:rFonts w:asciiTheme="minorHAnsi" w:hAnsiTheme="minorHAnsi" w:cstheme="minorHAnsi"/>
                <w:i w:val="0"/>
                <w:color w:val="000000" w:themeColor="text1"/>
              </w:rPr>
            </w:pPr>
            <w:r w:rsidRPr="00C84BE3">
              <w:rPr>
                <w:rFonts w:asciiTheme="minorHAnsi" w:hAnsiTheme="minorHAnsi" w:cstheme="minorHAnsi"/>
                <w:color w:val="000000" w:themeColor="text1"/>
              </w:rPr>
              <w:t>Sobol-Kwapinska et al.</w:t>
            </w:r>
          </w:p>
        </w:tc>
        <w:tc>
          <w:tcPr>
            <w:tcW w:w="794" w:type="dxa"/>
          </w:tcPr>
          <w:p w14:paraId="54C7D8B5"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2016</w:t>
            </w:r>
          </w:p>
        </w:tc>
        <w:tc>
          <w:tcPr>
            <w:tcW w:w="1259" w:type="dxa"/>
          </w:tcPr>
          <w:p w14:paraId="11D1884D"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Poland</w:t>
            </w:r>
          </w:p>
        </w:tc>
        <w:tc>
          <w:tcPr>
            <w:tcW w:w="1142" w:type="dxa"/>
          </w:tcPr>
          <w:p w14:paraId="2E669EB5"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Not reported</w:t>
            </w:r>
          </w:p>
        </w:tc>
        <w:tc>
          <w:tcPr>
            <w:tcW w:w="1469" w:type="dxa"/>
          </w:tcPr>
          <w:p w14:paraId="31E34A17"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53</w:t>
            </w:r>
          </w:p>
          <w:p w14:paraId="779E2101"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(10,749)</w:t>
            </w:r>
          </w:p>
        </w:tc>
        <w:tc>
          <w:tcPr>
            <w:tcW w:w="1278" w:type="dxa"/>
          </w:tcPr>
          <w:p w14:paraId="08651C9A" w14:textId="77777777" w:rsidR="009356EC" w:rsidRPr="00C84BE3"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January 1960 – 30 November 2015</w:t>
            </w:r>
          </w:p>
        </w:tc>
        <w:tc>
          <w:tcPr>
            <w:tcW w:w="2613" w:type="dxa"/>
          </w:tcPr>
          <w:p w14:paraId="2A06EF87"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Preoperative psychological factors</w:t>
            </w:r>
          </w:p>
        </w:tc>
        <w:tc>
          <w:tcPr>
            <w:tcW w:w="2693" w:type="dxa"/>
          </w:tcPr>
          <w:p w14:paraId="671FCEA1"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Acute postoperative pain and analgesic consumption</w:t>
            </w:r>
          </w:p>
        </w:tc>
        <w:tc>
          <w:tcPr>
            <w:tcW w:w="2126" w:type="dxa"/>
            <w:gridSpan w:val="2"/>
          </w:tcPr>
          <w:p w14:paraId="4A46E65B" w14:textId="77777777" w:rsidR="009356EC" w:rsidRPr="00C84BE3"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Quality in Prognostic Studies tool</w:t>
            </w:r>
          </w:p>
        </w:tc>
      </w:tr>
      <w:tr w:rsidR="009356EC" w14:paraId="024BAAE4" w14:textId="77777777" w:rsidTr="001F5B0D">
        <w:trPr>
          <w:gridBefore w:val="1"/>
        </w:trPr>
        <w:tc>
          <w:tcPr>
            <w:cnfStyle w:val="001000000000" w:firstRow="0" w:lastRow="0" w:firstColumn="1" w:lastColumn="0" w:oddVBand="0" w:evenVBand="0" w:oddHBand="0" w:evenHBand="0" w:firstRowFirstColumn="0" w:firstRowLastColumn="0" w:lastRowFirstColumn="0" w:lastRowLastColumn="0"/>
            <w:tcW w:w="1358" w:type="dxa"/>
            <w:tcBorders>
              <w:top w:val="single" w:sz="4" w:space="0" w:color="9CC2E5" w:themeColor="accent5" w:themeTint="99"/>
              <w:bottom w:val="single" w:sz="4" w:space="0" w:color="9CC2E5" w:themeColor="accent5" w:themeTint="99"/>
            </w:tcBorders>
          </w:tcPr>
          <w:p w14:paraId="26C5BEAF" w14:textId="77777777" w:rsidR="009356EC" w:rsidRPr="00C84BE3" w:rsidRDefault="009356EC" w:rsidP="001F5B0D">
            <w:pPr>
              <w:jc w:val="left"/>
              <w:rPr>
                <w:rFonts w:asciiTheme="minorHAnsi" w:hAnsiTheme="minorHAnsi" w:cstheme="minorHAnsi"/>
                <w:color w:val="000000" w:themeColor="text1"/>
              </w:rPr>
            </w:pPr>
            <w:r w:rsidRPr="00C84BE3">
              <w:rPr>
                <w:rFonts w:asciiTheme="minorHAnsi" w:hAnsiTheme="minorHAnsi" w:cstheme="minorHAnsi"/>
                <w:color w:val="000000" w:themeColor="text1"/>
              </w:rPr>
              <w:t>Wetzel et al.</w:t>
            </w:r>
          </w:p>
        </w:tc>
        <w:tc>
          <w:tcPr>
            <w:tcW w:w="794" w:type="dxa"/>
          </w:tcPr>
          <w:p w14:paraId="0B3108DC"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2018</w:t>
            </w:r>
          </w:p>
        </w:tc>
        <w:tc>
          <w:tcPr>
            <w:tcW w:w="1259" w:type="dxa"/>
          </w:tcPr>
          <w:p w14:paraId="732D85C2"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USA</w:t>
            </w:r>
          </w:p>
        </w:tc>
        <w:tc>
          <w:tcPr>
            <w:tcW w:w="1142" w:type="dxa"/>
          </w:tcPr>
          <w:p w14:paraId="34715944"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RCTs and NRIs</w:t>
            </w:r>
          </w:p>
        </w:tc>
        <w:tc>
          <w:tcPr>
            <w:tcW w:w="1469" w:type="dxa"/>
          </w:tcPr>
          <w:p w14:paraId="7B7A4DDB"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8</w:t>
            </w:r>
          </w:p>
          <w:p w14:paraId="1E09C7B1"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color w:val="000000" w:themeColor="text1"/>
              </w:rPr>
            </w:pPr>
            <w:r w:rsidRPr="00C84BE3">
              <w:rPr>
                <w:rFonts w:asciiTheme="minorHAnsi" w:hAnsiTheme="minorHAnsi" w:cstheme="minorHAnsi"/>
                <w:i/>
                <w:color w:val="000000" w:themeColor="text1"/>
              </w:rPr>
              <w:t>(2,272)</w:t>
            </w:r>
          </w:p>
        </w:tc>
        <w:tc>
          <w:tcPr>
            <w:tcW w:w="1278" w:type="dxa"/>
          </w:tcPr>
          <w:p w14:paraId="783E91F6" w14:textId="77777777" w:rsidR="009356EC" w:rsidRPr="00C84BE3"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January 2000 – March 2018</w:t>
            </w:r>
          </w:p>
        </w:tc>
        <w:tc>
          <w:tcPr>
            <w:tcW w:w="2613" w:type="dxa"/>
          </w:tcPr>
          <w:p w14:paraId="13728135"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Behavioural intervention associated with postoperative prescribing</w:t>
            </w:r>
          </w:p>
        </w:tc>
        <w:tc>
          <w:tcPr>
            <w:tcW w:w="2693" w:type="dxa"/>
          </w:tcPr>
          <w:p w14:paraId="2AD38507"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Postoperative opioid prescribing</w:t>
            </w:r>
          </w:p>
        </w:tc>
        <w:tc>
          <w:tcPr>
            <w:tcW w:w="2126" w:type="dxa"/>
            <w:gridSpan w:val="2"/>
          </w:tcPr>
          <w:p w14:paraId="0FA32EEB" w14:textId="77777777" w:rsidR="009356EC" w:rsidRPr="00C84BE3"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C84BE3">
              <w:rPr>
                <w:rFonts w:asciiTheme="minorHAnsi" w:hAnsiTheme="minorHAnsi" w:cstheme="minorHAnsi"/>
                <w:color w:val="000000" w:themeColor="text1"/>
              </w:rPr>
              <w:t>Quality Assessment Tool for Quantitative Studies</w:t>
            </w:r>
          </w:p>
        </w:tc>
      </w:tr>
    </w:tbl>
    <w:p w14:paraId="2BE7A52D" w14:textId="77777777" w:rsidR="009356EC" w:rsidRPr="004104D8" w:rsidRDefault="009356EC" w:rsidP="009356EC">
      <w:pPr>
        <w:spacing w:line="360" w:lineRule="auto"/>
        <w:rPr>
          <w:rFonts w:asciiTheme="minorHAnsi" w:hAnsiTheme="minorHAnsi" w:cstheme="minorHAnsi"/>
          <w:i/>
          <w:color w:val="000000" w:themeColor="text1"/>
          <w:sz w:val="20"/>
          <w:szCs w:val="20"/>
        </w:rPr>
      </w:pPr>
      <w:r w:rsidRPr="000B61E3">
        <w:rPr>
          <w:rStyle w:val="Heading4Char"/>
        </w:rPr>
        <w:lastRenderedPageBreak/>
        <w:t>Table 2:</w:t>
      </w:r>
      <w:r w:rsidRPr="004104D8">
        <w:rPr>
          <w:i/>
          <w:color w:val="4472C4" w:themeColor="accent1"/>
        </w:rPr>
        <w:t xml:space="preserve"> </w:t>
      </w:r>
      <w:r w:rsidRPr="004104D8">
        <w:rPr>
          <w:rFonts w:asciiTheme="minorHAnsi" w:hAnsiTheme="minorHAnsi" w:cstheme="minorHAnsi"/>
          <w:b/>
          <w:i/>
          <w:color w:val="000000" w:themeColor="text1"/>
          <w:sz w:val="20"/>
          <w:szCs w:val="20"/>
        </w:rPr>
        <w:t xml:space="preserve">The characteristics of included systematic reviews. </w:t>
      </w:r>
      <w:r w:rsidRPr="004104D8">
        <w:rPr>
          <w:rFonts w:asciiTheme="minorHAnsi" w:hAnsiTheme="minorHAnsi" w:cstheme="minorHAnsi"/>
          <w:i/>
          <w:color w:val="000000" w:themeColor="text1"/>
          <w:sz w:val="20"/>
          <w:szCs w:val="20"/>
        </w:rPr>
        <w:t xml:space="preserve">This table </w:t>
      </w:r>
      <w:r w:rsidRPr="004104D8">
        <w:rPr>
          <w:rFonts w:asciiTheme="minorHAnsi" w:hAnsiTheme="minorHAnsi" w:cstheme="minorHAnsi"/>
          <w:i/>
          <w:sz w:val="20"/>
          <w:szCs w:val="20"/>
        </w:rPr>
        <w:t>describes the characteristics of each study that is included in this overview.  The author, year of publication, country, number of primary studies, number of participants, search period, intervention, primary outcome measures and quality evaluation method of each review are all stated</w:t>
      </w:r>
      <w:r w:rsidRPr="004104D8">
        <w:rPr>
          <w:rFonts w:asciiTheme="minorHAnsi" w:hAnsiTheme="minorHAnsi" w:cstheme="minorHAnsi"/>
          <w:i/>
          <w:color w:val="000000" w:themeColor="text1"/>
          <w:sz w:val="20"/>
          <w:szCs w:val="20"/>
        </w:rPr>
        <w:t xml:space="preserve">. </w:t>
      </w:r>
    </w:p>
    <w:p w14:paraId="70B8799A" w14:textId="77777777" w:rsidR="009356EC" w:rsidRPr="004104D8" w:rsidRDefault="009356EC" w:rsidP="009356EC">
      <w:pPr>
        <w:spacing w:line="360" w:lineRule="auto"/>
        <w:rPr>
          <w:rFonts w:asciiTheme="minorHAnsi" w:hAnsiTheme="minorHAnsi" w:cstheme="minorHAnsi"/>
          <w:i/>
          <w:sz w:val="20"/>
          <w:szCs w:val="20"/>
        </w:rPr>
      </w:pPr>
      <w:r w:rsidRPr="004104D8">
        <w:rPr>
          <w:rFonts w:asciiTheme="minorHAnsi" w:hAnsiTheme="minorHAnsi" w:cstheme="minorHAnsi"/>
          <w:i/>
          <w:sz w:val="20"/>
          <w:szCs w:val="20"/>
        </w:rPr>
        <w:t>(USA = United States of America; UK = United Kingdom; RCTs = randomised controlled trials; NRSIs = non-randomised studies of intervention; GRADE = Grading of Recommendations, Assessment, Development and Evaluations; SIGN = Scottish Intercollegiate Guidelines Network)</w:t>
      </w:r>
    </w:p>
    <w:p w14:paraId="701DFA02" w14:textId="77777777" w:rsidR="009356EC" w:rsidRPr="00F11900" w:rsidRDefault="009356EC" w:rsidP="009356EC">
      <w:pPr>
        <w:spacing w:line="360" w:lineRule="auto"/>
        <w:rPr>
          <w:rFonts w:asciiTheme="minorHAnsi" w:hAnsiTheme="minorHAnsi" w:cstheme="minorHAnsi"/>
          <w:i/>
          <w:sz w:val="18"/>
          <w:szCs w:val="18"/>
        </w:rPr>
      </w:pPr>
    </w:p>
    <w:p w14:paraId="490D22AD" w14:textId="77777777" w:rsidR="009356EC" w:rsidRDefault="009356EC" w:rsidP="009356EC">
      <w:pPr>
        <w:jc w:val="both"/>
        <w:rPr>
          <w:rFonts w:asciiTheme="minorHAnsi" w:hAnsiTheme="minorHAnsi" w:cstheme="minorHAnsi"/>
        </w:rPr>
      </w:pPr>
    </w:p>
    <w:tbl>
      <w:tblPr>
        <w:tblStyle w:val="GridTable7Colorful-Accent5"/>
        <w:tblW w:w="13960" w:type="dxa"/>
        <w:tblLook w:val="04A0" w:firstRow="1" w:lastRow="0" w:firstColumn="1" w:lastColumn="0" w:noHBand="0" w:noVBand="1"/>
      </w:tblPr>
      <w:tblGrid>
        <w:gridCol w:w="1311"/>
        <w:gridCol w:w="4785"/>
        <w:gridCol w:w="1505"/>
        <w:gridCol w:w="2474"/>
        <w:gridCol w:w="1851"/>
        <w:gridCol w:w="2034"/>
      </w:tblGrid>
      <w:tr w:rsidR="009356EC" w14:paraId="1DB68F1D" w14:textId="77777777" w:rsidTr="001F5B0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11" w:type="dxa"/>
          </w:tcPr>
          <w:p w14:paraId="17F81BBF" w14:textId="77777777" w:rsidR="009356EC" w:rsidRPr="004104D8" w:rsidRDefault="009356EC" w:rsidP="001F5B0D">
            <w:pPr>
              <w:jc w:val="both"/>
              <w:rPr>
                <w:rFonts w:asciiTheme="minorHAnsi" w:hAnsiTheme="minorHAnsi" w:cstheme="minorHAnsi"/>
              </w:rPr>
            </w:pPr>
            <w:r w:rsidRPr="004104D8">
              <w:rPr>
                <w:rFonts w:asciiTheme="minorHAnsi" w:hAnsiTheme="minorHAnsi" w:cstheme="minorHAnsi"/>
              </w:rPr>
              <w:t>Authors</w:t>
            </w:r>
          </w:p>
        </w:tc>
        <w:tc>
          <w:tcPr>
            <w:tcW w:w="4785" w:type="dxa"/>
          </w:tcPr>
          <w:p w14:paraId="244D1A26" w14:textId="77777777" w:rsidR="009356EC" w:rsidRPr="004104D8" w:rsidRDefault="009356EC" w:rsidP="001F5B0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4104D8">
              <w:rPr>
                <w:rFonts w:asciiTheme="minorHAnsi" w:hAnsiTheme="minorHAnsi" w:cstheme="minorHAnsi"/>
              </w:rPr>
              <w:t>Main findings</w:t>
            </w:r>
          </w:p>
        </w:tc>
        <w:tc>
          <w:tcPr>
            <w:tcW w:w="1505" w:type="dxa"/>
          </w:tcPr>
          <w:p w14:paraId="3CF0DA47" w14:textId="77777777" w:rsidR="009356EC" w:rsidRPr="004104D8" w:rsidRDefault="009356EC" w:rsidP="001F5B0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4104D8">
              <w:rPr>
                <w:rFonts w:asciiTheme="minorHAnsi" w:hAnsiTheme="minorHAnsi" w:cstheme="minorHAnsi"/>
              </w:rPr>
              <w:t>Meta-analysis (yes/no)</w:t>
            </w:r>
          </w:p>
        </w:tc>
        <w:tc>
          <w:tcPr>
            <w:tcW w:w="2474" w:type="dxa"/>
          </w:tcPr>
          <w:p w14:paraId="7EF2B1A7" w14:textId="77777777" w:rsidR="009356EC" w:rsidRPr="004104D8" w:rsidRDefault="009356EC" w:rsidP="001F5B0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4104D8">
              <w:rPr>
                <w:rFonts w:asciiTheme="minorHAnsi" w:hAnsiTheme="minorHAnsi" w:cstheme="minorHAnsi"/>
              </w:rPr>
              <w:t>Effect size with [95% confidence interval]</w:t>
            </w:r>
          </w:p>
        </w:tc>
        <w:tc>
          <w:tcPr>
            <w:tcW w:w="1851" w:type="dxa"/>
          </w:tcPr>
          <w:p w14:paraId="3F964808" w14:textId="77777777" w:rsidR="009356EC" w:rsidRPr="004104D8" w:rsidRDefault="009356EC" w:rsidP="001F5B0D">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4104D8">
              <w:rPr>
                <w:rFonts w:asciiTheme="minorHAnsi" w:hAnsiTheme="minorHAnsi" w:cstheme="minorHAnsi"/>
              </w:rPr>
              <w:t>Degree of certainty</w:t>
            </w:r>
          </w:p>
        </w:tc>
        <w:tc>
          <w:tcPr>
            <w:tcW w:w="2034" w:type="dxa"/>
          </w:tcPr>
          <w:p w14:paraId="03563832" w14:textId="77777777" w:rsidR="009356EC" w:rsidRPr="004104D8" w:rsidRDefault="009356EC" w:rsidP="001F5B0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4104D8">
              <w:rPr>
                <w:rFonts w:asciiTheme="minorHAnsi" w:hAnsiTheme="minorHAnsi" w:cstheme="minorHAnsi"/>
              </w:rPr>
              <w:t>Priority</w:t>
            </w:r>
          </w:p>
        </w:tc>
      </w:tr>
      <w:tr w:rsidR="009356EC" w14:paraId="291D11FC"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7F9D00CE" w14:textId="77777777" w:rsidR="009356EC" w:rsidRPr="004104D8" w:rsidRDefault="009356EC" w:rsidP="001F5B0D">
            <w:pPr>
              <w:jc w:val="left"/>
              <w:rPr>
                <w:rFonts w:asciiTheme="minorHAnsi" w:hAnsiTheme="minorHAnsi" w:cstheme="minorHAnsi"/>
              </w:rPr>
            </w:pPr>
            <w:r w:rsidRPr="004104D8">
              <w:rPr>
                <w:rFonts w:asciiTheme="minorHAnsi" w:hAnsiTheme="minorHAnsi" w:cstheme="minorHAnsi"/>
                <w:color w:val="000000" w:themeColor="text1"/>
              </w:rPr>
              <w:t>Albrecht et al.</w:t>
            </w:r>
          </w:p>
        </w:tc>
        <w:tc>
          <w:tcPr>
            <w:tcW w:w="4785" w:type="dxa"/>
          </w:tcPr>
          <w:p w14:paraId="4534E4A8"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There is low certainty of evidence that high-dose intraoperative opioid administration increases pain scores in the post-operative period when compared with a low-dose regimen.</w:t>
            </w:r>
          </w:p>
        </w:tc>
        <w:tc>
          <w:tcPr>
            <w:tcW w:w="1505" w:type="dxa"/>
          </w:tcPr>
          <w:p w14:paraId="1934EAC2"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Yes</w:t>
            </w:r>
          </w:p>
        </w:tc>
        <w:tc>
          <w:tcPr>
            <w:tcW w:w="2474" w:type="dxa"/>
          </w:tcPr>
          <w:p w14:paraId="1E1ED345" w14:textId="77777777" w:rsidR="009356EC" w:rsidRPr="004104D8"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Mean difference: -0.22  [-0.39, -0.05] </w:t>
            </w:r>
          </w:p>
        </w:tc>
        <w:tc>
          <w:tcPr>
            <w:tcW w:w="1851" w:type="dxa"/>
          </w:tcPr>
          <w:p w14:paraId="1F9BB9C9"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Low</w:t>
            </w:r>
          </w:p>
        </w:tc>
        <w:tc>
          <w:tcPr>
            <w:tcW w:w="2034" w:type="dxa"/>
          </w:tcPr>
          <w:p w14:paraId="343324F1"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Forget </w:t>
            </w:r>
            <w:r w:rsidRPr="004104D8">
              <w:rPr>
                <w:rFonts w:asciiTheme="minorHAnsi" w:hAnsiTheme="minorHAnsi" w:cstheme="minorHAnsi"/>
                <w:i/>
                <w:color w:val="000000" w:themeColor="text1"/>
              </w:rPr>
              <w:t xml:space="preserve">et al. </w:t>
            </w:r>
            <w:r w:rsidRPr="004104D8">
              <w:rPr>
                <w:rFonts w:asciiTheme="minorHAnsi" w:hAnsiTheme="minorHAnsi" w:cstheme="minorHAnsi"/>
                <w:color w:val="000000" w:themeColor="text1"/>
              </w:rPr>
              <w:t>4</w:t>
            </w:r>
          </w:p>
        </w:tc>
      </w:tr>
      <w:tr w:rsidR="009356EC" w14:paraId="333969D8" w14:textId="77777777" w:rsidTr="001F5B0D">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5B47C19E" w14:textId="77777777" w:rsidR="009356EC" w:rsidRPr="004104D8" w:rsidRDefault="009356EC" w:rsidP="001F5B0D">
            <w:pPr>
              <w:jc w:val="left"/>
              <w:rPr>
                <w:rFonts w:asciiTheme="minorHAnsi" w:hAnsiTheme="minorHAnsi" w:cstheme="minorHAnsi"/>
              </w:rPr>
            </w:pPr>
            <w:r w:rsidRPr="004104D8">
              <w:rPr>
                <w:rFonts w:asciiTheme="minorHAnsi" w:hAnsiTheme="minorHAnsi" w:cstheme="minorHAnsi"/>
                <w:color w:val="000000" w:themeColor="text1"/>
              </w:rPr>
              <w:t>Arwi &amp; Schug</w:t>
            </w:r>
          </w:p>
        </w:tc>
        <w:tc>
          <w:tcPr>
            <w:tcW w:w="4785" w:type="dxa"/>
          </w:tcPr>
          <w:p w14:paraId="6ADBB8C4"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The current discharge opioid prescribing practices can be improved. Lack of patient education regarding storage and disposal of opioids also contributes to the increasing rate of opioid misuse, diversion, and unintended long-term use. More high-quality research with comparable outcomes is needed. Evidence-based hospital guidelines and public health policies are needed to improve opioid stewardship</w:t>
            </w:r>
          </w:p>
        </w:tc>
        <w:tc>
          <w:tcPr>
            <w:tcW w:w="1505" w:type="dxa"/>
          </w:tcPr>
          <w:p w14:paraId="0A4C2666"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w:t>
            </w:r>
          </w:p>
        </w:tc>
        <w:tc>
          <w:tcPr>
            <w:tcW w:w="2474" w:type="dxa"/>
          </w:tcPr>
          <w:p w14:paraId="2669DFD0"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1851" w:type="dxa"/>
          </w:tcPr>
          <w:p w14:paraId="46BBF059"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Good – poor</w:t>
            </w:r>
          </w:p>
        </w:tc>
        <w:tc>
          <w:tcPr>
            <w:tcW w:w="2034" w:type="dxa"/>
          </w:tcPr>
          <w:p w14:paraId="3300729B"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5E59A2">
              <w:rPr>
                <w:rFonts w:asciiTheme="minorHAnsi" w:hAnsiTheme="minorHAnsi" w:cstheme="minorHAnsi"/>
                <w:color w:val="000000" w:themeColor="text1"/>
              </w:rPr>
              <w:t>6 + 10</w:t>
            </w:r>
          </w:p>
        </w:tc>
      </w:tr>
      <w:tr w:rsidR="009356EC" w14:paraId="7F00123B"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3C9E4C86" w14:textId="77777777" w:rsidR="009356EC" w:rsidRPr="004104D8" w:rsidRDefault="009356EC" w:rsidP="001F5B0D">
            <w:pPr>
              <w:jc w:val="left"/>
              <w:rPr>
                <w:rFonts w:asciiTheme="minorHAnsi" w:hAnsiTheme="minorHAnsi" w:cstheme="minorHAnsi"/>
              </w:rPr>
            </w:pPr>
            <w:r w:rsidRPr="004104D8">
              <w:rPr>
                <w:rFonts w:asciiTheme="minorHAnsi" w:hAnsiTheme="minorHAnsi" w:cstheme="minorHAnsi"/>
                <w:color w:val="000000" w:themeColor="text1"/>
              </w:rPr>
              <w:t>Baamer et al.</w:t>
            </w:r>
          </w:p>
        </w:tc>
        <w:tc>
          <w:tcPr>
            <w:tcW w:w="4785" w:type="dxa"/>
          </w:tcPr>
          <w:p w14:paraId="1FEA8E58"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This review found no evidence that any one unidimensional tool has superior measurement properties in assessing postoperative pain. In addition, because promoting function is a </w:t>
            </w:r>
            <w:r w:rsidRPr="004104D8">
              <w:rPr>
                <w:rFonts w:asciiTheme="minorHAnsi" w:hAnsiTheme="minorHAnsi" w:cstheme="minorHAnsi"/>
                <w:color w:val="000000" w:themeColor="text1"/>
              </w:rPr>
              <w:lastRenderedPageBreak/>
              <w:t>crucial perioperative goal, psychometric validation studies of functional pain assessment tools are needed to improve pain assessment and management.</w:t>
            </w:r>
          </w:p>
        </w:tc>
        <w:tc>
          <w:tcPr>
            <w:tcW w:w="1505" w:type="dxa"/>
          </w:tcPr>
          <w:p w14:paraId="04637B66"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lastRenderedPageBreak/>
              <w:t>No</w:t>
            </w:r>
          </w:p>
        </w:tc>
        <w:tc>
          <w:tcPr>
            <w:tcW w:w="2474" w:type="dxa"/>
          </w:tcPr>
          <w:p w14:paraId="778198B8" w14:textId="77777777" w:rsidR="009356EC" w:rsidRPr="004104D8"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applicable</w:t>
            </w:r>
          </w:p>
        </w:tc>
        <w:tc>
          <w:tcPr>
            <w:tcW w:w="1851" w:type="dxa"/>
          </w:tcPr>
          <w:p w14:paraId="41CCD28A"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High – very low</w:t>
            </w:r>
          </w:p>
        </w:tc>
        <w:tc>
          <w:tcPr>
            <w:tcW w:w="2034" w:type="dxa"/>
          </w:tcPr>
          <w:p w14:paraId="69B5D02C"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5E59A2">
              <w:rPr>
                <w:rFonts w:asciiTheme="minorHAnsi" w:hAnsiTheme="minorHAnsi" w:cstheme="minorHAnsi"/>
                <w:color w:val="000000" w:themeColor="text1"/>
              </w:rPr>
              <w:t>3</w:t>
            </w:r>
          </w:p>
        </w:tc>
      </w:tr>
      <w:tr w:rsidR="009356EC" w14:paraId="78CFA1C7" w14:textId="77777777" w:rsidTr="001F5B0D">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40C85101" w14:textId="77777777" w:rsidR="009356EC" w:rsidRPr="004104D8" w:rsidRDefault="009356EC" w:rsidP="001F5B0D">
            <w:pPr>
              <w:jc w:val="left"/>
              <w:rPr>
                <w:rFonts w:asciiTheme="minorHAnsi" w:hAnsiTheme="minorHAnsi" w:cstheme="minorHAnsi"/>
              </w:rPr>
            </w:pPr>
            <w:r w:rsidRPr="004104D8">
              <w:rPr>
                <w:rFonts w:asciiTheme="minorHAnsi" w:hAnsiTheme="minorHAnsi" w:cstheme="minorHAnsi"/>
                <w:color w:val="000000" w:themeColor="text1"/>
              </w:rPr>
              <w:t>Bicket et al.</w:t>
            </w:r>
          </w:p>
        </w:tc>
        <w:tc>
          <w:tcPr>
            <w:tcW w:w="4785" w:type="dxa"/>
          </w:tcPr>
          <w:p w14:paraId="5FD858AC"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Post-operative prescription opioids often go unused, unlocked, and undisposed, suggesting an important reservoir of opioids contributing to non-medical use of these products.</w:t>
            </w:r>
          </w:p>
        </w:tc>
        <w:tc>
          <w:tcPr>
            <w:tcW w:w="1505" w:type="dxa"/>
          </w:tcPr>
          <w:p w14:paraId="09CE9900"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w:t>
            </w:r>
          </w:p>
        </w:tc>
        <w:tc>
          <w:tcPr>
            <w:tcW w:w="2474" w:type="dxa"/>
          </w:tcPr>
          <w:p w14:paraId="55D058A9"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1851" w:type="dxa"/>
          </w:tcPr>
          <w:p w14:paraId="34E6260F"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Intermediate</w:t>
            </w:r>
          </w:p>
        </w:tc>
        <w:tc>
          <w:tcPr>
            <w:tcW w:w="2034" w:type="dxa"/>
          </w:tcPr>
          <w:p w14:paraId="7C4EDF0B"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5E59A2">
              <w:rPr>
                <w:rFonts w:asciiTheme="minorHAnsi" w:hAnsiTheme="minorHAnsi" w:cstheme="minorHAnsi"/>
                <w:color w:val="000000" w:themeColor="text1"/>
              </w:rPr>
              <w:t>10</w:t>
            </w:r>
          </w:p>
        </w:tc>
      </w:tr>
      <w:tr w:rsidR="009356EC" w14:paraId="5FBF6B41"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507E4800" w14:textId="77777777" w:rsidR="009356EC" w:rsidRPr="004104D8" w:rsidRDefault="009356EC" w:rsidP="001F5B0D">
            <w:pPr>
              <w:jc w:val="left"/>
              <w:rPr>
                <w:rFonts w:asciiTheme="minorHAnsi" w:hAnsiTheme="minorHAnsi" w:cstheme="minorHAnsi"/>
              </w:rPr>
            </w:pPr>
            <w:r w:rsidRPr="004104D8">
              <w:rPr>
                <w:rFonts w:asciiTheme="minorHAnsi" w:hAnsiTheme="minorHAnsi" w:cstheme="minorHAnsi"/>
                <w:color w:val="000000" w:themeColor="text1"/>
              </w:rPr>
              <w:t>Feinberg et al.</w:t>
            </w:r>
          </w:p>
        </w:tc>
        <w:tc>
          <w:tcPr>
            <w:tcW w:w="4785" w:type="dxa"/>
          </w:tcPr>
          <w:p w14:paraId="179D19D2"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Surgical patients are using substantially less opioids that prescribed. There is a lack of awareness regarding proper disposal of leftover medication, leaving excess opioids that may be used inappropriately by the patient or others. Education for providers and clinical practice guidelines that provide guidance on prescription of outpatient of opioids are required.</w:t>
            </w:r>
          </w:p>
        </w:tc>
        <w:tc>
          <w:tcPr>
            <w:tcW w:w="1505" w:type="dxa"/>
          </w:tcPr>
          <w:p w14:paraId="00F43D66"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w:t>
            </w:r>
          </w:p>
        </w:tc>
        <w:tc>
          <w:tcPr>
            <w:tcW w:w="2474" w:type="dxa"/>
          </w:tcPr>
          <w:p w14:paraId="34E416B2"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1851" w:type="dxa"/>
          </w:tcPr>
          <w:p w14:paraId="2D477DB0"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2034" w:type="dxa"/>
          </w:tcPr>
          <w:p w14:paraId="2AAD91CF"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5E59A2">
              <w:rPr>
                <w:rFonts w:asciiTheme="minorHAnsi" w:hAnsiTheme="minorHAnsi" w:cstheme="minorHAnsi"/>
                <w:color w:val="000000" w:themeColor="text1"/>
              </w:rPr>
              <w:t>6</w:t>
            </w:r>
          </w:p>
        </w:tc>
      </w:tr>
      <w:tr w:rsidR="009356EC" w14:paraId="0CC6DBD3" w14:textId="77777777" w:rsidTr="001F5B0D">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4D8295E2" w14:textId="77777777" w:rsidR="009356EC" w:rsidRPr="004104D8" w:rsidRDefault="009356EC" w:rsidP="001F5B0D">
            <w:pPr>
              <w:jc w:val="left"/>
              <w:rPr>
                <w:rFonts w:asciiTheme="minorHAnsi" w:hAnsiTheme="minorHAnsi" w:cstheme="minorHAnsi"/>
              </w:rPr>
            </w:pPr>
            <w:r w:rsidRPr="004104D8">
              <w:rPr>
                <w:rFonts w:asciiTheme="minorHAnsi" w:hAnsiTheme="minorHAnsi" w:cstheme="minorHAnsi"/>
                <w:color w:val="000000" w:themeColor="text1"/>
              </w:rPr>
              <w:t>Horn et al.</w:t>
            </w:r>
          </w:p>
        </w:tc>
        <w:tc>
          <w:tcPr>
            <w:tcW w:w="4785" w:type="dxa"/>
          </w:tcPr>
          <w:p w14:paraId="25BCEB9A"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By addressing the psychological needs of patients through preoperative education, one can decrease postoperative recovery time and postsurgical acute pain. Reduced postsurgical acute pain results in fewer opioid prescriptions, which theoretically lowers the patient’s risk of developing chronic postsurgical pain, and potentially offers a novel concept using pre-emptive pain psychoeducation as a part of multimodal pain management solution to the opioid epidemic.</w:t>
            </w:r>
          </w:p>
        </w:tc>
        <w:tc>
          <w:tcPr>
            <w:tcW w:w="1505" w:type="dxa"/>
          </w:tcPr>
          <w:p w14:paraId="5BA72705"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w:t>
            </w:r>
          </w:p>
        </w:tc>
        <w:tc>
          <w:tcPr>
            <w:tcW w:w="2474" w:type="dxa"/>
          </w:tcPr>
          <w:p w14:paraId="3690CDDF"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1851" w:type="dxa"/>
          </w:tcPr>
          <w:p w14:paraId="6C36C2CB"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1a – 3b</w:t>
            </w:r>
          </w:p>
        </w:tc>
        <w:tc>
          <w:tcPr>
            <w:tcW w:w="2034" w:type="dxa"/>
          </w:tcPr>
          <w:p w14:paraId="0BDBDD56"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5E59A2">
              <w:rPr>
                <w:rFonts w:asciiTheme="minorHAnsi" w:hAnsiTheme="minorHAnsi" w:cstheme="minorHAnsi"/>
                <w:color w:val="000000" w:themeColor="text1"/>
              </w:rPr>
              <w:t>2</w:t>
            </w:r>
          </w:p>
        </w:tc>
      </w:tr>
      <w:tr w:rsidR="009356EC" w14:paraId="5A1B2F7F"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43EBEE3E" w14:textId="77777777" w:rsidR="009356EC" w:rsidRPr="004104D8" w:rsidRDefault="009356EC" w:rsidP="001F5B0D">
            <w:pPr>
              <w:jc w:val="left"/>
              <w:rPr>
                <w:rFonts w:asciiTheme="minorHAnsi" w:hAnsiTheme="minorHAnsi" w:cstheme="minorHAnsi"/>
              </w:rPr>
            </w:pPr>
            <w:r w:rsidRPr="004104D8">
              <w:rPr>
                <w:rFonts w:asciiTheme="minorHAnsi" w:hAnsiTheme="minorHAnsi" w:cstheme="minorHAnsi"/>
                <w:color w:val="000000" w:themeColor="text1"/>
              </w:rPr>
              <w:t>Lamplot et al.</w:t>
            </w:r>
          </w:p>
        </w:tc>
        <w:tc>
          <w:tcPr>
            <w:tcW w:w="4785" w:type="dxa"/>
          </w:tcPr>
          <w:p w14:paraId="4D1F8A07"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Opioid pain medications are overprescribed postoperatively</w:t>
            </w:r>
            <w:r>
              <w:rPr>
                <w:rFonts w:asciiTheme="minorHAnsi" w:hAnsiTheme="minorHAnsi" w:cstheme="minorHAnsi"/>
                <w:color w:val="000000" w:themeColor="text1"/>
              </w:rPr>
              <w:t>,</w:t>
            </w:r>
            <w:r w:rsidRPr="004104D8">
              <w:rPr>
                <w:rFonts w:asciiTheme="minorHAnsi" w:hAnsiTheme="minorHAnsi" w:cstheme="minorHAnsi"/>
                <w:color w:val="000000" w:themeColor="text1"/>
              </w:rPr>
              <w:t xml:space="preserve"> and baseline rates of surplus </w:t>
            </w:r>
            <w:r w:rsidRPr="004104D8">
              <w:rPr>
                <w:rFonts w:asciiTheme="minorHAnsi" w:hAnsiTheme="minorHAnsi" w:cstheme="minorHAnsi"/>
                <w:color w:val="000000" w:themeColor="text1"/>
              </w:rPr>
              <w:lastRenderedPageBreak/>
              <w:t>opioid disposal are low. While it remains unclear whether patient education alone increases rates of safe opioid disposal, drug disposal kits or bags do appear to significantly increase these rates.</w:t>
            </w:r>
          </w:p>
        </w:tc>
        <w:tc>
          <w:tcPr>
            <w:tcW w:w="1505" w:type="dxa"/>
          </w:tcPr>
          <w:p w14:paraId="4DFF0FA6"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lastRenderedPageBreak/>
              <w:t>No</w:t>
            </w:r>
          </w:p>
        </w:tc>
        <w:tc>
          <w:tcPr>
            <w:tcW w:w="2474" w:type="dxa"/>
          </w:tcPr>
          <w:p w14:paraId="4D083CBA" w14:textId="77777777" w:rsidR="009356EC" w:rsidRPr="004104D8" w:rsidRDefault="009356EC" w:rsidP="001F5B0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1851" w:type="dxa"/>
          </w:tcPr>
          <w:p w14:paraId="500E9B36"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Acceptable</w:t>
            </w:r>
          </w:p>
        </w:tc>
        <w:tc>
          <w:tcPr>
            <w:tcW w:w="2034" w:type="dxa"/>
          </w:tcPr>
          <w:p w14:paraId="5B65592E"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5E59A2">
              <w:rPr>
                <w:rFonts w:asciiTheme="minorHAnsi" w:hAnsiTheme="minorHAnsi" w:cstheme="minorHAnsi"/>
                <w:color w:val="000000" w:themeColor="text1"/>
              </w:rPr>
              <w:t>10</w:t>
            </w:r>
          </w:p>
        </w:tc>
      </w:tr>
      <w:tr w:rsidR="009356EC" w14:paraId="52883F4A" w14:textId="77777777" w:rsidTr="001F5B0D">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5FFA09A8" w14:textId="77777777" w:rsidR="009356EC" w:rsidRPr="004104D8" w:rsidRDefault="009356EC" w:rsidP="001F5B0D">
            <w:pPr>
              <w:jc w:val="left"/>
              <w:rPr>
                <w:rFonts w:asciiTheme="minorHAnsi" w:hAnsiTheme="minorHAnsi" w:cstheme="minorHAnsi"/>
                <w:color w:val="000000" w:themeColor="text1"/>
              </w:rPr>
            </w:pPr>
            <w:r w:rsidRPr="004104D8">
              <w:rPr>
                <w:rFonts w:asciiTheme="minorHAnsi" w:hAnsiTheme="minorHAnsi" w:cstheme="minorHAnsi"/>
                <w:color w:val="000000" w:themeColor="text1"/>
              </w:rPr>
              <w:t>Lawal et a.</w:t>
            </w:r>
          </w:p>
        </w:tc>
        <w:tc>
          <w:tcPr>
            <w:tcW w:w="4785" w:type="dxa"/>
          </w:tcPr>
          <w:p w14:paraId="165148CD"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In this study, preoperative use of opioids and cocaine and the presence of comorbid pain conditions before surgery had the strongest associations with prolonged opioid use after surgery. These largely modifiable patient-level risk factors may be included as part of a comprehensive strategy to screen for at-risk individuals requiring transition to non</w:t>
            </w:r>
            <w:r>
              <w:rPr>
                <w:rFonts w:asciiTheme="minorHAnsi" w:hAnsiTheme="minorHAnsi" w:cstheme="minorHAnsi"/>
                <w:color w:val="000000" w:themeColor="text1"/>
              </w:rPr>
              <w:t>-</w:t>
            </w:r>
            <w:r w:rsidRPr="004104D8">
              <w:rPr>
                <w:rFonts w:asciiTheme="minorHAnsi" w:hAnsiTheme="minorHAnsi" w:cstheme="minorHAnsi"/>
                <w:color w:val="000000" w:themeColor="text1"/>
              </w:rPr>
              <w:t>opioid interventions after surgery while ensuring appropriate short-term opioid use to manage postoperative pain. Research is needed to further investigate the association between surgical pain and prolonged opioid use after surgery.</w:t>
            </w:r>
          </w:p>
        </w:tc>
        <w:tc>
          <w:tcPr>
            <w:tcW w:w="1505" w:type="dxa"/>
          </w:tcPr>
          <w:p w14:paraId="4762A0FC"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Yes</w:t>
            </w:r>
          </w:p>
        </w:tc>
        <w:tc>
          <w:tcPr>
            <w:tcW w:w="2474" w:type="dxa"/>
          </w:tcPr>
          <w:p w14:paraId="2DC6CC73" w14:textId="77777777" w:rsidR="009356EC" w:rsidRPr="004104D8" w:rsidRDefault="009356EC" w:rsidP="001F5B0D">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applicable</w:t>
            </w:r>
          </w:p>
        </w:tc>
        <w:tc>
          <w:tcPr>
            <w:tcW w:w="1851" w:type="dxa"/>
          </w:tcPr>
          <w:p w14:paraId="3E9E16A5"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High</w:t>
            </w:r>
          </w:p>
        </w:tc>
        <w:tc>
          <w:tcPr>
            <w:tcW w:w="2034" w:type="dxa"/>
          </w:tcPr>
          <w:p w14:paraId="51D77AA0"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5E59A2">
              <w:rPr>
                <w:rFonts w:asciiTheme="minorHAnsi" w:hAnsiTheme="minorHAnsi" w:cstheme="minorHAnsi"/>
                <w:color w:val="000000" w:themeColor="text1"/>
              </w:rPr>
              <w:t>1</w:t>
            </w:r>
          </w:p>
        </w:tc>
      </w:tr>
      <w:tr w:rsidR="009356EC" w14:paraId="7C39746D"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4FF0DAB1" w14:textId="77777777" w:rsidR="009356EC" w:rsidRPr="004104D8" w:rsidRDefault="009356EC" w:rsidP="001F5B0D">
            <w:pPr>
              <w:jc w:val="left"/>
              <w:rPr>
                <w:rFonts w:asciiTheme="minorHAnsi" w:hAnsiTheme="minorHAnsi" w:cstheme="minorHAnsi"/>
                <w:color w:val="000000" w:themeColor="text1"/>
              </w:rPr>
            </w:pPr>
            <w:r w:rsidRPr="004104D8">
              <w:rPr>
                <w:rFonts w:asciiTheme="minorHAnsi" w:hAnsiTheme="minorHAnsi" w:cstheme="minorHAnsi"/>
                <w:color w:val="000000" w:themeColor="text1"/>
              </w:rPr>
              <w:t>Martinez et al.</w:t>
            </w:r>
          </w:p>
        </w:tc>
        <w:tc>
          <w:tcPr>
            <w:tcW w:w="4785" w:type="dxa"/>
          </w:tcPr>
          <w:p w14:paraId="660285D9"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A combination of aetaminophen with either an NSAID or nefopam was superior to most non-morphine analgesic used alone, in reducing morphine consumption. Efficacy was best with three non-morphine analgesic used alone (α-2 agonists, NSAIDs and COX-2 inhibitors) and least with tramadol and acetaminophen. There is insufficient trial data reporting adverse events.</w:t>
            </w:r>
          </w:p>
        </w:tc>
        <w:tc>
          <w:tcPr>
            <w:tcW w:w="1505" w:type="dxa"/>
          </w:tcPr>
          <w:p w14:paraId="09D5D5F7"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w:t>
            </w:r>
          </w:p>
        </w:tc>
        <w:tc>
          <w:tcPr>
            <w:tcW w:w="2474" w:type="dxa"/>
          </w:tcPr>
          <w:p w14:paraId="6B7E0912"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Morphine consumption: -1 [-83 to 6.3] to -23.9 [-40.1 to -7.7]</w:t>
            </w:r>
          </w:p>
          <w:p w14:paraId="5D2ED50C"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Pain: 0.8 [-14.9 to 16.5] to -12.4 [-21 to -3.8]</w:t>
            </w:r>
          </w:p>
        </w:tc>
        <w:tc>
          <w:tcPr>
            <w:tcW w:w="1851" w:type="dxa"/>
          </w:tcPr>
          <w:p w14:paraId="68B02192"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High – low and unclear risk of bias</w:t>
            </w:r>
          </w:p>
        </w:tc>
        <w:tc>
          <w:tcPr>
            <w:tcW w:w="2034" w:type="dxa"/>
          </w:tcPr>
          <w:p w14:paraId="4804D3AD"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Pr>
                <w:rFonts w:asciiTheme="minorHAnsi" w:hAnsiTheme="minorHAnsi" w:cstheme="minorHAnsi"/>
                <w:i/>
                <w:color w:val="000000" w:themeColor="text1"/>
              </w:rPr>
              <w:t xml:space="preserve"> </w:t>
            </w:r>
            <w:r w:rsidRPr="003B65EE">
              <w:rPr>
                <w:rFonts w:asciiTheme="minorHAnsi" w:hAnsiTheme="minorHAnsi" w:cstheme="minorHAnsi"/>
                <w:color w:val="000000" w:themeColor="text1"/>
              </w:rPr>
              <w:t>4</w:t>
            </w:r>
          </w:p>
        </w:tc>
      </w:tr>
      <w:tr w:rsidR="009356EC" w14:paraId="1D48B1D1" w14:textId="77777777" w:rsidTr="001F5B0D">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43347EF8" w14:textId="77777777" w:rsidR="009356EC" w:rsidRPr="004104D8" w:rsidRDefault="009356EC" w:rsidP="001F5B0D">
            <w:pPr>
              <w:jc w:val="left"/>
              <w:rPr>
                <w:rFonts w:asciiTheme="minorHAnsi" w:hAnsiTheme="minorHAnsi" w:cstheme="minorHAnsi"/>
                <w:color w:val="000000" w:themeColor="text1"/>
              </w:rPr>
            </w:pPr>
            <w:r w:rsidRPr="004104D8">
              <w:rPr>
                <w:rFonts w:asciiTheme="minorHAnsi" w:hAnsiTheme="minorHAnsi" w:cstheme="minorHAnsi"/>
                <w:color w:val="000000" w:themeColor="text1"/>
              </w:rPr>
              <w:t>Powell et al.</w:t>
            </w:r>
          </w:p>
        </w:tc>
        <w:tc>
          <w:tcPr>
            <w:tcW w:w="4785" w:type="dxa"/>
          </w:tcPr>
          <w:p w14:paraId="4FF7D638"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The evidence suggested that psychological preparation may be beneficial for the </w:t>
            </w:r>
            <w:r w:rsidRPr="004104D8">
              <w:rPr>
                <w:rFonts w:asciiTheme="minorHAnsi" w:hAnsiTheme="minorHAnsi" w:cstheme="minorHAnsi"/>
                <w:color w:val="000000" w:themeColor="text1"/>
              </w:rPr>
              <w:lastRenderedPageBreak/>
              <w:t>outcomes postoperative pain, behavioural recovery, negative affect and length of stay, and is unlikely to be harmful. However, at present, the strength of evidence is insufficient to reach firm conclusions on the role of psychological preparation for surgery. Further analyses are needed to explore the heterogeneity in the data, to identify more specifically when intervention techniques are of benefit. As the current evidence quality is low or very low, there is a need for well‐conducted and clearly reported research.</w:t>
            </w:r>
          </w:p>
        </w:tc>
        <w:tc>
          <w:tcPr>
            <w:tcW w:w="1505" w:type="dxa"/>
          </w:tcPr>
          <w:p w14:paraId="71E21249"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lastRenderedPageBreak/>
              <w:t>Yes</w:t>
            </w:r>
          </w:p>
        </w:tc>
        <w:tc>
          <w:tcPr>
            <w:tcW w:w="2474" w:type="dxa"/>
          </w:tcPr>
          <w:p w14:paraId="08E46299"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1851" w:type="dxa"/>
          </w:tcPr>
          <w:p w14:paraId="3CA74699"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Low – very risk of bias</w:t>
            </w:r>
          </w:p>
        </w:tc>
        <w:tc>
          <w:tcPr>
            <w:tcW w:w="2034" w:type="dxa"/>
          </w:tcPr>
          <w:p w14:paraId="784C2C34"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et al.</w:t>
            </w:r>
            <w:r w:rsidRPr="004104D8">
              <w:rPr>
                <w:rFonts w:asciiTheme="minorHAnsi" w:hAnsiTheme="minorHAnsi" w:cstheme="minorHAnsi"/>
                <w:color w:val="000000" w:themeColor="text1"/>
              </w:rPr>
              <w:t xml:space="preserve"> </w:t>
            </w:r>
            <w:r w:rsidRPr="003B65EE">
              <w:rPr>
                <w:rFonts w:asciiTheme="minorHAnsi" w:hAnsiTheme="minorHAnsi" w:cstheme="minorHAnsi"/>
                <w:color w:val="000000" w:themeColor="text1"/>
              </w:rPr>
              <w:t>2</w:t>
            </w:r>
          </w:p>
        </w:tc>
      </w:tr>
      <w:tr w:rsidR="009356EC" w14:paraId="5009D45E" w14:textId="77777777" w:rsidTr="001F5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08DA5A33" w14:textId="77777777" w:rsidR="009356EC" w:rsidRPr="004104D8" w:rsidRDefault="009356EC" w:rsidP="001F5B0D">
            <w:pPr>
              <w:jc w:val="left"/>
              <w:rPr>
                <w:rFonts w:asciiTheme="minorHAnsi" w:hAnsiTheme="minorHAnsi" w:cstheme="minorHAnsi"/>
                <w:color w:val="000000" w:themeColor="text1"/>
              </w:rPr>
            </w:pPr>
            <w:r w:rsidRPr="004104D8">
              <w:rPr>
                <w:rFonts w:asciiTheme="minorHAnsi" w:hAnsiTheme="minorHAnsi" w:cstheme="minorHAnsi"/>
                <w:color w:val="000000" w:themeColor="text1"/>
              </w:rPr>
              <w:t>Sobol-Kwapinska et al.</w:t>
            </w:r>
          </w:p>
        </w:tc>
        <w:tc>
          <w:tcPr>
            <w:tcW w:w="4785" w:type="dxa"/>
          </w:tcPr>
          <w:p w14:paraId="3BC2FDA4"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Significant preoperative psychological correlates of acute postsurgical pain were the following: pain catastrophizing, expectation of pain, anxiety (state and trait), depression, optimism, negative affect and neuroticism/psychological vulnerability. Results of meta-analyses suggested that pain catastrophizing was most strongly associated with acute postsurgical pain. It must be noted that the expression ‘the most common/frequent correlates’ should not be confused with the ‘most important correlates’.</w:t>
            </w:r>
          </w:p>
        </w:tc>
        <w:tc>
          <w:tcPr>
            <w:tcW w:w="1505" w:type="dxa"/>
          </w:tcPr>
          <w:p w14:paraId="42894F60"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Yes</w:t>
            </w:r>
          </w:p>
        </w:tc>
        <w:tc>
          <w:tcPr>
            <w:tcW w:w="2474" w:type="dxa"/>
          </w:tcPr>
          <w:p w14:paraId="28B6E4B4"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Correlation: </w:t>
            </w:r>
            <w:r w:rsidRPr="004104D8">
              <w:rPr>
                <w:rFonts w:asciiTheme="minorHAnsi" w:hAnsiTheme="minorHAnsi" w:cstheme="minorHAnsi"/>
                <w:i/>
                <w:color w:val="000000" w:themeColor="text1"/>
              </w:rPr>
              <w:t>r</w:t>
            </w:r>
            <w:r w:rsidRPr="004104D8">
              <w:rPr>
                <w:rFonts w:asciiTheme="minorHAnsi" w:hAnsiTheme="minorHAnsi" w:cstheme="minorHAnsi"/>
                <w:color w:val="000000" w:themeColor="text1"/>
              </w:rPr>
              <w:t xml:space="preserve"> =  0.24 [0.11 to 0.36] to 0.41 [0.28 to 0.52]</w:t>
            </w:r>
          </w:p>
        </w:tc>
        <w:tc>
          <w:tcPr>
            <w:tcW w:w="1851" w:type="dxa"/>
          </w:tcPr>
          <w:p w14:paraId="0B70842B"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Moderate – low risk of bias</w:t>
            </w:r>
          </w:p>
        </w:tc>
        <w:tc>
          <w:tcPr>
            <w:tcW w:w="2034" w:type="dxa"/>
          </w:tcPr>
          <w:p w14:paraId="768B10A0" w14:textId="77777777" w:rsidR="009356EC" w:rsidRPr="004104D8" w:rsidRDefault="009356EC" w:rsidP="001F5B0D">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Levy </w:t>
            </w:r>
            <w:r w:rsidRPr="004104D8">
              <w:rPr>
                <w:rFonts w:asciiTheme="minorHAnsi" w:hAnsiTheme="minorHAnsi" w:cstheme="minorHAnsi"/>
                <w:i/>
                <w:color w:val="000000" w:themeColor="text1"/>
              </w:rPr>
              <w:t xml:space="preserve">et al. </w:t>
            </w:r>
            <w:r w:rsidRPr="003B65EE">
              <w:rPr>
                <w:rFonts w:asciiTheme="minorHAnsi" w:hAnsiTheme="minorHAnsi" w:cstheme="minorHAnsi"/>
                <w:color w:val="000000" w:themeColor="text1"/>
              </w:rPr>
              <w:t>2</w:t>
            </w:r>
          </w:p>
        </w:tc>
      </w:tr>
      <w:tr w:rsidR="009356EC" w14:paraId="5376F625" w14:textId="77777777" w:rsidTr="001F5B0D">
        <w:tc>
          <w:tcPr>
            <w:cnfStyle w:val="001000000000" w:firstRow="0" w:lastRow="0" w:firstColumn="1" w:lastColumn="0" w:oddVBand="0" w:evenVBand="0" w:oddHBand="0" w:evenHBand="0" w:firstRowFirstColumn="0" w:firstRowLastColumn="0" w:lastRowFirstColumn="0" w:lastRowLastColumn="0"/>
            <w:tcW w:w="1311" w:type="dxa"/>
            <w:tcBorders>
              <w:top w:val="single" w:sz="4" w:space="0" w:color="9CC2E5" w:themeColor="accent5" w:themeTint="99"/>
              <w:bottom w:val="single" w:sz="4" w:space="0" w:color="9CC2E5" w:themeColor="accent5" w:themeTint="99"/>
            </w:tcBorders>
          </w:tcPr>
          <w:p w14:paraId="2424F8EF" w14:textId="77777777" w:rsidR="009356EC" w:rsidRPr="004104D8" w:rsidRDefault="009356EC" w:rsidP="001F5B0D">
            <w:pPr>
              <w:jc w:val="left"/>
              <w:rPr>
                <w:rFonts w:asciiTheme="minorHAnsi" w:hAnsiTheme="minorHAnsi" w:cstheme="minorHAnsi"/>
                <w:color w:val="000000" w:themeColor="text1"/>
              </w:rPr>
            </w:pPr>
            <w:r w:rsidRPr="004104D8">
              <w:rPr>
                <w:rFonts w:asciiTheme="minorHAnsi" w:hAnsiTheme="minorHAnsi" w:cstheme="minorHAnsi"/>
                <w:color w:val="000000" w:themeColor="text1"/>
              </w:rPr>
              <w:t>Wetzel et al.</w:t>
            </w:r>
          </w:p>
        </w:tc>
        <w:tc>
          <w:tcPr>
            <w:tcW w:w="4785" w:type="dxa"/>
          </w:tcPr>
          <w:p w14:paraId="396EBA0C"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In this systematic review, interventions operating at a physician or organizational level (e.g., workflow changes) have shown positive results, while interventions at the patient level (e.g., patient education) have shown mixed results. Monitoring for negative consequences </w:t>
            </w:r>
            <w:r w:rsidRPr="004104D8">
              <w:rPr>
                <w:rFonts w:asciiTheme="minorHAnsi" w:hAnsiTheme="minorHAnsi" w:cstheme="minorHAnsi"/>
                <w:color w:val="000000" w:themeColor="text1"/>
              </w:rPr>
              <w:lastRenderedPageBreak/>
              <w:t>was key across the studies evaluated. The studies reviewed provide evidence that clinician-mediated and organizational-level interventions are powerful tools in creating change in postsurgical opioid prescribing. This summary highlights paucity of high-quality studies that provide clear evidence on the most effective intervention at reducing postoperative opioid prescribing.</w:t>
            </w:r>
          </w:p>
        </w:tc>
        <w:tc>
          <w:tcPr>
            <w:tcW w:w="1505" w:type="dxa"/>
          </w:tcPr>
          <w:p w14:paraId="67E4344D"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lastRenderedPageBreak/>
              <w:t>No</w:t>
            </w:r>
          </w:p>
        </w:tc>
        <w:tc>
          <w:tcPr>
            <w:tcW w:w="2474" w:type="dxa"/>
          </w:tcPr>
          <w:p w14:paraId="38B754ED"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Not reported</w:t>
            </w:r>
          </w:p>
        </w:tc>
        <w:tc>
          <w:tcPr>
            <w:tcW w:w="1851" w:type="dxa"/>
          </w:tcPr>
          <w:p w14:paraId="6C41D19A"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Low</w:t>
            </w:r>
          </w:p>
        </w:tc>
        <w:tc>
          <w:tcPr>
            <w:tcW w:w="2034" w:type="dxa"/>
          </w:tcPr>
          <w:p w14:paraId="3412E20E" w14:textId="77777777" w:rsidR="009356EC" w:rsidRPr="004104D8" w:rsidRDefault="009356EC" w:rsidP="001F5B0D">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rPr>
            </w:pPr>
            <w:r w:rsidRPr="004104D8">
              <w:rPr>
                <w:rFonts w:asciiTheme="minorHAnsi" w:hAnsiTheme="minorHAnsi" w:cstheme="minorHAnsi"/>
                <w:color w:val="000000" w:themeColor="text1"/>
              </w:rPr>
              <w:t xml:space="preserve">Forget </w:t>
            </w:r>
            <w:r w:rsidRPr="004104D8">
              <w:rPr>
                <w:rFonts w:asciiTheme="minorHAnsi" w:hAnsiTheme="minorHAnsi" w:cstheme="minorHAnsi"/>
                <w:i/>
                <w:color w:val="000000" w:themeColor="text1"/>
              </w:rPr>
              <w:t xml:space="preserve">et al. </w:t>
            </w:r>
            <w:r w:rsidRPr="004104D8">
              <w:rPr>
                <w:rFonts w:asciiTheme="minorHAnsi" w:hAnsiTheme="minorHAnsi" w:cstheme="minorHAnsi"/>
                <w:color w:val="000000" w:themeColor="text1"/>
              </w:rPr>
              <w:t>1</w:t>
            </w:r>
          </w:p>
        </w:tc>
      </w:tr>
    </w:tbl>
    <w:p w14:paraId="15CDD916" w14:textId="77777777" w:rsidR="009356EC" w:rsidRPr="008416B3" w:rsidRDefault="009356EC" w:rsidP="009356EC">
      <w:pPr>
        <w:spacing w:line="360" w:lineRule="auto"/>
        <w:rPr>
          <w:rFonts w:asciiTheme="minorHAnsi" w:hAnsiTheme="minorHAnsi" w:cstheme="minorHAnsi"/>
          <w:color w:val="000000" w:themeColor="text1"/>
          <w:sz w:val="20"/>
          <w:szCs w:val="20"/>
        </w:rPr>
      </w:pPr>
      <w:r w:rsidRPr="000B61E3">
        <w:rPr>
          <w:rStyle w:val="Heading4Char"/>
        </w:rPr>
        <w:t>Table 3:</w:t>
      </w:r>
      <w:r w:rsidRPr="008416B3">
        <w:rPr>
          <w:i/>
          <w:color w:val="4472C4" w:themeColor="accent1"/>
        </w:rPr>
        <w:t xml:space="preserve"> </w:t>
      </w:r>
      <w:r w:rsidRPr="008416B3">
        <w:rPr>
          <w:rFonts w:asciiTheme="minorHAnsi" w:hAnsiTheme="minorHAnsi" w:cstheme="minorHAnsi"/>
          <w:b/>
          <w:i/>
          <w:color w:val="000000" w:themeColor="text1"/>
          <w:sz w:val="20"/>
          <w:szCs w:val="20"/>
        </w:rPr>
        <w:t xml:space="preserve">Overview of the findings of included systematic reviews. </w:t>
      </w:r>
      <w:r w:rsidRPr="008416B3">
        <w:rPr>
          <w:rFonts w:asciiTheme="minorHAnsi" w:hAnsiTheme="minorHAnsi" w:cstheme="minorHAnsi"/>
          <w:i/>
          <w:color w:val="000000" w:themeColor="text1"/>
          <w:sz w:val="20"/>
          <w:szCs w:val="20"/>
        </w:rPr>
        <w:t xml:space="preserve">This table </w:t>
      </w:r>
      <w:r w:rsidRPr="008416B3">
        <w:rPr>
          <w:rFonts w:asciiTheme="minorHAnsi" w:hAnsiTheme="minorHAnsi" w:cstheme="minorHAnsi"/>
          <w:i/>
          <w:sz w:val="20"/>
          <w:szCs w:val="20"/>
        </w:rPr>
        <w:t>summarised the findings of included systematic review. The main findings, meta-analysis and effect size (if reported) and degree of certainty of each review are all stated</w:t>
      </w:r>
      <w:r w:rsidRPr="008416B3">
        <w:rPr>
          <w:rFonts w:asciiTheme="minorHAnsi" w:hAnsiTheme="minorHAnsi" w:cstheme="minorHAnsi"/>
          <w:i/>
          <w:color w:val="000000" w:themeColor="text1"/>
          <w:sz w:val="20"/>
          <w:szCs w:val="20"/>
        </w:rPr>
        <w:t>. In addition, the priorit</w:t>
      </w:r>
      <w:r>
        <w:rPr>
          <w:rFonts w:asciiTheme="minorHAnsi" w:hAnsiTheme="minorHAnsi" w:cstheme="minorHAnsi"/>
          <w:i/>
          <w:color w:val="000000" w:themeColor="text1"/>
          <w:sz w:val="20"/>
          <w:szCs w:val="20"/>
        </w:rPr>
        <w:t>ies</w:t>
      </w:r>
      <w:r w:rsidRPr="008416B3">
        <w:rPr>
          <w:rFonts w:asciiTheme="minorHAnsi" w:hAnsiTheme="minorHAnsi" w:cstheme="minorHAnsi"/>
          <w:i/>
          <w:color w:val="000000" w:themeColor="text1"/>
          <w:sz w:val="20"/>
          <w:szCs w:val="20"/>
        </w:rPr>
        <w:t xml:space="preserve"> of the Levy </w:t>
      </w:r>
      <w:r w:rsidRPr="008416B3">
        <w:rPr>
          <w:rFonts w:asciiTheme="minorHAnsi" w:hAnsiTheme="minorHAnsi" w:cstheme="minorHAnsi"/>
          <w:color w:val="000000" w:themeColor="text1"/>
          <w:sz w:val="20"/>
          <w:szCs w:val="20"/>
        </w:rPr>
        <w:t>et al. (2020)</w:t>
      </w:r>
      <w:r w:rsidRPr="008416B3">
        <w:rPr>
          <w:rFonts w:asciiTheme="minorHAnsi" w:hAnsiTheme="minorHAnsi" w:cstheme="minorHAnsi"/>
          <w:i/>
          <w:color w:val="000000" w:themeColor="text1"/>
          <w:sz w:val="20"/>
          <w:szCs w:val="20"/>
        </w:rPr>
        <w:t xml:space="preserve"> and Forget </w:t>
      </w:r>
      <w:r w:rsidRPr="008416B3">
        <w:rPr>
          <w:rFonts w:asciiTheme="minorHAnsi" w:hAnsiTheme="minorHAnsi" w:cstheme="minorHAnsi"/>
          <w:color w:val="000000" w:themeColor="text1"/>
          <w:sz w:val="20"/>
          <w:szCs w:val="20"/>
        </w:rPr>
        <w:t>et al.</w:t>
      </w:r>
      <w:r w:rsidRPr="008416B3">
        <w:rPr>
          <w:rFonts w:asciiTheme="minorHAnsi" w:hAnsiTheme="minorHAnsi" w:cstheme="minorHAnsi"/>
          <w:i/>
          <w:color w:val="000000" w:themeColor="text1"/>
          <w:sz w:val="20"/>
          <w:szCs w:val="20"/>
        </w:rPr>
        <w:t xml:space="preserve"> </w:t>
      </w:r>
      <w:r w:rsidRPr="008416B3">
        <w:rPr>
          <w:rFonts w:asciiTheme="minorHAnsi" w:hAnsiTheme="minorHAnsi" w:cstheme="minorHAnsi"/>
          <w:color w:val="000000" w:themeColor="text1"/>
          <w:sz w:val="20"/>
          <w:szCs w:val="20"/>
        </w:rPr>
        <w:t>(2022)</w:t>
      </w:r>
      <w:r w:rsidRPr="008416B3">
        <w:rPr>
          <w:rFonts w:asciiTheme="minorHAnsi" w:hAnsiTheme="minorHAnsi" w:cstheme="minorHAnsi"/>
          <w:i/>
          <w:color w:val="000000" w:themeColor="text1"/>
          <w:sz w:val="20"/>
          <w:szCs w:val="20"/>
        </w:rPr>
        <w:t xml:space="preserve"> consensuses that the reviews relate to have been reported.</w:t>
      </w:r>
    </w:p>
    <w:p w14:paraId="150DED32" w14:textId="77777777" w:rsidR="009356EC" w:rsidRDefault="009356EC" w:rsidP="009356EC">
      <w:pPr>
        <w:spacing w:before="240" w:line="360" w:lineRule="auto"/>
        <w:jc w:val="both"/>
        <w:rPr>
          <w:rFonts w:asciiTheme="minorHAnsi" w:hAnsiTheme="minorHAnsi" w:cstheme="minorHAnsi"/>
        </w:rPr>
      </w:pPr>
      <w:r>
        <w:rPr>
          <w:rFonts w:asciiTheme="minorHAnsi" w:hAnsiTheme="minorHAnsi" w:cstheme="minorHAnsi"/>
        </w:rPr>
        <w:br w:type="page"/>
      </w:r>
    </w:p>
    <w:p w14:paraId="52516696" w14:textId="77777777" w:rsidR="009356EC" w:rsidRPr="00C84BE3" w:rsidRDefault="009356EC" w:rsidP="009356EC">
      <w:pPr>
        <w:spacing w:before="240" w:line="360" w:lineRule="auto"/>
        <w:jc w:val="both"/>
        <w:rPr>
          <w:rFonts w:asciiTheme="minorHAnsi" w:hAnsiTheme="minorHAnsi" w:cstheme="minorHAnsi"/>
        </w:rPr>
        <w:sectPr w:rsidR="009356EC" w:rsidRPr="00C84BE3" w:rsidSect="00D26978">
          <w:footerReference w:type="default" r:id="rId4"/>
          <w:footerReference w:type="first" r:id="rId5"/>
          <w:pgSz w:w="16840" w:h="11900" w:orient="landscape"/>
          <w:pgMar w:top="1440" w:right="1440" w:bottom="1440" w:left="1440" w:header="708" w:footer="708" w:gutter="0"/>
          <w:pgNumType w:start="14"/>
          <w:cols w:space="708"/>
          <w:titlePg/>
          <w:docGrid w:linePitch="360"/>
        </w:sectPr>
      </w:pPr>
    </w:p>
    <w:tbl>
      <w:tblPr>
        <w:tblStyle w:val="TableGrid1"/>
        <w:tblpPr w:leftFromText="180" w:rightFromText="180" w:vertAnchor="text" w:horzAnchor="margin" w:tblpXSpec="center" w:tblpY="-374"/>
        <w:tblW w:w="9924" w:type="dxa"/>
        <w:tblInd w:w="0" w:type="dxa"/>
        <w:tblLayout w:type="fixed"/>
        <w:tblLook w:val="04A0" w:firstRow="1" w:lastRow="0" w:firstColumn="1" w:lastColumn="0" w:noHBand="0" w:noVBand="1"/>
      </w:tblPr>
      <w:tblGrid>
        <w:gridCol w:w="2268"/>
        <w:gridCol w:w="389"/>
        <w:gridCol w:w="390"/>
        <w:gridCol w:w="390"/>
        <w:gridCol w:w="390"/>
        <w:gridCol w:w="390"/>
        <w:gridCol w:w="389"/>
        <w:gridCol w:w="390"/>
        <w:gridCol w:w="390"/>
        <w:gridCol w:w="390"/>
        <w:gridCol w:w="390"/>
        <w:gridCol w:w="389"/>
        <w:gridCol w:w="390"/>
        <w:gridCol w:w="390"/>
        <w:gridCol w:w="390"/>
        <w:gridCol w:w="390"/>
        <w:gridCol w:w="390"/>
        <w:gridCol w:w="1419"/>
      </w:tblGrid>
      <w:tr w:rsidR="009356EC" w14:paraId="5ED21629" w14:textId="77777777" w:rsidTr="001F5B0D">
        <w:trPr>
          <w:cantSplit/>
          <w:trHeight w:val="4164"/>
        </w:trPr>
        <w:tc>
          <w:tcPr>
            <w:tcW w:w="2268" w:type="dxa"/>
            <w:tcBorders>
              <w:top w:val="single" w:sz="4" w:space="0" w:color="auto"/>
              <w:left w:val="nil"/>
              <w:bottom w:val="nil"/>
              <w:right w:val="nil"/>
            </w:tcBorders>
            <w:vAlign w:val="center"/>
          </w:tcPr>
          <w:p w14:paraId="17D97704" w14:textId="77777777" w:rsidR="009356EC" w:rsidRPr="00BD6E7A" w:rsidRDefault="009356EC" w:rsidP="001F5B0D">
            <w:pPr>
              <w:spacing w:after="160" w:line="254" w:lineRule="auto"/>
              <w:rPr>
                <w:rFonts w:eastAsia="Calibri"/>
                <w:i/>
                <w:iCs/>
                <w:color w:val="auto"/>
              </w:rPr>
            </w:pPr>
          </w:p>
        </w:tc>
        <w:tc>
          <w:tcPr>
            <w:tcW w:w="389" w:type="dxa"/>
            <w:tcBorders>
              <w:top w:val="single" w:sz="4" w:space="0" w:color="auto"/>
              <w:left w:val="nil"/>
              <w:bottom w:val="single" w:sz="4" w:space="0" w:color="auto"/>
              <w:right w:val="nil"/>
            </w:tcBorders>
            <w:textDirection w:val="btLr"/>
            <w:hideMark/>
          </w:tcPr>
          <w:p w14:paraId="0CB784DC"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Research question and inclusion criteria include PICO components</w:t>
            </w:r>
          </w:p>
        </w:tc>
        <w:tc>
          <w:tcPr>
            <w:tcW w:w="390" w:type="dxa"/>
            <w:tcBorders>
              <w:top w:val="single" w:sz="4" w:space="0" w:color="auto"/>
              <w:left w:val="nil"/>
              <w:bottom w:val="single" w:sz="4" w:space="0" w:color="auto"/>
              <w:right w:val="nil"/>
            </w:tcBorders>
            <w:textDirection w:val="btLr"/>
            <w:hideMark/>
          </w:tcPr>
          <w:p w14:paraId="7770AC6F"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A priori design</w:t>
            </w:r>
          </w:p>
        </w:tc>
        <w:tc>
          <w:tcPr>
            <w:tcW w:w="390" w:type="dxa"/>
            <w:tcBorders>
              <w:top w:val="single" w:sz="4" w:space="0" w:color="auto"/>
              <w:left w:val="nil"/>
              <w:bottom w:val="single" w:sz="4" w:space="0" w:color="auto"/>
              <w:right w:val="nil"/>
            </w:tcBorders>
            <w:textDirection w:val="btLr"/>
            <w:hideMark/>
          </w:tcPr>
          <w:p w14:paraId="38940739"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Justification of included study designs</w:t>
            </w:r>
          </w:p>
        </w:tc>
        <w:tc>
          <w:tcPr>
            <w:tcW w:w="390" w:type="dxa"/>
            <w:tcBorders>
              <w:top w:val="single" w:sz="4" w:space="0" w:color="auto"/>
              <w:left w:val="nil"/>
              <w:bottom w:val="single" w:sz="4" w:space="0" w:color="auto"/>
              <w:right w:val="nil"/>
            </w:tcBorders>
            <w:textDirection w:val="btLr"/>
            <w:hideMark/>
          </w:tcPr>
          <w:p w14:paraId="21E5FAF0"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Comprehensive literature search strategy</w:t>
            </w:r>
          </w:p>
        </w:tc>
        <w:tc>
          <w:tcPr>
            <w:tcW w:w="390" w:type="dxa"/>
            <w:tcBorders>
              <w:top w:val="single" w:sz="4" w:space="0" w:color="auto"/>
              <w:left w:val="nil"/>
              <w:bottom w:val="single" w:sz="4" w:space="0" w:color="auto"/>
              <w:right w:val="nil"/>
            </w:tcBorders>
            <w:textDirection w:val="btLr"/>
            <w:hideMark/>
          </w:tcPr>
          <w:p w14:paraId="0ED88BE1"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Study selection performed in duplicate</w:t>
            </w:r>
          </w:p>
        </w:tc>
        <w:tc>
          <w:tcPr>
            <w:tcW w:w="389" w:type="dxa"/>
            <w:tcBorders>
              <w:top w:val="single" w:sz="4" w:space="0" w:color="auto"/>
              <w:left w:val="nil"/>
              <w:bottom w:val="single" w:sz="4" w:space="0" w:color="auto"/>
              <w:right w:val="nil"/>
            </w:tcBorders>
            <w:textDirection w:val="btLr"/>
            <w:hideMark/>
          </w:tcPr>
          <w:p w14:paraId="247ADD2E"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Data extraction in duplicate</w:t>
            </w:r>
          </w:p>
        </w:tc>
        <w:tc>
          <w:tcPr>
            <w:tcW w:w="390" w:type="dxa"/>
            <w:tcBorders>
              <w:top w:val="single" w:sz="4" w:space="0" w:color="auto"/>
              <w:left w:val="nil"/>
              <w:bottom w:val="single" w:sz="4" w:space="0" w:color="auto"/>
              <w:right w:val="nil"/>
            </w:tcBorders>
            <w:textDirection w:val="btLr"/>
            <w:hideMark/>
          </w:tcPr>
          <w:p w14:paraId="1883E828"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List of excluded studies with justifications</w:t>
            </w:r>
          </w:p>
        </w:tc>
        <w:tc>
          <w:tcPr>
            <w:tcW w:w="390" w:type="dxa"/>
            <w:tcBorders>
              <w:top w:val="single" w:sz="4" w:space="0" w:color="auto"/>
              <w:left w:val="nil"/>
              <w:bottom w:val="single" w:sz="4" w:space="0" w:color="auto"/>
              <w:right w:val="nil"/>
            </w:tcBorders>
            <w:textDirection w:val="btLr"/>
            <w:hideMark/>
          </w:tcPr>
          <w:p w14:paraId="176E1416"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Included studies describes in adequate detail</w:t>
            </w:r>
          </w:p>
        </w:tc>
        <w:tc>
          <w:tcPr>
            <w:tcW w:w="390" w:type="dxa"/>
            <w:tcBorders>
              <w:top w:val="single" w:sz="4" w:space="0" w:color="auto"/>
              <w:left w:val="nil"/>
              <w:bottom w:val="single" w:sz="4" w:space="0" w:color="auto"/>
              <w:right w:val="nil"/>
            </w:tcBorders>
            <w:textDirection w:val="btLr"/>
            <w:hideMark/>
          </w:tcPr>
          <w:p w14:paraId="75054364"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Satisfactory technique to assess risk of bias</w:t>
            </w:r>
          </w:p>
        </w:tc>
        <w:tc>
          <w:tcPr>
            <w:tcW w:w="390" w:type="dxa"/>
            <w:tcBorders>
              <w:top w:val="single" w:sz="4" w:space="0" w:color="auto"/>
              <w:left w:val="nil"/>
              <w:bottom w:val="single" w:sz="4" w:space="0" w:color="auto"/>
              <w:right w:val="nil"/>
            </w:tcBorders>
            <w:textDirection w:val="btLr"/>
            <w:hideMark/>
          </w:tcPr>
          <w:p w14:paraId="65F74465"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Report on funding sources in studies</w:t>
            </w:r>
          </w:p>
        </w:tc>
        <w:tc>
          <w:tcPr>
            <w:tcW w:w="389" w:type="dxa"/>
            <w:tcBorders>
              <w:top w:val="single" w:sz="4" w:space="0" w:color="auto"/>
              <w:left w:val="nil"/>
              <w:bottom w:val="single" w:sz="4" w:space="0" w:color="auto"/>
              <w:right w:val="nil"/>
            </w:tcBorders>
            <w:textDirection w:val="btLr"/>
            <w:hideMark/>
          </w:tcPr>
          <w:p w14:paraId="5A07B447"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Appropriate method for statistical combination</w:t>
            </w:r>
          </w:p>
        </w:tc>
        <w:tc>
          <w:tcPr>
            <w:tcW w:w="390" w:type="dxa"/>
            <w:tcBorders>
              <w:top w:val="single" w:sz="4" w:space="0" w:color="auto"/>
              <w:left w:val="nil"/>
              <w:bottom w:val="single" w:sz="4" w:space="0" w:color="auto"/>
              <w:right w:val="nil"/>
            </w:tcBorders>
            <w:textDirection w:val="btLr"/>
            <w:hideMark/>
          </w:tcPr>
          <w:p w14:paraId="749BDC9C"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Impact of RoB on meta-analysis results</w:t>
            </w:r>
          </w:p>
        </w:tc>
        <w:tc>
          <w:tcPr>
            <w:tcW w:w="390" w:type="dxa"/>
            <w:tcBorders>
              <w:top w:val="single" w:sz="4" w:space="0" w:color="auto"/>
              <w:left w:val="nil"/>
              <w:bottom w:val="single" w:sz="4" w:space="0" w:color="auto"/>
              <w:right w:val="nil"/>
            </w:tcBorders>
            <w:textDirection w:val="btLr"/>
            <w:hideMark/>
          </w:tcPr>
          <w:p w14:paraId="1A6B3E31"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Account for RoB in individual studies when interpreting results</w:t>
            </w:r>
          </w:p>
        </w:tc>
        <w:tc>
          <w:tcPr>
            <w:tcW w:w="390" w:type="dxa"/>
            <w:tcBorders>
              <w:top w:val="single" w:sz="4" w:space="0" w:color="auto"/>
              <w:left w:val="nil"/>
              <w:bottom w:val="single" w:sz="4" w:space="0" w:color="auto"/>
              <w:right w:val="nil"/>
            </w:tcBorders>
            <w:textDirection w:val="btLr"/>
            <w:hideMark/>
          </w:tcPr>
          <w:p w14:paraId="1F3D9879"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Explanation of heterogeneity in results</w:t>
            </w:r>
          </w:p>
        </w:tc>
        <w:tc>
          <w:tcPr>
            <w:tcW w:w="390" w:type="dxa"/>
            <w:tcBorders>
              <w:top w:val="single" w:sz="4" w:space="0" w:color="auto"/>
              <w:left w:val="nil"/>
              <w:bottom w:val="single" w:sz="4" w:space="0" w:color="auto"/>
              <w:right w:val="nil"/>
            </w:tcBorders>
            <w:textDirection w:val="btLr"/>
            <w:hideMark/>
          </w:tcPr>
          <w:p w14:paraId="190F160D"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Assessed publication bias</w:t>
            </w:r>
          </w:p>
        </w:tc>
        <w:tc>
          <w:tcPr>
            <w:tcW w:w="390" w:type="dxa"/>
            <w:tcBorders>
              <w:top w:val="single" w:sz="4" w:space="0" w:color="auto"/>
              <w:left w:val="nil"/>
              <w:bottom w:val="single" w:sz="4" w:space="0" w:color="auto"/>
              <w:right w:val="nil"/>
            </w:tcBorders>
            <w:textDirection w:val="btLr"/>
            <w:hideMark/>
          </w:tcPr>
          <w:p w14:paraId="72CDBE1F" w14:textId="77777777" w:rsidR="009356EC" w:rsidRPr="008416B3" w:rsidRDefault="009356EC" w:rsidP="001F5B0D">
            <w:pPr>
              <w:spacing w:after="160" w:line="254" w:lineRule="auto"/>
              <w:ind w:left="113" w:right="113"/>
              <w:rPr>
                <w:rFonts w:eastAsia="Calibri"/>
                <w:color w:val="auto"/>
              </w:rPr>
            </w:pPr>
            <w:r w:rsidRPr="008416B3">
              <w:rPr>
                <w:rFonts w:eastAsia="Calibri"/>
                <w:color w:val="auto"/>
              </w:rPr>
              <w:t>Reported conflicts of interest</w:t>
            </w:r>
          </w:p>
        </w:tc>
        <w:tc>
          <w:tcPr>
            <w:tcW w:w="1419" w:type="dxa"/>
            <w:tcBorders>
              <w:top w:val="single" w:sz="4" w:space="0" w:color="auto"/>
              <w:left w:val="nil"/>
              <w:bottom w:val="single" w:sz="4" w:space="0" w:color="auto"/>
              <w:right w:val="nil"/>
            </w:tcBorders>
            <w:vAlign w:val="center"/>
          </w:tcPr>
          <w:p w14:paraId="5A039D73" w14:textId="77777777" w:rsidR="009356EC" w:rsidRPr="008416B3" w:rsidRDefault="009356EC" w:rsidP="001F5B0D">
            <w:pPr>
              <w:spacing w:after="160" w:line="254" w:lineRule="auto"/>
              <w:rPr>
                <w:rFonts w:eastAsia="Calibri"/>
                <w:b/>
                <w:color w:val="auto"/>
              </w:rPr>
            </w:pPr>
          </w:p>
          <w:p w14:paraId="57BC3E16" w14:textId="77777777" w:rsidR="009356EC" w:rsidRPr="008416B3" w:rsidRDefault="009356EC" w:rsidP="001F5B0D">
            <w:pPr>
              <w:spacing w:after="160" w:line="254" w:lineRule="auto"/>
              <w:rPr>
                <w:rFonts w:eastAsia="Calibri"/>
                <w:b/>
                <w:color w:val="auto"/>
              </w:rPr>
            </w:pPr>
          </w:p>
          <w:p w14:paraId="6BA6AEC0" w14:textId="77777777" w:rsidR="009356EC" w:rsidRPr="008416B3" w:rsidRDefault="009356EC" w:rsidP="001F5B0D">
            <w:pPr>
              <w:spacing w:after="160" w:line="254" w:lineRule="auto"/>
              <w:rPr>
                <w:rFonts w:eastAsia="Calibri"/>
                <w:b/>
                <w:color w:val="auto"/>
              </w:rPr>
            </w:pPr>
          </w:p>
          <w:p w14:paraId="748AF701" w14:textId="77777777" w:rsidR="009356EC" w:rsidRPr="008416B3" w:rsidRDefault="009356EC" w:rsidP="001F5B0D">
            <w:pPr>
              <w:spacing w:after="160" w:line="254" w:lineRule="auto"/>
              <w:rPr>
                <w:rFonts w:eastAsia="Calibri"/>
                <w:b/>
                <w:color w:val="auto"/>
              </w:rPr>
            </w:pPr>
          </w:p>
          <w:p w14:paraId="1232D9ED" w14:textId="77777777" w:rsidR="009356EC" w:rsidRPr="008416B3" w:rsidRDefault="009356EC" w:rsidP="001F5B0D">
            <w:pPr>
              <w:spacing w:after="160" w:line="254" w:lineRule="auto"/>
              <w:rPr>
                <w:rFonts w:eastAsia="Calibri"/>
                <w:b/>
                <w:color w:val="auto"/>
              </w:rPr>
            </w:pPr>
          </w:p>
          <w:p w14:paraId="43DF169D" w14:textId="77777777" w:rsidR="009356EC" w:rsidRPr="008416B3" w:rsidRDefault="009356EC" w:rsidP="001F5B0D">
            <w:pPr>
              <w:spacing w:after="160" w:line="254" w:lineRule="auto"/>
              <w:rPr>
                <w:rFonts w:eastAsia="Calibri"/>
                <w:b/>
                <w:color w:val="auto"/>
              </w:rPr>
            </w:pPr>
          </w:p>
          <w:p w14:paraId="607363BE" w14:textId="77777777" w:rsidR="009356EC" w:rsidRPr="008416B3" w:rsidRDefault="009356EC" w:rsidP="001F5B0D">
            <w:pPr>
              <w:spacing w:after="160" w:line="254" w:lineRule="auto"/>
              <w:rPr>
                <w:rFonts w:eastAsia="Calibri"/>
                <w:b/>
                <w:color w:val="auto"/>
              </w:rPr>
            </w:pPr>
          </w:p>
          <w:p w14:paraId="45C660A4" w14:textId="77777777" w:rsidR="009356EC" w:rsidRPr="008416B3" w:rsidRDefault="009356EC" w:rsidP="001F5B0D">
            <w:pPr>
              <w:spacing w:after="160" w:line="254" w:lineRule="auto"/>
              <w:rPr>
                <w:rFonts w:eastAsia="Calibri"/>
                <w:b/>
                <w:color w:val="auto"/>
              </w:rPr>
            </w:pPr>
          </w:p>
          <w:p w14:paraId="66764DA4" w14:textId="77777777" w:rsidR="009356EC" w:rsidRPr="008416B3" w:rsidRDefault="009356EC" w:rsidP="001F5B0D">
            <w:pPr>
              <w:spacing w:after="160" w:line="254" w:lineRule="auto"/>
              <w:rPr>
                <w:rFonts w:eastAsia="Calibri"/>
                <w:b/>
                <w:color w:val="auto"/>
              </w:rPr>
            </w:pPr>
          </w:p>
          <w:p w14:paraId="638D7327" w14:textId="77777777" w:rsidR="009356EC" w:rsidRPr="008416B3" w:rsidRDefault="009356EC" w:rsidP="001F5B0D">
            <w:pPr>
              <w:spacing w:after="160" w:line="254" w:lineRule="auto"/>
              <w:rPr>
                <w:rFonts w:eastAsia="Calibri"/>
                <w:b/>
                <w:color w:val="auto"/>
              </w:rPr>
            </w:pPr>
          </w:p>
          <w:p w14:paraId="4487928F" w14:textId="77777777" w:rsidR="009356EC" w:rsidRPr="008416B3" w:rsidRDefault="009356EC" w:rsidP="001F5B0D">
            <w:pPr>
              <w:spacing w:after="160" w:line="254" w:lineRule="auto"/>
              <w:rPr>
                <w:rFonts w:eastAsia="Calibri"/>
                <w:b/>
                <w:color w:val="auto"/>
              </w:rPr>
            </w:pPr>
          </w:p>
          <w:p w14:paraId="200E474D" w14:textId="77777777" w:rsidR="009356EC" w:rsidRPr="008416B3" w:rsidRDefault="009356EC" w:rsidP="001F5B0D">
            <w:pPr>
              <w:spacing w:after="160" w:line="254" w:lineRule="auto"/>
              <w:rPr>
                <w:rFonts w:eastAsia="Calibri"/>
                <w:b/>
                <w:color w:val="auto"/>
              </w:rPr>
            </w:pPr>
            <w:r w:rsidRPr="008416B3">
              <w:rPr>
                <w:rFonts w:eastAsia="Calibri"/>
                <w:b/>
                <w:color w:val="auto"/>
              </w:rPr>
              <w:t>Overall Quality</w:t>
            </w:r>
          </w:p>
        </w:tc>
      </w:tr>
      <w:tr w:rsidR="009356EC" w14:paraId="5AB3C7A5" w14:textId="77777777" w:rsidTr="001F5B0D">
        <w:trPr>
          <w:cantSplit/>
          <w:trHeight w:hRule="exact" w:val="284"/>
        </w:trPr>
        <w:tc>
          <w:tcPr>
            <w:tcW w:w="2268" w:type="dxa"/>
            <w:tcBorders>
              <w:top w:val="nil"/>
              <w:left w:val="nil"/>
              <w:bottom w:val="nil"/>
              <w:right w:val="nil"/>
            </w:tcBorders>
            <w:hideMark/>
          </w:tcPr>
          <w:p w14:paraId="3CA8FDC8" w14:textId="77777777" w:rsidR="009356EC" w:rsidRPr="00BD6E7A" w:rsidRDefault="009356EC" w:rsidP="001F5B0D">
            <w:pPr>
              <w:spacing w:after="160" w:line="254" w:lineRule="auto"/>
              <w:rPr>
                <w:rFonts w:eastAsia="Calibri"/>
                <w:i/>
                <w:iCs/>
                <w:color w:val="auto"/>
              </w:rPr>
            </w:pPr>
            <w:r w:rsidRPr="00BD6E7A">
              <w:rPr>
                <w:rFonts w:asciiTheme="minorHAnsi" w:hAnsiTheme="minorHAnsi" w:cstheme="minorHAnsi"/>
                <w:i/>
                <w:iCs/>
              </w:rPr>
              <w:t>Albrecht et al.</w:t>
            </w:r>
          </w:p>
        </w:tc>
        <w:tc>
          <w:tcPr>
            <w:tcW w:w="389" w:type="dxa"/>
            <w:tcBorders>
              <w:top w:val="single" w:sz="4" w:space="0" w:color="auto"/>
              <w:left w:val="nil"/>
              <w:bottom w:val="nil"/>
              <w:right w:val="nil"/>
            </w:tcBorders>
            <w:shd w:val="clear" w:color="auto" w:fill="92D050"/>
            <w:vAlign w:val="center"/>
            <w:hideMark/>
          </w:tcPr>
          <w:p w14:paraId="3A1CC829"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92D050"/>
            <w:vAlign w:val="center"/>
            <w:hideMark/>
          </w:tcPr>
          <w:p w14:paraId="7D3792F3"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92D050"/>
            <w:vAlign w:val="center"/>
          </w:tcPr>
          <w:p w14:paraId="580D6E1C" w14:textId="77777777" w:rsidR="009356EC" w:rsidRPr="008416B3" w:rsidRDefault="009356EC" w:rsidP="001F5B0D">
            <w:pPr>
              <w:spacing w:after="160" w:line="254" w:lineRule="auto"/>
              <w:rPr>
                <w:rFonts w:eastAsia="Calibri"/>
                <w:color w:val="auto"/>
              </w:rPr>
            </w:pPr>
            <w:r w:rsidRPr="008416B3">
              <w:rPr>
                <w:rFonts w:eastAsia="Calibri"/>
                <w:color w:val="auto"/>
              </w:rPr>
              <w:t>Y</w:t>
            </w:r>
          </w:p>
          <w:p w14:paraId="16460F80" w14:textId="77777777" w:rsidR="009356EC" w:rsidRPr="008416B3" w:rsidRDefault="009356EC" w:rsidP="001F5B0D">
            <w:pPr>
              <w:spacing w:after="160" w:line="254" w:lineRule="auto"/>
              <w:rPr>
                <w:rFonts w:eastAsia="Calibri"/>
                <w:color w:val="auto"/>
              </w:rPr>
            </w:pPr>
          </w:p>
        </w:tc>
        <w:tc>
          <w:tcPr>
            <w:tcW w:w="390" w:type="dxa"/>
            <w:tcBorders>
              <w:top w:val="single" w:sz="4" w:space="0" w:color="auto"/>
              <w:left w:val="nil"/>
              <w:bottom w:val="nil"/>
              <w:right w:val="nil"/>
            </w:tcBorders>
            <w:shd w:val="clear" w:color="auto" w:fill="FFFF00"/>
            <w:vAlign w:val="center"/>
            <w:hideMark/>
          </w:tcPr>
          <w:p w14:paraId="18CD677C" w14:textId="77777777" w:rsidR="009356EC" w:rsidRPr="008416B3" w:rsidRDefault="009356EC" w:rsidP="001F5B0D">
            <w:pPr>
              <w:spacing w:after="160" w:line="254" w:lineRule="auto"/>
              <w:rPr>
                <w:rFonts w:eastAsia="Calibri"/>
                <w:color w:val="auto"/>
              </w:rPr>
            </w:pPr>
            <w:r w:rsidRPr="008416B3">
              <w:rPr>
                <w:rFonts w:eastAsia="Calibri"/>
                <w:color w:val="auto"/>
              </w:rPr>
              <w:t>PY</w:t>
            </w:r>
          </w:p>
        </w:tc>
        <w:tc>
          <w:tcPr>
            <w:tcW w:w="390" w:type="dxa"/>
            <w:tcBorders>
              <w:top w:val="single" w:sz="4" w:space="0" w:color="auto"/>
              <w:left w:val="nil"/>
              <w:bottom w:val="nil"/>
              <w:right w:val="nil"/>
            </w:tcBorders>
            <w:shd w:val="clear" w:color="auto" w:fill="92D050"/>
            <w:vAlign w:val="center"/>
            <w:hideMark/>
          </w:tcPr>
          <w:p w14:paraId="1B07CC8D"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89" w:type="dxa"/>
            <w:tcBorders>
              <w:top w:val="single" w:sz="4" w:space="0" w:color="auto"/>
              <w:left w:val="nil"/>
              <w:bottom w:val="nil"/>
              <w:right w:val="nil"/>
            </w:tcBorders>
            <w:shd w:val="clear" w:color="auto" w:fill="92D050"/>
            <w:vAlign w:val="center"/>
            <w:hideMark/>
          </w:tcPr>
          <w:p w14:paraId="153F0229"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FF0000"/>
            <w:vAlign w:val="center"/>
            <w:hideMark/>
          </w:tcPr>
          <w:p w14:paraId="2D429691"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single" w:sz="4" w:space="0" w:color="auto"/>
              <w:left w:val="nil"/>
              <w:bottom w:val="nil"/>
              <w:right w:val="nil"/>
            </w:tcBorders>
            <w:shd w:val="clear" w:color="auto" w:fill="FFFF00"/>
            <w:vAlign w:val="center"/>
            <w:hideMark/>
          </w:tcPr>
          <w:p w14:paraId="6E9710F0" w14:textId="77777777" w:rsidR="009356EC" w:rsidRPr="008416B3" w:rsidRDefault="009356EC" w:rsidP="001F5B0D">
            <w:r w:rsidRPr="008416B3">
              <w:t>P</w:t>
            </w:r>
          </w:p>
        </w:tc>
        <w:tc>
          <w:tcPr>
            <w:tcW w:w="390" w:type="dxa"/>
            <w:tcBorders>
              <w:top w:val="single" w:sz="4" w:space="0" w:color="auto"/>
              <w:left w:val="nil"/>
              <w:bottom w:val="nil"/>
              <w:right w:val="nil"/>
            </w:tcBorders>
            <w:shd w:val="clear" w:color="auto" w:fill="92D050"/>
            <w:vAlign w:val="center"/>
            <w:hideMark/>
          </w:tcPr>
          <w:p w14:paraId="3471C658"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FF0000"/>
            <w:vAlign w:val="center"/>
            <w:hideMark/>
          </w:tcPr>
          <w:p w14:paraId="0BD2DAE4"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89" w:type="dxa"/>
            <w:tcBorders>
              <w:top w:val="single" w:sz="4" w:space="0" w:color="auto"/>
              <w:left w:val="nil"/>
              <w:bottom w:val="nil"/>
              <w:right w:val="nil"/>
            </w:tcBorders>
            <w:shd w:val="clear" w:color="auto" w:fill="92D050"/>
            <w:vAlign w:val="center"/>
            <w:hideMark/>
          </w:tcPr>
          <w:p w14:paraId="332403CB"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92D050"/>
            <w:vAlign w:val="center"/>
            <w:hideMark/>
          </w:tcPr>
          <w:p w14:paraId="07B2479C"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92D050"/>
            <w:vAlign w:val="center"/>
            <w:hideMark/>
          </w:tcPr>
          <w:p w14:paraId="5D71DC60" w14:textId="77777777" w:rsidR="009356EC" w:rsidRPr="008416B3" w:rsidRDefault="009356EC" w:rsidP="001F5B0D">
            <w:pPr>
              <w:spacing w:after="160" w:line="254" w:lineRule="auto"/>
              <w:rPr>
                <w:rFonts w:eastAsia="Calibri"/>
                <w:b/>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92D050"/>
            <w:vAlign w:val="center"/>
            <w:hideMark/>
          </w:tcPr>
          <w:p w14:paraId="74202B42"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92D050"/>
            <w:vAlign w:val="center"/>
            <w:hideMark/>
          </w:tcPr>
          <w:p w14:paraId="112881C2"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single" w:sz="4" w:space="0" w:color="auto"/>
              <w:left w:val="nil"/>
              <w:bottom w:val="nil"/>
              <w:right w:val="nil"/>
            </w:tcBorders>
            <w:shd w:val="clear" w:color="auto" w:fill="92D050"/>
            <w:vAlign w:val="center"/>
            <w:hideMark/>
          </w:tcPr>
          <w:p w14:paraId="5A06AFD7"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1419" w:type="dxa"/>
            <w:tcBorders>
              <w:top w:val="single" w:sz="4" w:space="0" w:color="auto"/>
              <w:left w:val="nil"/>
              <w:bottom w:val="nil"/>
              <w:right w:val="nil"/>
            </w:tcBorders>
            <w:shd w:val="clear" w:color="auto" w:fill="FFC000"/>
            <w:vAlign w:val="center"/>
            <w:hideMark/>
          </w:tcPr>
          <w:p w14:paraId="4D94A611" w14:textId="77777777" w:rsidR="009356EC" w:rsidRPr="008416B3" w:rsidRDefault="009356EC" w:rsidP="001F5B0D">
            <w:pPr>
              <w:spacing w:after="160" w:line="254" w:lineRule="auto"/>
              <w:rPr>
                <w:rFonts w:eastAsia="Calibri"/>
                <w:b/>
                <w:color w:val="auto"/>
              </w:rPr>
            </w:pPr>
            <w:r w:rsidRPr="008416B3">
              <w:rPr>
                <w:rFonts w:eastAsia="Calibri"/>
                <w:b/>
                <w:color w:val="auto"/>
              </w:rPr>
              <w:t>Low</w:t>
            </w:r>
          </w:p>
        </w:tc>
      </w:tr>
      <w:tr w:rsidR="009356EC" w14:paraId="298D4334" w14:textId="77777777" w:rsidTr="001F5B0D">
        <w:trPr>
          <w:cantSplit/>
          <w:trHeight w:hRule="exact" w:val="284"/>
        </w:trPr>
        <w:tc>
          <w:tcPr>
            <w:tcW w:w="2268" w:type="dxa"/>
            <w:tcBorders>
              <w:top w:val="nil"/>
              <w:left w:val="nil"/>
              <w:bottom w:val="nil"/>
              <w:right w:val="nil"/>
            </w:tcBorders>
            <w:hideMark/>
          </w:tcPr>
          <w:p w14:paraId="3DFEED3E" w14:textId="77777777" w:rsidR="009356EC" w:rsidRPr="00BD6E7A" w:rsidRDefault="009356EC" w:rsidP="001F5B0D">
            <w:pPr>
              <w:spacing w:after="160" w:line="254" w:lineRule="auto"/>
              <w:rPr>
                <w:rFonts w:eastAsia="Calibri"/>
                <w:i/>
                <w:iCs/>
                <w:color w:val="auto"/>
              </w:rPr>
            </w:pPr>
            <w:r w:rsidRPr="00BD6E7A">
              <w:rPr>
                <w:rFonts w:asciiTheme="minorHAnsi" w:hAnsiTheme="minorHAnsi" w:cstheme="minorHAnsi"/>
                <w:i/>
                <w:iCs/>
              </w:rPr>
              <w:t>Arwi &amp; Schug</w:t>
            </w:r>
          </w:p>
        </w:tc>
        <w:tc>
          <w:tcPr>
            <w:tcW w:w="389" w:type="dxa"/>
            <w:tcBorders>
              <w:top w:val="nil"/>
              <w:left w:val="nil"/>
              <w:bottom w:val="nil"/>
              <w:right w:val="nil"/>
            </w:tcBorders>
            <w:shd w:val="clear" w:color="auto" w:fill="92D050"/>
            <w:vAlign w:val="center"/>
            <w:hideMark/>
          </w:tcPr>
          <w:p w14:paraId="77E0375D"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6FB8F4CD"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25944CCB"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4552C603"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138338C2"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89" w:type="dxa"/>
            <w:tcBorders>
              <w:top w:val="nil"/>
              <w:left w:val="nil"/>
              <w:bottom w:val="nil"/>
              <w:right w:val="nil"/>
            </w:tcBorders>
            <w:shd w:val="clear" w:color="auto" w:fill="92D050"/>
            <w:vAlign w:val="center"/>
            <w:hideMark/>
          </w:tcPr>
          <w:p w14:paraId="2C2531E2"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29F788EA"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184C3C5F"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92D050"/>
            <w:vAlign w:val="center"/>
            <w:hideMark/>
          </w:tcPr>
          <w:p w14:paraId="3FB4C74D"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154EB70F"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89" w:type="dxa"/>
            <w:tcBorders>
              <w:top w:val="nil"/>
              <w:left w:val="nil"/>
              <w:bottom w:val="nil"/>
              <w:right w:val="nil"/>
            </w:tcBorders>
            <w:shd w:val="clear" w:color="auto" w:fill="FF0000"/>
            <w:vAlign w:val="center"/>
            <w:hideMark/>
          </w:tcPr>
          <w:p w14:paraId="07D16503"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FF0000"/>
            <w:vAlign w:val="center"/>
            <w:hideMark/>
          </w:tcPr>
          <w:p w14:paraId="071CDE2A"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79839BF7"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4903411A"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FF0000"/>
            <w:vAlign w:val="center"/>
            <w:hideMark/>
          </w:tcPr>
          <w:p w14:paraId="1CE54B5A"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23888B6C"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1419" w:type="dxa"/>
            <w:tcBorders>
              <w:top w:val="nil"/>
              <w:left w:val="nil"/>
              <w:bottom w:val="nil"/>
              <w:right w:val="nil"/>
            </w:tcBorders>
            <w:shd w:val="clear" w:color="auto" w:fill="FF0000"/>
            <w:vAlign w:val="center"/>
            <w:hideMark/>
          </w:tcPr>
          <w:p w14:paraId="48596BE6" w14:textId="77777777" w:rsidR="009356EC" w:rsidRPr="008416B3" w:rsidRDefault="009356EC" w:rsidP="001F5B0D">
            <w:pPr>
              <w:spacing w:after="160" w:line="254" w:lineRule="auto"/>
              <w:rPr>
                <w:rFonts w:eastAsia="Calibri"/>
                <w:b/>
                <w:color w:val="auto"/>
              </w:rPr>
            </w:pPr>
            <w:r w:rsidRPr="008416B3">
              <w:rPr>
                <w:rFonts w:eastAsia="Calibri"/>
                <w:b/>
                <w:color w:val="auto"/>
              </w:rPr>
              <w:t>Critically low</w:t>
            </w:r>
          </w:p>
        </w:tc>
      </w:tr>
      <w:tr w:rsidR="009356EC" w14:paraId="2D9CDCF8" w14:textId="77777777" w:rsidTr="001F5B0D">
        <w:trPr>
          <w:cantSplit/>
          <w:trHeight w:hRule="exact" w:val="284"/>
        </w:trPr>
        <w:tc>
          <w:tcPr>
            <w:tcW w:w="2268" w:type="dxa"/>
            <w:tcBorders>
              <w:top w:val="nil"/>
              <w:left w:val="nil"/>
              <w:bottom w:val="nil"/>
              <w:right w:val="nil"/>
            </w:tcBorders>
            <w:hideMark/>
          </w:tcPr>
          <w:p w14:paraId="2B57E3E7" w14:textId="77777777" w:rsidR="009356EC" w:rsidRPr="00BD6E7A" w:rsidRDefault="009356EC" w:rsidP="001F5B0D">
            <w:pPr>
              <w:spacing w:after="160" w:line="254" w:lineRule="auto"/>
              <w:rPr>
                <w:rFonts w:eastAsia="Calibri"/>
                <w:i/>
                <w:iCs/>
                <w:color w:val="auto"/>
              </w:rPr>
            </w:pPr>
            <w:r w:rsidRPr="00BD6E7A">
              <w:rPr>
                <w:rFonts w:asciiTheme="minorHAnsi" w:hAnsiTheme="minorHAnsi" w:cstheme="minorHAnsi"/>
                <w:i/>
                <w:iCs/>
              </w:rPr>
              <w:t>Baamer et al.</w:t>
            </w:r>
          </w:p>
        </w:tc>
        <w:tc>
          <w:tcPr>
            <w:tcW w:w="389" w:type="dxa"/>
            <w:tcBorders>
              <w:top w:val="nil"/>
              <w:left w:val="nil"/>
              <w:bottom w:val="nil"/>
              <w:right w:val="nil"/>
            </w:tcBorders>
            <w:shd w:val="clear" w:color="auto" w:fill="92D050"/>
            <w:vAlign w:val="center"/>
            <w:hideMark/>
          </w:tcPr>
          <w:p w14:paraId="65CEEFBB"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4ECFB877"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11E49DC7"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FF00"/>
            <w:vAlign w:val="center"/>
            <w:hideMark/>
          </w:tcPr>
          <w:p w14:paraId="0A858807" w14:textId="77777777" w:rsidR="009356EC" w:rsidRPr="008416B3" w:rsidRDefault="009356EC" w:rsidP="001F5B0D">
            <w:pPr>
              <w:spacing w:after="160" w:line="254" w:lineRule="auto"/>
              <w:rPr>
                <w:rFonts w:eastAsia="Calibri"/>
                <w:color w:val="auto"/>
              </w:rPr>
            </w:pPr>
            <w:r w:rsidRPr="008416B3">
              <w:rPr>
                <w:rFonts w:eastAsia="Calibri"/>
                <w:color w:val="auto"/>
              </w:rPr>
              <w:t>P</w:t>
            </w:r>
          </w:p>
        </w:tc>
        <w:tc>
          <w:tcPr>
            <w:tcW w:w="390" w:type="dxa"/>
            <w:tcBorders>
              <w:top w:val="nil"/>
              <w:left w:val="nil"/>
              <w:bottom w:val="nil"/>
              <w:right w:val="nil"/>
            </w:tcBorders>
            <w:shd w:val="clear" w:color="auto" w:fill="92D050"/>
            <w:vAlign w:val="center"/>
            <w:hideMark/>
          </w:tcPr>
          <w:p w14:paraId="3FC038E1"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89" w:type="dxa"/>
            <w:tcBorders>
              <w:top w:val="nil"/>
              <w:left w:val="nil"/>
              <w:bottom w:val="nil"/>
              <w:right w:val="nil"/>
            </w:tcBorders>
            <w:shd w:val="clear" w:color="auto" w:fill="92D050"/>
            <w:vAlign w:val="center"/>
            <w:hideMark/>
          </w:tcPr>
          <w:p w14:paraId="4C52DC64"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92D050"/>
            <w:vAlign w:val="center"/>
            <w:hideMark/>
          </w:tcPr>
          <w:p w14:paraId="21DDBB33"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92D050"/>
            <w:vAlign w:val="center"/>
            <w:hideMark/>
          </w:tcPr>
          <w:p w14:paraId="52636952"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92D050"/>
            <w:vAlign w:val="center"/>
            <w:hideMark/>
          </w:tcPr>
          <w:p w14:paraId="4ACC47CE"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19EB7B96"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89" w:type="dxa"/>
            <w:tcBorders>
              <w:top w:val="nil"/>
              <w:left w:val="nil"/>
              <w:bottom w:val="nil"/>
              <w:right w:val="nil"/>
            </w:tcBorders>
            <w:shd w:val="clear" w:color="auto" w:fill="FF0000"/>
            <w:vAlign w:val="center"/>
            <w:hideMark/>
          </w:tcPr>
          <w:p w14:paraId="79F0E37C"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FF0000"/>
            <w:vAlign w:val="center"/>
            <w:hideMark/>
          </w:tcPr>
          <w:p w14:paraId="2953FC84"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160B2028"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92D050"/>
            <w:vAlign w:val="center"/>
            <w:hideMark/>
          </w:tcPr>
          <w:p w14:paraId="43DD6DF5"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390" w:type="dxa"/>
            <w:tcBorders>
              <w:top w:val="nil"/>
              <w:left w:val="nil"/>
              <w:bottom w:val="nil"/>
              <w:right w:val="nil"/>
            </w:tcBorders>
            <w:shd w:val="clear" w:color="auto" w:fill="FF0000"/>
            <w:vAlign w:val="center"/>
            <w:hideMark/>
          </w:tcPr>
          <w:p w14:paraId="20D01829" w14:textId="77777777" w:rsidR="009356EC" w:rsidRPr="008416B3" w:rsidRDefault="009356EC" w:rsidP="001F5B0D">
            <w:pPr>
              <w:spacing w:after="160" w:line="254" w:lineRule="auto"/>
              <w:rPr>
                <w:rFonts w:eastAsia="Calibri"/>
                <w:color w:val="auto"/>
              </w:rPr>
            </w:pPr>
            <w:r w:rsidRPr="008416B3">
              <w:rPr>
                <w:rFonts w:eastAsia="Calibri"/>
                <w:color w:val="auto"/>
              </w:rPr>
              <w:t>N</w:t>
            </w:r>
          </w:p>
        </w:tc>
        <w:tc>
          <w:tcPr>
            <w:tcW w:w="390" w:type="dxa"/>
            <w:tcBorders>
              <w:top w:val="nil"/>
              <w:left w:val="nil"/>
              <w:bottom w:val="nil"/>
              <w:right w:val="nil"/>
            </w:tcBorders>
            <w:shd w:val="clear" w:color="auto" w:fill="92D050"/>
            <w:vAlign w:val="center"/>
            <w:hideMark/>
          </w:tcPr>
          <w:p w14:paraId="6A3BB3A9" w14:textId="77777777" w:rsidR="009356EC" w:rsidRPr="008416B3" w:rsidRDefault="009356EC" w:rsidP="001F5B0D">
            <w:pPr>
              <w:spacing w:after="160" w:line="254" w:lineRule="auto"/>
              <w:rPr>
                <w:rFonts w:eastAsia="Calibri"/>
                <w:color w:val="auto"/>
              </w:rPr>
            </w:pPr>
            <w:r w:rsidRPr="008416B3">
              <w:rPr>
                <w:rFonts w:eastAsia="Calibri"/>
                <w:color w:val="auto"/>
              </w:rPr>
              <w:t>Y</w:t>
            </w:r>
          </w:p>
        </w:tc>
        <w:tc>
          <w:tcPr>
            <w:tcW w:w="1419" w:type="dxa"/>
            <w:tcBorders>
              <w:top w:val="nil"/>
              <w:left w:val="nil"/>
              <w:bottom w:val="nil"/>
              <w:right w:val="nil"/>
            </w:tcBorders>
            <w:shd w:val="clear" w:color="auto" w:fill="FFC000"/>
            <w:vAlign w:val="center"/>
            <w:hideMark/>
          </w:tcPr>
          <w:p w14:paraId="0F684146" w14:textId="77777777" w:rsidR="009356EC" w:rsidRPr="008416B3" w:rsidRDefault="009356EC" w:rsidP="001F5B0D">
            <w:pPr>
              <w:spacing w:after="160" w:line="254" w:lineRule="auto"/>
              <w:rPr>
                <w:rFonts w:eastAsia="Calibri"/>
                <w:b/>
                <w:color w:val="auto"/>
              </w:rPr>
            </w:pPr>
            <w:r w:rsidRPr="008416B3">
              <w:rPr>
                <w:rFonts w:eastAsia="Calibri"/>
                <w:b/>
                <w:color w:val="auto"/>
              </w:rPr>
              <w:t>Low</w:t>
            </w:r>
          </w:p>
        </w:tc>
      </w:tr>
      <w:tr w:rsidR="009356EC" w14:paraId="349AA122" w14:textId="77777777" w:rsidTr="001F5B0D">
        <w:trPr>
          <w:cantSplit/>
          <w:trHeight w:hRule="exact" w:val="284"/>
        </w:trPr>
        <w:tc>
          <w:tcPr>
            <w:tcW w:w="2268" w:type="dxa"/>
            <w:tcBorders>
              <w:top w:val="nil"/>
              <w:left w:val="nil"/>
              <w:bottom w:val="nil"/>
              <w:right w:val="nil"/>
            </w:tcBorders>
          </w:tcPr>
          <w:p w14:paraId="75D5D4F5"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Bicket et al.</w:t>
            </w:r>
          </w:p>
        </w:tc>
        <w:tc>
          <w:tcPr>
            <w:tcW w:w="389" w:type="dxa"/>
            <w:tcBorders>
              <w:top w:val="nil"/>
              <w:left w:val="nil"/>
              <w:bottom w:val="nil"/>
              <w:right w:val="nil"/>
            </w:tcBorders>
            <w:shd w:val="clear" w:color="auto" w:fill="92D050"/>
            <w:vAlign w:val="center"/>
          </w:tcPr>
          <w:p w14:paraId="2757A40E"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90" w:type="dxa"/>
            <w:tcBorders>
              <w:top w:val="nil"/>
              <w:left w:val="nil"/>
              <w:bottom w:val="nil"/>
              <w:right w:val="nil"/>
            </w:tcBorders>
            <w:shd w:val="clear" w:color="auto" w:fill="FF0000"/>
            <w:vAlign w:val="center"/>
          </w:tcPr>
          <w:p w14:paraId="683D7A09" w14:textId="77777777" w:rsidR="009356EC" w:rsidRPr="008416B3" w:rsidRDefault="009356EC" w:rsidP="001F5B0D">
            <w:pPr>
              <w:spacing w:after="160" w:line="254" w:lineRule="auto"/>
              <w:rPr>
                <w:rFonts w:eastAsia="Calibri"/>
              </w:rPr>
            </w:pPr>
            <w:r w:rsidRPr="008416B3">
              <w:rPr>
                <w:rFonts w:eastAsia="Calibri"/>
                <w:color w:val="auto"/>
              </w:rPr>
              <w:t>N</w:t>
            </w:r>
          </w:p>
        </w:tc>
        <w:tc>
          <w:tcPr>
            <w:tcW w:w="390" w:type="dxa"/>
            <w:tcBorders>
              <w:top w:val="nil"/>
              <w:left w:val="nil"/>
              <w:bottom w:val="nil"/>
              <w:right w:val="nil"/>
            </w:tcBorders>
            <w:shd w:val="clear" w:color="auto" w:fill="92D050"/>
            <w:vAlign w:val="center"/>
          </w:tcPr>
          <w:p w14:paraId="197F9A04"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90" w:type="dxa"/>
            <w:tcBorders>
              <w:top w:val="nil"/>
              <w:left w:val="nil"/>
              <w:bottom w:val="nil"/>
              <w:right w:val="nil"/>
            </w:tcBorders>
            <w:shd w:val="clear" w:color="auto" w:fill="FFFF00"/>
            <w:vAlign w:val="center"/>
          </w:tcPr>
          <w:p w14:paraId="4F4450C3" w14:textId="77777777" w:rsidR="009356EC" w:rsidRPr="008416B3" w:rsidRDefault="009356EC" w:rsidP="001F5B0D">
            <w:pPr>
              <w:spacing w:after="160" w:line="254" w:lineRule="auto"/>
              <w:rPr>
                <w:rFonts w:eastAsia="Calibri"/>
              </w:rPr>
            </w:pPr>
            <w:r w:rsidRPr="008416B3">
              <w:rPr>
                <w:rFonts w:eastAsia="Calibri"/>
                <w:color w:val="auto"/>
              </w:rPr>
              <w:t>P</w:t>
            </w:r>
          </w:p>
        </w:tc>
        <w:tc>
          <w:tcPr>
            <w:tcW w:w="390" w:type="dxa"/>
            <w:tcBorders>
              <w:top w:val="nil"/>
              <w:left w:val="nil"/>
              <w:bottom w:val="nil"/>
              <w:right w:val="nil"/>
            </w:tcBorders>
            <w:shd w:val="clear" w:color="auto" w:fill="92D050"/>
            <w:vAlign w:val="center"/>
          </w:tcPr>
          <w:p w14:paraId="0ADB235B"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89" w:type="dxa"/>
            <w:tcBorders>
              <w:top w:val="nil"/>
              <w:left w:val="nil"/>
              <w:bottom w:val="nil"/>
              <w:right w:val="nil"/>
            </w:tcBorders>
            <w:shd w:val="clear" w:color="auto" w:fill="92D050"/>
            <w:vAlign w:val="center"/>
          </w:tcPr>
          <w:p w14:paraId="13E81DB9"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90" w:type="dxa"/>
            <w:tcBorders>
              <w:top w:val="nil"/>
              <w:left w:val="nil"/>
              <w:bottom w:val="nil"/>
              <w:right w:val="nil"/>
            </w:tcBorders>
            <w:shd w:val="clear" w:color="auto" w:fill="FF0000"/>
            <w:vAlign w:val="center"/>
          </w:tcPr>
          <w:p w14:paraId="4AC8F682" w14:textId="77777777" w:rsidR="009356EC" w:rsidRPr="008416B3" w:rsidRDefault="009356EC" w:rsidP="001F5B0D">
            <w:pPr>
              <w:spacing w:after="160" w:line="254" w:lineRule="auto"/>
              <w:rPr>
                <w:rFonts w:eastAsia="Calibri"/>
              </w:rPr>
            </w:pPr>
            <w:r w:rsidRPr="008416B3">
              <w:rPr>
                <w:rFonts w:eastAsia="Calibri"/>
                <w:color w:val="auto"/>
              </w:rPr>
              <w:t>N</w:t>
            </w:r>
          </w:p>
        </w:tc>
        <w:tc>
          <w:tcPr>
            <w:tcW w:w="390" w:type="dxa"/>
            <w:tcBorders>
              <w:top w:val="nil"/>
              <w:left w:val="nil"/>
              <w:bottom w:val="nil"/>
              <w:right w:val="nil"/>
            </w:tcBorders>
            <w:shd w:val="clear" w:color="auto" w:fill="92D050"/>
            <w:vAlign w:val="center"/>
          </w:tcPr>
          <w:p w14:paraId="1AA5AAD3"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90" w:type="dxa"/>
            <w:tcBorders>
              <w:top w:val="nil"/>
              <w:left w:val="nil"/>
              <w:bottom w:val="nil"/>
              <w:right w:val="nil"/>
            </w:tcBorders>
            <w:shd w:val="clear" w:color="auto" w:fill="92D050"/>
            <w:vAlign w:val="center"/>
          </w:tcPr>
          <w:p w14:paraId="60973312"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90" w:type="dxa"/>
            <w:tcBorders>
              <w:top w:val="nil"/>
              <w:left w:val="nil"/>
              <w:bottom w:val="nil"/>
              <w:right w:val="nil"/>
            </w:tcBorders>
            <w:shd w:val="clear" w:color="auto" w:fill="92D050"/>
            <w:vAlign w:val="center"/>
          </w:tcPr>
          <w:p w14:paraId="238F3240"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89" w:type="dxa"/>
            <w:tcBorders>
              <w:top w:val="nil"/>
              <w:left w:val="nil"/>
              <w:bottom w:val="nil"/>
              <w:right w:val="nil"/>
            </w:tcBorders>
            <w:shd w:val="clear" w:color="auto" w:fill="FF0000"/>
            <w:vAlign w:val="center"/>
          </w:tcPr>
          <w:p w14:paraId="47878CA1" w14:textId="77777777" w:rsidR="009356EC" w:rsidRPr="008416B3" w:rsidRDefault="009356EC" w:rsidP="001F5B0D">
            <w:pPr>
              <w:spacing w:after="160" w:line="254" w:lineRule="auto"/>
              <w:rPr>
                <w:rFonts w:eastAsia="Calibri"/>
              </w:rPr>
            </w:pPr>
            <w:r w:rsidRPr="008416B3">
              <w:rPr>
                <w:rFonts w:eastAsia="Calibri"/>
                <w:color w:val="auto"/>
              </w:rPr>
              <w:t>N</w:t>
            </w:r>
          </w:p>
        </w:tc>
        <w:tc>
          <w:tcPr>
            <w:tcW w:w="390" w:type="dxa"/>
            <w:tcBorders>
              <w:top w:val="nil"/>
              <w:left w:val="nil"/>
              <w:bottom w:val="nil"/>
              <w:right w:val="nil"/>
            </w:tcBorders>
            <w:shd w:val="clear" w:color="auto" w:fill="FF0000"/>
            <w:vAlign w:val="center"/>
          </w:tcPr>
          <w:p w14:paraId="362ACBFD" w14:textId="77777777" w:rsidR="009356EC" w:rsidRPr="008416B3" w:rsidRDefault="009356EC" w:rsidP="001F5B0D">
            <w:pPr>
              <w:spacing w:after="160" w:line="254" w:lineRule="auto"/>
              <w:rPr>
                <w:rFonts w:eastAsia="Calibri"/>
              </w:rPr>
            </w:pPr>
            <w:r w:rsidRPr="008416B3">
              <w:rPr>
                <w:rFonts w:eastAsia="Calibri"/>
                <w:color w:val="auto"/>
              </w:rPr>
              <w:t>N</w:t>
            </w:r>
          </w:p>
        </w:tc>
        <w:tc>
          <w:tcPr>
            <w:tcW w:w="390" w:type="dxa"/>
            <w:tcBorders>
              <w:top w:val="nil"/>
              <w:left w:val="nil"/>
              <w:bottom w:val="nil"/>
              <w:right w:val="nil"/>
            </w:tcBorders>
            <w:shd w:val="clear" w:color="auto" w:fill="FF0000"/>
            <w:vAlign w:val="center"/>
          </w:tcPr>
          <w:p w14:paraId="22E07809" w14:textId="77777777" w:rsidR="009356EC" w:rsidRPr="008416B3" w:rsidRDefault="009356EC" w:rsidP="001F5B0D">
            <w:pPr>
              <w:spacing w:after="160" w:line="254" w:lineRule="auto"/>
              <w:rPr>
                <w:rFonts w:eastAsia="Calibri"/>
              </w:rPr>
            </w:pPr>
            <w:r w:rsidRPr="008416B3">
              <w:rPr>
                <w:rFonts w:eastAsia="Calibri"/>
                <w:color w:val="auto"/>
              </w:rPr>
              <w:t>N</w:t>
            </w:r>
          </w:p>
        </w:tc>
        <w:tc>
          <w:tcPr>
            <w:tcW w:w="390" w:type="dxa"/>
            <w:tcBorders>
              <w:top w:val="nil"/>
              <w:left w:val="nil"/>
              <w:bottom w:val="nil"/>
              <w:right w:val="nil"/>
            </w:tcBorders>
            <w:shd w:val="clear" w:color="auto" w:fill="92D050"/>
            <w:vAlign w:val="center"/>
          </w:tcPr>
          <w:p w14:paraId="1869C3EB" w14:textId="77777777" w:rsidR="009356EC" w:rsidRPr="008416B3" w:rsidRDefault="009356EC" w:rsidP="001F5B0D">
            <w:pPr>
              <w:spacing w:after="160" w:line="254" w:lineRule="auto"/>
              <w:rPr>
                <w:rFonts w:eastAsia="Calibri"/>
              </w:rPr>
            </w:pPr>
            <w:r w:rsidRPr="008416B3">
              <w:rPr>
                <w:rFonts w:eastAsia="Calibri"/>
                <w:color w:val="auto"/>
              </w:rPr>
              <w:t>Y</w:t>
            </w:r>
          </w:p>
        </w:tc>
        <w:tc>
          <w:tcPr>
            <w:tcW w:w="390" w:type="dxa"/>
            <w:tcBorders>
              <w:top w:val="nil"/>
              <w:left w:val="nil"/>
              <w:bottom w:val="nil"/>
              <w:right w:val="nil"/>
            </w:tcBorders>
            <w:shd w:val="clear" w:color="auto" w:fill="FF0000"/>
            <w:vAlign w:val="center"/>
          </w:tcPr>
          <w:p w14:paraId="2C8DCF43" w14:textId="77777777" w:rsidR="009356EC" w:rsidRPr="008416B3" w:rsidRDefault="009356EC" w:rsidP="001F5B0D">
            <w:pPr>
              <w:spacing w:after="160" w:line="254" w:lineRule="auto"/>
              <w:rPr>
                <w:rFonts w:eastAsia="Calibri"/>
              </w:rPr>
            </w:pPr>
            <w:r w:rsidRPr="008416B3">
              <w:rPr>
                <w:rFonts w:eastAsia="Calibri"/>
                <w:color w:val="auto"/>
              </w:rPr>
              <w:t>N</w:t>
            </w:r>
          </w:p>
        </w:tc>
        <w:tc>
          <w:tcPr>
            <w:tcW w:w="390" w:type="dxa"/>
            <w:tcBorders>
              <w:top w:val="nil"/>
              <w:left w:val="nil"/>
              <w:bottom w:val="nil"/>
              <w:right w:val="nil"/>
            </w:tcBorders>
            <w:shd w:val="clear" w:color="auto" w:fill="92D050"/>
            <w:vAlign w:val="center"/>
          </w:tcPr>
          <w:p w14:paraId="5754FC5A" w14:textId="77777777" w:rsidR="009356EC" w:rsidRPr="008416B3" w:rsidRDefault="009356EC" w:rsidP="001F5B0D">
            <w:pPr>
              <w:spacing w:after="160" w:line="254" w:lineRule="auto"/>
              <w:rPr>
                <w:rFonts w:eastAsia="Calibri"/>
              </w:rPr>
            </w:pPr>
            <w:r w:rsidRPr="008416B3">
              <w:rPr>
                <w:rFonts w:eastAsia="Calibri"/>
                <w:color w:val="auto"/>
              </w:rPr>
              <w:t>Y</w:t>
            </w:r>
          </w:p>
        </w:tc>
        <w:tc>
          <w:tcPr>
            <w:tcW w:w="1419" w:type="dxa"/>
            <w:tcBorders>
              <w:top w:val="nil"/>
              <w:left w:val="nil"/>
              <w:bottom w:val="nil"/>
              <w:right w:val="nil"/>
            </w:tcBorders>
            <w:shd w:val="clear" w:color="auto" w:fill="FF0000"/>
            <w:vAlign w:val="center"/>
          </w:tcPr>
          <w:p w14:paraId="7261FFAE" w14:textId="77777777" w:rsidR="009356EC" w:rsidRPr="008416B3" w:rsidRDefault="009356EC" w:rsidP="001F5B0D">
            <w:pPr>
              <w:spacing w:after="160" w:line="254" w:lineRule="auto"/>
              <w:rPr>
                <w:rFonts w:eastAsia="Calibri"/>
                <w:b/>
                <w:color w:val="000000"/>
              </w:rPr>
            </w:pPr>
            <w:r w:rsidRPr="008416B3">
              <w:rPr>
                <w:rFonts w:eastAsia="Calibri"/>
                <w:b/>
                <w:color w:val="auto"/>
              </w:rPr>
              <w:t>Critically low</w:t>
            </w:r>
          </w:p>
        </w:tc>
      </w:tr>
      <w:tr w:rsidR="009356EC" w14:paraId="488D6BBF" w14:textId="77777777" w:rsidTr="001F5B0D">
        <w:trPr>
          <w:cantSplit/>
          <w:trHeight w:hRule="exact" w:val="284"/>
        </w:trPr>
        <w:tc>
          <w:tcPr>
            <w:tcW w:w="2268" w:type="dxa"/>
            <w:tcBorders>
              <w:top w:val="nil"/>
              <w:left w:val="nil"/>
              <w:bottom w:val="nil"/>
              <w:right w:val="nil"/>
            </w:tcBorders>
          </w:tcPr>
          <w:p w14:paraId="2B2476FC"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Feinberg et al.</w:t>
            </w:r>
          </w:p>
        </w:tc>
        <w:tc>
          <w:tcPr>
            <w:tcW w:w="389" w:type="dxa"/>
            <w:tcBorders>
              <w:top w:val="nil"/>
              <w:left w:val="nil"/>
              <w:bottom w:val="nil"/>
              <w:right w:val="nil"/>
            </w:tcBorders>
            <w:shd w:val="clear" w:color="auto" w:fill="92D050"/>
            <w:vAlign w:val="center"/>
          </w:tcPr>
          <w:p w14:paraId="30F56F06"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52B10BFA"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6D2544A4"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FF00"/>
            <w:vAlign w:val="center"/>
          </w:tcPr>
          <w:p w14:paraId="49C74B14" w14:textId="77777777" w:rsidR="009356EC" w:rsidRPr="008416B3" w:rsidRDefault="009356EC" w:rsidP="001F5B0D">
            <w:pPr>
              <w:spacing w:after="160" w:line="254" w:lineRule="auto"/>
              <w:rPr>
                <w:rFonts w:eastAsia="Calibri"/>
              </w:rPr>
            </w:pPr>
            <w:r w:rsidRPr="008416B3">
              <w:rPr>
                <w:rFonts w:eastAsia="Calibri"/>
              </w:rPr>
              <w:t>P</w:t>
            </w:r>
          </w:p>
        </w:tc>
        <w:tc>
          <w:tcPr>
            <w:tcW w:w="390" w:type="dxa"/>
            <w:tcBorders>
              <w:top w:val="nil"/>
              <w:left w:val="nil"/>
              <w:bottom w:val="nil"/>
              <w:right w:val="nil"/>
            </w:tcBorders>
            <w:shd w:val="clear" w:color="auto" w:fill="92D050"/>
            <w:vAlign w:val="center"/>
          </w:tcPr>
          <w:p w14:paraId="7D980FB6"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FF0000"/>
            <w:vAlign w:val="center"/>
          </w:tcPr>
          <w:p w14:paraId="4D9FA3F7"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00621579"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4DDE7529"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6A417432"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6C138345" w14:textId="77777777" w:rsidR="009356EC" w:rsidRPr="008416B3" w:rsidRDefault="009356EC" w:rsidP="001F5B0D">
            <w:pPr>
              <w:spacing w:after="160" w:line="254" w:lineRule="auto"/>
              <w:rPr>
                <w:rFonts w:eastAsia="Calibri"/>
              </w:rPr>
            </w:pPr>
            <w:r w:rsidRPr="008416B3">
              <w:rPr>
                <w:rFonts w:eastAsia="Calibri"/>
              </w:rPr>
              <w:t>N</w:t>
            </w:r>
          </w:p>
        </w:tc>
        <w:tc>
          <w:tcPr>
            <w:tcW w:w="389" w:type="dxa"/>
            <w:tcBorders>
              <w:top w:val="nil"/>
              <w:left w:val="nil"/>
              <w:bottom w:val="nil"/>
              <w:right w:val="nil"/>
            </w:tcBorders>
            <w:shd w:val="clear" w:color="auto" w:fill="FF0000"/>
            <w:vAlign w:val="center"/>
          </w:tcPr>
          <w:p w14:paraId="439FD77E"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661AC620"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2C2FB329"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3CF8F733"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3630280F"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707D9AB1" w14:textId="77777777" w:rsidR="009356EC" w:rsidRPr="008416B3" w:rsidRDefault="009356EC" w:rsidP="001F5B0D">
            <w:pPr>
              <w:spacing w:after="160" w:line="254" w:lineRule="auto"/>
              <w:rPr>
                <w:rFonts w:eastAsia="Calibri"/>
              </w:rPr>
            </w:pPr>
            <w:r w:rsidRPr="008416B3">
              <w:rPr>
                <w:rFonts w:eastAsia="Calibri"/>
              </w:rPr>
              <w:t>N</w:t>
            </w:r>
          </w:p>
        </w:tc>
        <w:tc>
          <w:tcPr>
            <w:tcW w:w="1419" w:type="dxa"/>
            <w:tcBorders>
              <w:top w:val="nil"/>
              <w:left w:val="nil"/>
              <w:bottom w:val="nil"/>
              <w:right w:val="nil"/>
            </w:tcBorders>
            <w:shd w:val="clear" w:color="auto" w:fill="FF0000"/>
            <w:vAlign w:val="center"/>
          </w:tcPr>
          <w:p w14:paraId="1DA470F0" w14:textId="77777777" w:rsidR="009356EC" w:rsidRPr="008416B3" w:rsidRDefault="009356EC" w:rsidP="001F5B0D">
            <w:pPr>
              <w:spacing w:after="160" w:line="254" w:lineRule="auto"/>
              <w:rPr>
                <w:rFonts w:eastAsia="Calibri"/>
                <w:b/>
                <w:color w:val="000000"/>
              </w:rPr>
            </w:pPr>
            <w:r w:rsidRPr="008416B3">
              <w:rPr>
                <w:rFonts w:eastAsia="Calibri"/>
                <w:b/>
                <w:color w:val="000000"/>
              </w:rPr>
              <w:t>Critically low</w:t>
            </w:r>
          </w:p>
        </w:tc>
      </w:tr>
      <w:tr w:rsidR="009356EC" w14:paraId="61EF178B" w14:textId="77777777" w:rsidTr="001F5B0D">
        <w:trPr>
          <w:cantSplit/>
          <w:trHeight w:hRule="exact" w:val="284"/>
        </w:trPr>
        <w:tc>
          <w:tcPr>
            <w:tcW w:w="2268" w:type="dxa"/>
            <w:tcBorders>
              <w:top w:val="nil"/>
              <w:left w:val="nil"/>
              <w:bottom w:val="nil"/>
              <w:right w:val="nil"/>
            </w:tcBorders>
          </w:tcPr>
          <w:p w14:paraId="746B5FF1"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Horn et al.</w:t>
            </w:r>
          </w:p>
        </w:tc>
        <w:tc>
          <w:tcPr>
            <w:tcW w:w="389" w:type="dxa"/>
            <w:tcBorders>
              <w:top w:val="nil"/>
              <w:left w:val="nil"/>
              <w:bottom w:val="nil"/>
              <w:right w:val="nil"/>
            </w:tcBorders>
            <w:shd w:val="clear" w:color="auto" w:fill="FF0000"/>
            <w:vAlign w:val="center"/>
          </w:tcPr>
          <w:p w14:paraId="564C8D6C"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51DA3F3A"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3CB8697D"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9B3BCF3"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4F647644"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FF0000"/>
            <w:vAlign w:val="center"/>
          </w:tcPr>
          <w:p w14:paraId="5C19ED30"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69AD2626"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329D663C"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5B67CAE3"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37DF3E0F" w14:textId="77777777" w:rsidR="009356EC" w:rsidRPr="008416B3" w:rsidRDefault="009356EC" w:rsidP="001F5B0D">
            <w:pPr>
              <w:spacing w:after="160" w:line="254" w:lineRule="auto"/>
              <w:rPr>
                <w:rFonts w:eastAsia="Calibri"/>
              </w:rPr>
            </w:pPr>
            <w:r w:rsidRPr="008416B3">
              <w:rPr>
                <w:rFonts w:eastAsia="Calibri"/>
              </w:rPr>
              <w:t>N</w:t>
            </w:r>
          </w:p>
        </w:tc>
        <w:tc>
          <w:tcPr>
            <w:tcW w:w="389" w:type="dxa"/>
            <w:tcBorders>
              <w:top w:val="nil"/>
              <w:left w:val="nil"/>
              <w:bottom w:val="nil"/>
              <w:right w:val="nil"/>
            </w:tcBorders>
            <w:shd w:val="clear" w:color="auto" w:fill="FF0000"/>
            <w:vAlign w:val="center"/>
          </w:tcPr>
          <w:p w14:paraId="0A5C85E4"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1A893766"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1D1F070B"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4A5DF34F"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114BEE07"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28F72B3B" w14:textId="77777777" w:rsidR="009356EC" w:rsidRPr="008416B3" w:rsidRDefault="009356EC" w:rsidP="001F5B0D">
            <w:pPr>
              <w:spacing w:after="160" w:line="254" w:lineRule="auto"/>
              <w:rPr>
                <w:rFonts w:eastAsia="Calibri"/>
              </w:rPr>
            </w:pPr>
            <w:r w:rsidRPr="008416B3">
              <w:rPr>
                <w:rFonts w:eastAsia="Calibri"/>
              </w:rPr>
              <w:t>N</w:t>
            </w:r>
          </w:p>
        </w:tc>
        <w:tc>
          <w:tcPr>
            <w:tcW w:w="1419" w:type="dxa"/>
            <w:tcBorders>
              <w:top w:val="nil"/>
              <w:left w:val="nil"/>
              <w:bottom w:val="nil"/>
              <w:right w:val="nil"/>
            </w:tcBorders>
            <w:shd w:val="clear" w:color="auto" w:fill="FF0000"/>
            <w:vAlign w:val="center"/>
          </w:tcPr>
          <w:p w14:paraId="2D42421D" w14:textId="77777777" w:rsidR="009356EC" w:rsidRPr="008416B3" w:rsidRDefault="009356EC" w:rsidP="001F5B0D">
            <w:pPr>
              <w:spacing w:after="160" w:line="254" w:lineRule="auto"/>
              <w:rPr>
                <w:rFonts w:eastAsia="Calibri"/>
                <w:b/>
                <w:color w:val="000000"/>
              </w:rPr>
            </w:pPr>
            <w:r w:rsidRPr="008416B3">
              <w:rPr>
                <w:rFonts w:eastAsia="Calibri"/>
                <w:b/>
                <w:color w:val="000000"/>
              </w:rPr>
              <w:t>Critically low</w:t>
            </w:r>
          </w:p>
        </w:tc>
      </w:tr>
      <w:tr w:rsidR="009356EC" w14:paraId="3036B0F2" w14:textId="77777777" w:rsidTr="001F5B0D">
        <w:trPr>
          <w:cantSplit/>
          <w:trHeight w:hRule="exact" w:val="284"/>
        </w:trPr>
        <w:tc>
          <w:tcPr>
            <w:tcW w:w="2268" w:type="dxa"/>
            <w:tcBorders>
              <w:top w:val="nil"/>
              <w:left w:val="nil"/>
              <w:bottom w:val="nil"/>
              <w:right w:val="nil"/>
            </w:tcBorders>
          </w:tcPr>
          <w:p w14:paraId="2C671480"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Lamplot et al.</w:t>
            </w:r>
          </w:p>
        </w:tc>
        <w:tc>
          <w:tcPr>
            <w:tcW w:w="389" w:type="dxa"/>
            <w:tcBorders>
              <w:top w:val="nil"/>
              <w:left w:val="nil"/>
              <w:bottom w:val="nil"/>
              <w:right w:val="nil"/>
            </w:tcBorders>
            <w:shd w:val="clear" w:color="auto" w:fill="92D050"/>
            <w:vAlign w:val="center"/>
          </w:tcPr>
          <w:p w14:paraId="098A46A6"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18C5011C"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58C8487E"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auto"/>
            <w:vAlign w:val="center"/>
          </w:tcPr>
          <w:p w14:paraId="1691E1E4" w14:textId="77777777" w:rsidR="009356EC" w:rsidRPr="008416B3" w:rsidRDefault="009356EC" w:rsidP="001F5B0D">
            <w:pPr>
              <w:spacing w:after="160" w:line="254" w:lineRule="auto"/>
              <w:rPr>
                <w:rFonts w:eastAsia="Calibri"/>
              </w:rPr>
            </w:pPr>
          </w:p>
        </w:tc>
        <w:tc>
          <w:tcPr>
            <w:tcW w:w="390" w:type="dxa"/>
            <w:tcBorders>
              <w:top w:val="nil"/>
              <w:left w:val="nil"/>
              <w:bottom w:val="nil"/>
              <w:right w:val="nil"/>
            </w:tcBorders>
            <w:shd w:val="clear" w:color="auto" w:fill="92D050"/>
            <w:vAlign w:val="center"/>
          </w:tcPr>
          <w:p w14:paraId="7593B2AE"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92D050"/>
            <w:vAlign w:val="center"/>
          </w:tcPr>
          <w:p w14:paraId="3E3AA8A9"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auto"/>
            <w:vAlign w:val="center"/>
          </w:tcPr>
          <w:p w14:paraId="6B652127" w14:textId="77777777" w:rsidR="009356EC" w:rsidRPr="008416B3" w:rsidRDefault="009356EC" w:rsidP="001F5B0D">
            <w:pPr>
              <w:spacing w:after="160" w:line="254" w:lineRule="auto"/>
              <w:rPr>
                <w:rFonts w:eastAsia="Calibri"/>
              </w:rPr>
            </w:pPr>
          </w:p>
        </w:tc>
        <w:tc>
          <w:tcPr>
            <w:tcW w:w="390" w:type="dxa"/>
            <w:tcBorders>
              <w:top w:val="nil"/>
              <w:left w:val="nil"/>
              <w:bottom w:val="nil"/>
              <w:right w:val="nil"/>
            </w:tcBorders>
            <w:shd w:val="clear" w:color="auto" w:fill="92D050"/>
            <w:vAlign w:val="center"/>
          </w:tcPr>
          <w:p w14:paraId="21B5B321"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auto"/>
            <w:vAlign w:val="center"/>
          </w:tcPr>
          <w:p w14:paraId="52A5CA6F" w14:textId="77777777" w:rsidR="009356EC" w:rsidRPr="008416B3" w:rsidRDefault="009356EC" w:rsidP="001F5B0D">
            <w:pPr>
              <w:spacing w:after="160" w:line="254" w:lineRule="auto"/>
              <w:rPr>
                <w:rFonts w:eastAsia="Calibri"/>
              </w:rPr>
            </w:pPr>
          </w:p>
        </w:tc>
        <w:tc>
          <w:tcPr>
            <w:tcW w:w="390" w:type="dxa"/>
            <w:tcBorders>
              <w:top w:val="nil"/>
              <w:left w:val="nil"/>
              <w:bottom w:val="nil"/>
              <w:right w:val="nil"/>
            </w:tcBorders>
            <w:shd w:val="clear" w:color="auto" w:fill="FF0000"/>
            <w:vAlign w:val="center"/>
          </w:tcPr>
          <w:p w14:paraId="3D53EF2C" w14:textId="77777777" w:rsidR="009356EC" w:rsidRPr="008416B3" w:rsidRDefault="009356EC" w:rsidP="001F5B0D">
            <w:pPr>
              <w:spacing w:after="160" w:line="254" w:lineRule="auto"/>
              <w:rPr>
                <w:rFonts w:eastAsia="Calibri"/>
              </w:rPr>
            </w:pPr>
            <w:r w:rsidRPr="008416B3">
              <w:rPr>
                <w:rFonts w:eastAsia="Calibri"/>
              </w:rPr>
              <w:t>N</w:t>
            </w:r>
          </w:p>
        </w:tc>
        <w:tc>
          <w:tcPr>
            <w:tcW w:w="389" w:type="dxa"/>
            <w:tcBorders>
              <w:top w:val="nil"/>
              <w:left w:val="nil"/>
              <w:bottom w:val="nil"/>
              <w:right w:val="nil"/>
            </w:tcBorders>
            <w:shd w:val="clear" w:color="auto" w:fill="FF0000"/>
            <w:vAlign w:val="center"/>
          </w:tcPr>
          <w:p w14:paraId="580B4592"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4378E308"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0FAA8074"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1B0E8DC0"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1860CDA7"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54BE3D68" w14:textId="77777777" w:rsidR="009356EC" w:rsidRPr="008416B3" w:rsidRDefault="009356EC" w:rsidP="001F5B0D">
            <w:pPr>
              <w:spacing w:after="160" w:line="254" w:lineRule="auto"/>
              <w:rPr>
                <w:rFonts w:eastAsia="Calibri"/>
              </w:rPr>
            </w:pPr>
            <w:r w:rsidRPr="008416B3">
              <w:rPr>
                <w:rFonts w:eastAsia="Calibri"/>
              </w:rPr>
              <w:t>Y</w:t>
            </w:r>
          </w:p>
        </w:tc>
        <w:tc>
          <w:tcPr>
            <w:tcW w:w="1419" w:type="dxa"/>
            <w:tcBorders>
              <w:top w:val="nil"/>
              <w:left w:val="nil"/>
              <w:bottom w:val="nil"/>
              <w:right w:val="nil"/>
            </w:tcBorders>
            <w:shd w:val="clear" w:color="auto" w:fill="auto"/>
            <w:vAlign w:val="center"/>
          </w:tcPr>
          <w:p w14:paraId="2146B266" w14:textId="77777777" w:rsidR="009356EC" w:rsidRPr="008416B3" w:rsidRDefault="009356EC" w:rsidP="001F5B0D">
            <w:pPr>
              <w:spacing w:after="160" w:line="254" w:lineRule="auto"/>
              <w:rPr>
                <w:rFonts w:eastAsia="Calibri"/>
                <w:b/>
                <w:color w:val="000000"/>
              </w:rPr>
            </w:pPr>
          </w:p>
        </w:tc>
      </w:tr>
      <w:tr w:rsidR="009356EC" w14:paraId="6883687A" w14:textId="77777777" w:rsidTr="001F5B0D">
        <w:trPr>
          <w:cantSplit/>
          <w:trHeight w:hRule="exact" w:val="284"/>
        </w:trPr>
        <w:tc>
          <w:tcPr>
            <w:tcW w:w="2268" w:type="dxa"/>
            <w:tcBorders>
              <w:top w:val="nil"/>
              <w:left w:val="nil"/>
              <w:bottom w:val="nil"/>
              <w:right w:val="nil"/>
            </w:tcBorders>
          </w:tcPr>
          <w:p w14:paraId="3D2F0F1A"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Lawal et a.</w:t>
            </w:r>
          </w:p>
        </w:tc>
        <w:tc>
          <w:tcPr>
            <w:tcW w:w="389" w:type="dxa"/>
            <w:tcBorders>
              <w:top w:val="nil"/>
              <w:left w:val="nil"/>
              <w:bottom w:val="nil"/>
              <w:right w:val="nil"/>
            </w:tcBorders>
            <w:shd w:val="clear" w:color="auto" w:fill="92D050"/>
            <w:vAlign w:val="center"/>
          </w:tcPr>
          <w:p w14:paraId="51633475"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65E04870"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6847EC04"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FF00"/>
            <w:vAlign w:val="center"/>
          </w:tcPr>
          <w:p w14:paraId="2A3654E8" w14:textId="77777777" w:rsidR="009356EC" w:rsidRPr="008416B3" w:rsidRDefault="009356EC" w:rsidP="001F5B0D">
            <w:pPr>
              <w:spacing w:after="160" w:line="254" w:lineRule="auto"/>
              <w:rPr>
                <w:rFonts w:eastAsia="Calibri"/>
              </w:rPr>
            </w:pPr>
            <w:r w:rsidRPr="008416B3">
              <w:rPr>
                <w:rFonts w:eastAsia="Calibri"/>
              </w:rPr>
              <w:t>P</w:t>
            </w:r>
          </w:p>
        </w:tc>
        <w:tc>
          <w:tcPr>
            <w:tcW w:w="390" w:type="dxa"/>
            <w:tcBorders>
              <w:top w:val="nil"/>
              <w:left w:val="nil"/>
              <w:bottom w:val="nil"/>
              <w:right w:val="nil"/>
            </w:tcBorders>
            <w:shd w:val="clear" w:color="auto" w:fill="92D050"/>
            <w:vAlign w:val="center"/>
          </w:tcPr>
          <w:p w14:paraId="01642100"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92D050"/>
            <w:vAlign w:val="center"/>
          </w:tcPr>
          <w:p w14:paraId="7952B2DF"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74A505DA"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79DE76B3"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667CB0A1"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5890F737" w14:textId="77777777" w:rsidR="009356EC" w:rsidRPr="008416B3" w:rsidRDefault="009356EC" w:rsidP="001F5B0D">
            <w:pPr>
              <w:spacing w:after="160" w:line="254" w:lineRule="auto"/>
              <w:rPr>
                <w:rFonts w:eastAsia="Calibri"/>
              </w:rPr>
            </w:pPr>
            <w:r w:rsidRPr="008416B3">
              <w:rPr>
                <w:rFonts w:eastAsia="Calibri"/>
              </w:rPr>
              <w:t>N</w:t>
            </w:r>
          </w:p>
        </w:tc>
        <w:tc>
          <w:tcPr>
            <w:tcW w:w="389" w:type="dxa"/>
            <w:tcBorders>
              <w:top w:val="nil"/>
              <w:left w:val="nil"/>
              <w:bottom w:val="nil"/>
              <w:right w:val="nil"/>
            </w:tcBorders>
            <w:shd w:val="clear" w:color="auto" w:fill="92D050"/>
            <w:vAlign w:val="center"/>
          </w:tcPr>
          <w:p w14:paraId="4C68D3F1"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6C97B205"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1295521F"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57C1CBF"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56788AF"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6FF34503" w14:textId="77777777" w:rsidR="009356EC" w:rsidRPr="008416B3" w:rsidRDefault="009356EC" w:rsidP="001F5B0D">
            <w:pPr>
              <w:spacing w:after="160" w:line="254" w:lineRule="auto"/>
              <w:rPr>
                <w:rFonts w:eastAsia="Calibri"/>
              </w:rPr>
            </w:pPr>
            <w:r w:rsidRPr="008416B3">
              <w:rPr>
                <w:rFonts w:eastAsia="Calibri"/>
              </w:rPr>
              <w:t>Y</w:t>
            </w:r>
          </w:p>
        </w:tc>
        <w:tc>
          <w:tcPr>
            <w:tcW w:w="1419" w:type="dxa"/>
            <w:tcBorders>
              <w:top w:val="nil"/>
              <w:left w:val="nil"/>
              <w:bottom w:val="nil"/>
              <w:right w:val="nil"/>
            </w:tcBorders>
            <w:shd w:val="clear" w:color="auto" w:fill="FF0000"/>
            <w:vAlign w:val="center"/>
          </w:tcPr>
          <w:p w14:paraId="62AB8112" w14:textId="77777777" w:rsidR="009356EC" w:rsidRPr="008416B3" w:rsidRDefault="009356EC" w:rsidP="001F5B0D">
            <w:pPr>
              <w:spacing w:after="160" w:line="254" w:lineRule="auto"/>
              <w:rPr>
                <w:rFonts w:eastAsia="Calibri"/>
                <w:b/>
                <w:color w:val="000000"/>
              </w:rPr>
            </w:pPr>
            <w:r w:rsidRPr="008416B3">
              <w:rPr>
                <w:rFonts w:eastAsia="Calibri"/>
                <w:b/>
                <w:color w:val="000000"/>
              </w:rPr>
              <w:t>Critically low</w:t>
            </w:r>
          </w:p>
        </w:tc>
      </w:tr>
      <w:tr w:rsidR="009356EC" w14:paraId="0C477B70" w14:textId="77777777" w:rsidTr="001F5B0D">
        <w:trPr>
          <w:cantSplit/>
          <w:trHeight w:hRule="exact" w:val="284"/>
        </w:trPr>
        <w:tc>
          <w:tcPr>
            <w:tcW w:w="2268" w:type="dxa"/>
            <w:tcBorders>
              <w:top w:val="nil"/>
              <w:left w:val="nil"/>
              <w:bottom w:val="nil"/>
              <w:right w:val="nil"/>
            </w:tcBorders>
          </w:tcPr>
          <w:p w14:paraId="144C0177"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Martinez et al.</w:t>
            </w:r>
          </w:p>
        </w:tc>
        <w:tc>
          <w:tcPr>
            <w:tcW w:w="389" w:type="dxa"/>
            <w:tcBorders>
              <w:top w:val="nil"/>
              <w:left w:val="nil"/>
              <w:bottom w:val="nil"/>
              <w:right w:val="nil"/>
            </w:tcBorders>
            <w:shd w:val="clear" w:color="auto" w:fill="92D050"/>
            <w:vAlign w:val="center"/>
          </w:tcPr>
          <w:p w14:paraId="42E0F059"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4A715010"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78194575"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FF00"/>
            <w:vAlign w:val="center"/>
          </w:tcPr>
          <w:p w14:paraId="7C8A9CED" w14:textId="77777777" w:rsidR="009356EC" w:rsidRPr="008416B3" w:rsidRDefault="009356EC" w:rsidP="001F5B0D">
            <w:pPr>
              <w:spacing w:after="160" w:line="254" w:lineRule="auto"/>
              <w:rPr>
                <w:rFonts w:eastAsia="Calibri"/>
              </w:rPr>
            </w:pPr>
            <w:r w:rsidRPr="008416B3">
              <w:rPr>
                <w:rFonts w:eastAsia="Calibri"/>
              </w:rPr>
              <w:t>P</w:t>
            </w:r>
          </w:p>
        </w:tc>
        <w:tc>
          <w:tcPr>
            <w:tcW w:w="390" w:type="dxa"/>
            <w:tcBorders>
              <w:top w:val="nil"/>
              <w:left w:val="nil"/>
              <w:bottom w:val="nil"/>
              <w:right w:val="nil"/>
            </w:tcBorders>
            <w:shd w:val="clear" w:color="auto" w:fill="92D050"/>
            <w:vAlign w:val="center"/>
          </w:tcPr>
          <w:p w14:paraId="6CB32103"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92D050"/>
            <w:vAlign w:val="center"/>
          </w:tcPr>
          <w:p w14:paraId="2F06661A"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auto"/>
            <w:vAlign w:val="center"/>
          </w:tcPr>
          <w:p w14:paraId="2387D095" w14:textId="77777777" w:rsidR="009356EC" w:rsidRPr="008416B3" w:rsidRDefault="009356EC" w:rsidP="001F5B0D">
            <w:pPr>
              <w:spacing w:after="160" w:line="254" w:lineRule="auto"/>
              <w:rPr>
                <w:rFonts w:eastAsia="Calibri"/>
              </w:rPr>
            </w:pPr>
          </w:p>
        </w:tc>
        <w:tc>
          <w:tcPr>
            <w:tcW w:w="390" w:type="dxa"/>
            <w:tcBorders>
              <w:top w:val="nil"/>
              <w:left w:val="nil"/>
              <w:bottom w:val="nil"/>
              <w:right w:val="nil"/>
            </w:tcBorders>
            <w:shd w:val="clear" w:color="auto" w:fill="auto"/>
            <w:vAlign w:val="center"/>
          </w:tcPr>
          <w:p w14:paraId="2C59B581" w14:textId="77777777" w:rsidR="009356EC" w:rsidRPr="008416B3" w:rsidRDefault="009356EC" w:rsidP="001F5B0D">
            <w:pPr>
              <w:spacing w:after="160" w:line="254" w:lineRule="auto"/>
              <w:rPr>
                <w:rFonts w:eastAsia="Calibri"/>
              </w:rPr>
            </w:pPr>
          </w:p>
        </w:tc>
        <w:tc>
          <w:tcPr>
            <w:tcW w:w="390" w:type="dxa"/>
            <w:tcBorders>
              <w:top w:val="nil"/>
              <w:left w:val="nil"/>
              <w:bottom w:val="nil"/>
              <w:right w:val="nil"/>
            </w:tcBorders>
            <w:shd w:val="clear" w:color="auto" w:fill="92D050"/>
            <w:vAlign w:val="center"/>
          </w:tcPr>
          <w:p w14:paraId="0894D362"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507E0EF2"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92D050"/>
            <w:vAlign w:val="center"/>
          </w:tcPr>
          <w:p w14:paraId="0F104A89"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7F081D77"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755F6B2B"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689F4415"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4103D663"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4B445800" w14:textId="77777777" w:rsidR="009356EC" w:rsidRPr="008416B3" w:rsidRDefault="009356EC" w:rsidP="001F5B0D">
            <w:pPr>
              <w:spacing w:after="160" w:line="254" w:lineRule="auto"/>
              <w:rPr>
                <w:rFonts w:eastAsia="Calibri"/>
              </w:rPr>
            </w:pPr>
            <w:r w:rsidRPr="008416B3">
              <w:rPr>
                <w:rFonts w:eastAsia="Calibri"/>
              </w:rPr>
              <w:t>Y</w:t>
            </w:r>
          </w:p>
        </w:tc>
        <w:tc>
          <w:tcPr>
            <w:tcW w:w="1419" w:type="dxa"/>
            <w:tcBorders>
              <w:top w:val="nil"/>
              <w:left w:val="nil"/>
              <w:bottom w:val="nil"/>
              <w:right w:val="nil"/>
            </w:tcBorders>
            <w:shd w:val="clear" w:color="auto" w:fill="auto"/>
            <w:vAlign w:val="center"/>
          </w:tcPr>
          <w:p w14:paraId="17F0CF25" w14:textId="77777777" w:rsidR="009356EC" w:rsidRPr="008416B3" w:rsidRDefault="009356EC" w:rsidP="001F5B0D">
            <w:pPr>
              <w:spacing w:after="160" w:line="254" w:lineRule="auto"/>
              <w:rPr>
                <w:rFonts w:eastAsia="Calibri"/>
                <w:b/>
                <w:color w:val="000000"/>
              </w:rPr>
            </w:pPr>
          </w:p>
        </w:tc>
      </w:tr>
      <w:tr w:rsidR="009356EC" w14:paraId="4AB11724" w14:textId="77777777" w:rsidTr="001F5B0D">
        <w:trPr>
          <w:cantSplit/>
          <w:trHeight w:hRule="exact" w:val="284"/>
        </w:trPr>
        <w:tc>
          <w:tcPr>
            <w:tcW w:w="2268" w:type="dxa"/>
            <w:tcBorders>
              <w:top w:val="nil"/>
              <w:left w:val="nil"/>
              <w:bottom w:val="nil"/>
              <w:right w:val="nil"/>
            </w:tcBorders>
          </w:tcPr>
          <w:p w14:paraId="2D57259F"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Powell et al.</w:t>
            </w:r>
          </w:p>
        </w:tc>
        <w:tc>
          <w:tcPr>
            <w:tcW w:w="389" w:type="dxa"/>
            <w:tcBorders>
              <w:top w:val="nil"/>
              <w:left w:val="nil"/>
              <w:bottom w:val="nil"/>
              <w:right w:val="nil"/>
            </w:tcBorders>
            <w:shd w:val="clear" w:color="auto" w:fill="92D050"/>
            <w:vAlign w:val="center"/>
          </w:tcPr>
          <w:p w14:paraId="034B0581"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701ED6F0"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6A28B46A"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369E47C3"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7133C3FA"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92D050"/>
            <w:vAlign w:val="center"/>
          </w:tcPr>
          <w:p w14:paraId="69F23A3D"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CB13012"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48DEA53"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53632614"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1DB8A263" w14:textId="77777777" w:rsidR="009356EC" w:rsidRPr="008416B3" w:rsidRDefault="009356EC" w:rsidP="001F5B0D">
            <w:pPr>
              <w:spacing w:after="160" w:line="254" w:lineRule="auto"/>
              <w:rPr>
                <w:rFonts w:eastAsia="Calibri"/>
              </w:rPr>
            </w:pPr>
            <w:r w:rsidRPr="008416B3">
              <w:rPr>
                <w:rFonts w:eastAsia="Calibri"/>
              </w:rPr>
              <w:t>N</w:t>
            </w:r>
          </w:p>
        </w:tc>
        <w:tc>
          <w:tcPr>
            <w:tcW w:w="389" w:type="dxa"/>
            <w:tcBorders>
              <w:top w:val="nil"/>
              <w:left w:val="nil"/>
              <w:bottom w:val="nil"/>
              <w:right w:val="nil"/>
            </w:tcBorders>
            <w:shd w:val="clear" w:color="auto" w:fill="92D050"/>
            <w:vAlign w:val="center"/>
          </w:tcPr>
          <w:p w14:paraId="4F3A70A1"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FFFA0F7"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5CCEDA5A"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69B987F"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1A3605E6"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258D0027" w14:textId="77777777" w:rsidR="009356EC" w:rsidRPr="008416B3" w:rsidRDefault="009356EC" w:rsidP="001F5B0D">
            <w:pPr>
              <w:spacing w:after="160" w:line="254" w:lineRule="auto"/>
              <w:rPr>
                <w:rFonts w:eastAsia="Calibri"/>
              </w:rPr>
            </w:pPr>
            <w:r w:rsidRPr="008416B3">
              <w:rPr>
                <w:rFonts w:eastAsia="Calibri"/>
              </w:rPr>
              <w:t>Y</w:t>
            </w:r>
          </w:p>
        </w:tc>
        <w:tc>
          <w:tcPr>
            <w:tcW w:w="1419" w:type="dxa"/>
            <w:tcBorders>
              <w:top w:val="nil"/>
              <w:left w:val="nil"/>
              <w:bottom w:val="nil"/>
              <w:right w:val="nil"/>
            </w:tcBorders>
            <w:shd w:val="clear" w:color="auto" w:fill="92D050"/>
            <w:vAlign w:val="center"/>
          </w:tcPr>
          <w:p w14:paraId="2D4BA977" w14:textId="77777777" w:rsidR="009356EC" w:rsidRPr="008416B3" w:rsidRDefault="009356EC" w:rsidP="001F5B0D">
            <w:pPr>
              <w:spacing w:after="160" w:line="254" w:lineRule="auto"/>
              <w:rPr>
                <w:rFonts w:eastAsia="Calibri"/>
                <w:b/>
                <w:color w:val="000000"/>
              </w:rPr>
            </w:pPr>
            <w:r w:rsidRPr="008416B3">
              <w:rPr>
                <w:rFonts w:eastAsia="Calibri"/>
                <w:b/>
                <w:color w:val="000000"/>
              </w:rPr>
              <w:t>High</w:t>
            </w:r>
          </w:p>
        </w:tc>
      </w:tr>
      <w:tr w:rsidR="009356EC" w14:paraId="17BD3859" w14:textId="77777777" w:rsidTr="001F5B0D">
        <w:trPr>
          <w:cantSplit/>
          <w:trHeight w:hRule="exact" w:val="273"/>
        </w:trPr>
        <w:tc>
          <w:tcPr>
            <w:tcW w:w="2268" w:type="dxa"/>
            <w:tcBorders>
              <w:top w:val="nil"/>
              <w:left w:val="nil"/>
              <w:bottom w:val="nil"/>
              <w:right w:val="nil"/>
            </w:tcBorders>
          </w:tcPr>
          <w:p w14:paraId="06D1A2EA"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Sobol-Kwapinska et al.</w:t>
            </w:r>
          </w:p>
        </w:tc>
        <w:tc>
          <w:tcPr>
            <w:tcW w:w="389" w:type="dxa"/>
            <w:tcBorders>
              <w:top w:val="nil"/>
              <w:left w:val="nil"/>
              <w:bottom w:val="nil"/>
              <w:right w:val="nil"/>
            </w:tcBorders>
            <w:shd w:val="clear" w:color="auto" w:fill="92D050"/>
            <w:vAlign w:val="center"/>
          </w:tcPr>
          <w:p w14:paraId="33638E86"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0D5F8845"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24FB6D86"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FF00"/>
            <w:vAlign w:val="center"/>
          </w:tcPr>
          <w:p w14:paraId="5CA578D5" w14:textId="77777777" w:rsidR="009356EC" w:rsidRPr="008416B3" w:rsidRDefault="009356EC" w:rsidP="001F5B0D">
            <w:pPr>
              <w:spacing w:after="160" w:line="254" w:lineRule="auto"/>
              <w:rPr>
                <w:rFonts w:eastAsia="Calibri"/>
              </w:rPr>
            </w:pPr>
            <w:r w:rsidRPr="008416B3">
              <w:rPr>
                <w:rFonts w:eastAsia="Calibri"/>
              </w:rPr>
              <w:t>P</w:t>
            </w:r>
          </w:p>
        </w:tc>
        <w:tc>
          <w:tcPr>
            <w:tcW w:w="390" w:type="dxa"/>
            <w:tcBorders>
              <w:top w:val="nil"/>
              <w:left w:val="nil"/>
              <w:bottom w:val="nil"/>
              <w:right w:val="nil"/>
            </w:tcBorders>
            <w:shd w:val="clear" w:color="auto" w:fill="92D050"/>
            <w:vAlign w:val="center"/>
          </w:tcPr>
          <w:p w14:paraId="53196456" w14:textId="77777777" w:rsidR="009356EC" w:rsidRPr="008416B3" w:rsidRDefault="009356EC" w:rsidP="001F5B0D">
            <w:pPr>
              <w:spacing w:after="160" w:line="254" w:lineRule="auto"/>
              <w:rPr>
                <w:rFonts w:eastAsia="Calibri"/>
              </w:rPr>
            </w:pPr>
            <w:r w:rsidRPr="008416B3">
              <w:rPr>
                <w:rFonts w:eastAsia="Calibri"/>
              </w:rPr>
              <w:t>Y</w:t>
            </w:r>
          </w:p>
        </w:tc>
        <w:tc>
          <w:tcPr>
            <w:tcW w:w="389" w:type="dxa"/>
            <w:tcBorders>
              <w:top w:val="nil"/>
              <w:left w:val="nil"/>
              <w:bottom w:val="nil"/>
              <w:right w:val="nil"/>
            </w:tcBorders>
            <w:shd w:val="clear" w:color="auto" w:fill="92D050"/>
            <w:vAlign w:val="center"/>
          </w:tcPr>
          <w:p w14:paraId="102B12BC"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5F7A6174"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74F990F4"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253ADD79"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5E4F361C" w14:textId="77777777" w:rsidR="009356EC" w:rsidRPr="008416B3" w:rsidRDefault="009356EC" w:rsidP="001F5B0D">
            <w:pPr>
              <w:spacing w:after="160" w:line="254" w:lineRule="auto"/>
              <w:rPr>
                <w:rFonts w:eastAsia="Calibri"/>
              </w:rPr>
            </w:pPr>
            <w:r w:rsidRPr="008416B3">
              <w:rPr>
                <w:rFonts w:eastAsia="Calibri"/>
              </w:rPr>
              <w:t>N</w:t>
            </w:r>
          </w:p>
        </w:tc>
        <w:tc>
          <w:tcPr>
            <w:tcW w:w="389" w:type="dxa"/>
            <w:tcBorders>
              <w:top w:val="nil"/>
              <w:left w:val="nil"/>
              <w:bottom w:val="nil"/>
              <w:right w:val="nil"/>
            </w:tcBorders>
            <w:shd w:val="clear" w:color="auto" w:fill="92D050"/>
            <w:vAlign w:val="center"/>
          </w:tcPr>
          <w:p w14:paraId="1FDBB122"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4A271A7A"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592F8BD7"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1014A8ED"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03A13C35"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92D050"/>
            <w:vAlign w:val="center"/>
          </w:tcPr>
          <w:p w14:paraId="5B8F61E4" w14:textId="77777777" w:rsidR="009356EC" w:rsidRPr="008416B3" w:rsidRDefault="009356EC" w:rsidP="001F5B0D">
            <w:pPr>
              <w:spacing w:after="160" w:line="254" w:lineRule="auto"/>
              <w:rPr>
                <w:rFonts w:eastAsia="Calibri"/>
              </w:rPr>
            </w:pPr>
            <w:r w:rsidRPr="008416B3">
              <w:rPr>
                <w:rFonts w:eastAsia="Calibri"/>
              </w:rPr>
              <w:t>Y</w:t>
            </w:r>
          </w:p>
        </w:tc>
        <w:tc>
          <w:tcPr>
            <w:tcW w:w="1419" w:type="dxa"/>
            <w:tcBorders>
              <w:top w:val="nil"/>
              <w:left w:val="nil"/>
              <w:bottom w:val="nil"/>
              <w:right w:val="nil"/>
            </w:tcBorders>
            <w:shd w:val="clear" w:color="auto" w:fill="FF0000"/>
            <w:vAlign w:val="center"/>
          </w:tcPr>
          <w:p w14:paraId="26AB6137" w14:textId="77777777" w:rsidR="009356EC" w:rsidRPr="008416B3" w:rsidRDefault="009356EC" w:rsidP="001F5B0D">
            <w:pPr>
              <w:spacing w:after="160" w:line="254" w:lineRule="auto"/>
              <w:rPr>
                <w:rFonts w:eastAsia="Calibri"/>
                <w:b/>
                <w:color w:val="000000"/>
              </w:rPr>
            </w:pPr>
            <w:r w:rsidRPr="008416B3">
              <w:rPr>
                <w:rFonts w:eastAsia="Calibri"/>
                <w:b/>
                <w:color w:val="000000"/>
              </w:rPr>
              <w:t>Critically low</w:t>
            </w:r>
          </w:p>
        </w:tc>
      </w:tr>
      <w:tr w:rsidR="009356EC" w14:paraId="1CEEA9D3" w14:textId="77777777" w:rsidTr="001F5B0D">
        <w:trPr>
          <w:cantSplit/>
          <w:trHeight w:hRule="exact" w:val="284"/>
        </w:trPr>
        <w:tc>
          <w:tcPr>
            <w:tcW w:w="2268" w:type="dxa"/>
            <w:tcBorders>
              <w:top w:val="nil"/>
              <w:left w:val="nil"/>
              <w:bottom w:val="nil"/>
              <w:right w:val="nil"/>
            </w:tcBorders>
          </w:tcPr>
          <w:p w14:paraId="51277F1B" w14:textId="77777777" w:rsidR="009356EC" w:rsidRPr="00BD6E7A" w:rsidRDefault="009356EC" w:rsidP="001F5B0D">
            <w:pPr>
              <w:spacing w:after="160" w:line="254" w:lineRule="auto"/>
              <w:rPr>
                <w:rFonts w:asciiTheme="minorHAnsi" w:hAnsiTheme="minorHAnsi" w:cstheme="minorHAnsi"/>
                <w:i/>
                <w:iCs/>
              </w:rPr>
            </w:pPr>
            <w:r w:rsidRPr="00BD6E7A">
              <w:rPr>
                <w:rFonts w:asciiTheme="minorHAnsi" w:hAnsiTheme="minorHAnsi" w:cstheme="minorHAnsi"/>
                <w:i/>
                <w:iCs/>
              </w:rPr>
              <w:t>Wetzel et al.</w:t>
            </w:r>
          </w:p>
        </w:tc>
        <w:tc>
          <w:tcPr>
            <w:tcW w:w="389" w:type="dxa"/>
            <w:tcBorders>
              <w:top w:val="nil"/>
              <w:left w:val="nil"/>
              <w:bottom w:val="nil"/>
              <w:right w:val="nil"/>
            </w:tcBorders>
            <w:shd w:val="clear" w:color="auto" w:fill="92D050"/>
            <w:vAlign w:val="center"/>
          </w:tcPr>
          <w:p w14:paraId="7344014D"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12F2E6A7"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0B875BEE"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FF00"/>
            <w:vAlign w:val="center"/>
          </w:tcPr>
          <w:p w14:paraId="62DE62F8" w14:textId="77777777" w:rsidR="009356EC" w:rsidRPr="008416B3" w:rsidRDefault="009356EC" w:rsidP="001F5B0D">
            <w:pPr>
              <w:spacing w:after="160" w:line="254" w:lineRule="auto"/>
              <w:rPr>
                <w:rFonts w:eastAsia="Calibri"/>
              </w:rPr>
            </w:pPr>
            <w:r w:rsidRPr="008416B3">
              <w:rPr>
                <w:rFonts w:eastAsia="Calibri"/>
              </w:rPr>
              <w:t>P</w:t>
            </w:r>
          </w:p>
        </w:tc>
        <w:tc>
          <w:tcPr>
            <w:tcW w:w="390" w:type="dxa"/>
            <w:tcBorders>
              <w:top w:val="nil"/>
              <w:left w:val="nil"/>
              <w:bottom w:val="nil"/>
              <w:right w:val="nil"/>
            </w:tcBorders>
            <w:shd w:val="clear" w:color="auto" w:fill="FF0000"/>
            <w:vAlign w:val="center"/>
          </w:tcPr>
          <w:p w14:paraId="0887B610" w14:textId="77777777" w:rsidR="009356EC" w:rsidRPr="008416B3" w:rsidRDefault="009356EC" w:rsidP="001F5B0D">
            <w:pPr>
              <w:spacing w:after="160" w:line="254" w:lineRule="auto"/>
              <w:rPr>
                <w:rFonts w:eastAsia="Calibri"/>
              </w:rPr>
            </w:pPr>
            <w:r w:rsidRPr="008416B3">
              <w:rPr>
                <w:rFonts w:eastAsia="Calibri"/>
              </w:rPr>
              <w:t xml:space="preserve">N                                                                                                                                    </w:t>
            </w:r>
          </w:p>
        </w:tc>
        <w:tc>
          <w:tcPr>
            <w:tcW w:w="389" w:type="dxa"/>
            <w:tcBorders>
              <w:top w:val="nil"/>
              <w:left w:val="nil"/>
              <w:bottom w:val="nil"/>
              <w:right w:val="nil"/>
            </w:tcBorders>
            <w:shd w:val="clear" w:color="auto" w:fill="92D050"/>
            <w:vAlign w:val="center"/>
          </w:tcPr>
          <w:p w14:paraId="596041DA" w14:textId="77777777" w:rsidR="009356EC" w:rsidRPr="008416B3" w:rsidRDefault="009356EC" w:rsidP="001F5B0D">
            <w:pPr>
              <w:spacing w:after="160" w:line="254" w:lineRule="auto"/>
              <w:rPr>
                <w:rFonts w:eastAsia="Calibri"/>
              </w:rPr>
            </w:pPr>
            <w:r w:rsidRPr="008416B3">
              <w:rPr>
                <w:rFonts w:eastAsia="Calibri"/>
              </w:rPr>
              <w:t>Y</w:t>
            </w:r>
          </w:p>
        </w:tc>
        <w:tc>
          <w:tcPr>
            <w:tcW w:w="390" w:type="dxa"/>
            <w:tcBorders>
              <w:top w:val="nil"/>
              <w:left w:val="nil"/>
              <w:bottom w:val="nil"/>
              <w:right w:val="nil"/>
            </w:tcBorders>
            <w:shd w:val="clear" w:color="auto" w:fill="FF0000"/>
            <w:vAlign w:val="center"/>
          </w:tcPr>
          <w:p w14:paraId="5CCB3151"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FF00"/>
            <w:vAlign w:val="center"/>
          </w:tcPr>
          <w:p w14:paraId="7A2FEA8E" w14:textId="77777777" w:rsidR="009356EC" w:rsidRPr="008416B3" w:rsidRDefault="009356EC" w:rsidP="001F5B0D">
            <w:pPr>
              <w:spacing w:after="160" w:line="254" w:lineRule="auto"/>
              <w:rPr>
                <w:rFonts w:eastAsia="Calibri"/>
              </w:rPr>
            </w:pPr>
            <w:r w:rsidRPr="008416B3">
              <w:rPr>
                <w:rFonts w:eastAsia="Calibri"/>
              </w:rPr>
              <w:t>P</w:t>
            </w:r>
          </w:p>
        </w:tc>
        <w:tc>
          <w:tcPr>
            <w:tcW w:w="390" w:type="dxa"/>
            <w:tcBorders>
              <w:top w:val="nil"/>
              <w:left w:val="nil"/>
              <w:bottom w:val="nil"/>
              <w:right w:val="nil"/>
            </w:tcBorders>
            <w:shd w:val="clear" w:color="auto" w:fill="FF0000"/>
            <w:vAlign w:val="center"/>
          </w:tcPr>
          <w:p w14:paraId="1B464CA3"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72F6D736" w14:textId="77777777" w:rsidR="009356EC" w:rsidRPr="008416B3" w:rsidRDefault="009356EC" w:rsidP="001F5B0D">
            <w:pPr>
              <w:spacing w:after="160" w:line="254" w:lineRule="auto"/>
              <w:rPr>
                <w:rFonts w:eastAsia="Calibri"/>
              </w:rPr>
            </w:pPr>
            <w:r w:rsidRPr="008416B3">
              <w:rPr>
                <w:rFonts w:eastAsia="Calibri"/>
              </w:rPr>
              <w:t>N</w:t>
            </w:r>
          </w:p>
        </w:tc>
        <w:tc>
          <w:tcPr>
            <w:tcW w:w="389" w:type="dxa"/>
            <w:tcBorders>
              <w:top w:val="nil"/>
              <w:left w:val="nil"/>
              <w:bottom w:val="nil"/>
              <w:right w:val="nil"/>
            </w:tcBorders>
            <w:shd w:val="clear" w:color="auto" w:fill="FF0000"/>
            <w:vAlign w:val="center"/>
          </w:tcPr>
          <w:p w14:paraId="02AB3632"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7D4ACE23"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39D31AD7"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72B979E7"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FF0000"/>
            <w:vAlign w:val="center"/>
          </w:tcPr>
          <w:p w14:paraId="50867DEA" w14:textId="77777777" w:rsidR="009356EC" w:rsidRPr="008416B3" w:rsidRDefault="009356EC" w:rsidP="001F5B0D">
            <w:pPr>
              <w:spacing w:after="160" w:line="254" w:lineRule="auto"/>
              <w:rPr>
                <w:rFonts w:eastAsia="Calibri"/>
              </w:rPr>
            </w:pPr>
            <w:r w:rsidRPr="008416B3">
              <w:rPr>
                <w:rFonts w:eastAsia="Calibri"/>
              </w:rPr>
              <w:t>N</w:t>
            </w:r>
          </w:p>
        </w:tc>
        <w:tc>
          <w:tcPr>
            <w:tcW w:w="390" w:type="dxa"/>
            <w:tcBorders>
              <w:top w:val="nil"/>
              <w:left w:val="nil"/>
              <w:bottom w:val="nil"/>
              <w:right w:val="nil"/>
            </w:tcBorders>
            <w:shd w:val="clear" w:color="auto" w:fill="92D050"/>
            <w:vAlign w:val="center"/>
          </w:tcPr>
          <w:p w14:paraId="52996288" w14:textId="77777777" w:rsidR="009356EC" w:rsidRPr="008416B3" w:rsidRDefault="009356EC" w:rsidP="001F5B0D">
            <w:pPr>
              <w:spacing w:after="160" w:line="254" w:lineRule="auto"/>
              <w:rPr>
                <w:rFonts w:eastAsia="Calibri"/>
              </w:rPr>
            </w:pPr>
            <w:r w:rsidRPr="008416B3">
              <w:rPr>
                <w:rFonts w:eastAsia="Calibri"/>
              </w:rPr>
              <w:t>Y</w:t>
            </w:r>
          </w:p>
        </w:tc>
        <w:tc>
          <w:tcPr>
            <w:tcW w:w="1419" w:type="dxa"/>
            <w:tcBorders>
              <w:top w:val="nil"/>
              <w:left w:val="nil"/>
              <w:bottom w:val="nil"/>
              <w:right w:val="nil"/>
            </w:tcBorders>
            <w:shd w:val="clear" w:color="auto" w:fill="FF0000"/>
            <w:vAlign w:val="center"/>
          </w:tcPr>
          <w:p w14:paraId="6165E427" w14:textId="77777777" w:rsidR="009356EC" w:rsidRPr="008416B3" w:rsidRDefault="009356EC" w:rsidP="001F5B0D">
            <w:pPr>
              <w:spacing w:after="160" w:line="254" w:lineRule="auto"/>
              <w:rPr>
                <w:rFonts w:eastAsia="Calibri"/>
                <w:b/>
                <w:color w:val="000000"/>
              </w:rPr>
            </w:pPr>
            <w:r w:rsidRPr="008416B3">
              <w:rPr>
                <w:rFonts w:eastAsia="Calibri"/>
                <w:b/>
                <w:color w:val="000000"/>
              </w:rPr>
              <w:t>Critically low</w:t>
            </w:r>
          </w:p>
        </w:tc>
      </w:tr>
    </w:tbl>
    <w:p w14:paraId="0AF5CE96" w14:textId="77777777" w:rsidR="009356EC" w:rsidRDefault="009356EC" w:rsidP="009356EC">
      <w:pPr>
        <w:jc w:val="both"/>
        <w:rPr>
          <w:rFonts w:asciiTheme="minorHAnsi" w:hAnsiTheme="minorHAnsi" w:cstheme="minorHAnsi"/>
          <w:i/>
          <w:sz w:val="20"/>
          <w:szCs w:val="20"/>
        </w:rPr>
      </w:pPr>
      <w:r w:rsidRPr="000B61E3">
        <w:rPr>
          <w:rStyle w:val="Heading4Char"/>
        </w:rPr>
        <w:t>Table 4:</w:t>
      </w:r>
      <w:r w:rsidRPr="00145DA9">
        <w:rPr>
          <w:i/>
          <w:color w:val="4472C4" w:themeColor="accent1"/>
        </w:rPr>
        <w:t xml:space="preserve"> </w:t>
      </w:r>
      <w:r w:rsidRPr="00F11900">
        <w:rPr>
          <w:rFonts w:asciiTheme="minorHAnsi" w:hAnsiTheme="minorHAnsi" w:cstheme="minorHAnsi"/>
          <w:b/>
          <w:i/>
          <w:color w:val="000000" w:themeColor="text1"/>
          <w:sz w:val="18"/>
          <w:szCs w:val="18"/>
        </w:rPr>
        <w:t xml:space="preserve">Quality assessment of included systematic reviews. </w:t>
      </w:r>
      <w:r w:rsidRPr="00F11900">
        <w:rPr>
          <w:rFonts w:asciiTheme="minorHAnsi" w:hAnsiTheme="minorHAnsi" w:cstheme="minorHAnsi"/>
          <w:i/>
          <w:color w:val="000000" w:themeColor="text1"/>
          <w:sz w:val="18"/>
          <w:szCs w:val="18"/>
        </w:rPr>
        <w:t xml:space="preserve">This table </w:t>
      </w:r>
      <w:r w:rsidRPr="00F11900">
        <w:rPr>
          <w:rFonts w:asciiTheme="minorHAnsi" w:hAnsiTheme="minorHAnsi" w:cstheme="minorHAnsi"/>
          <w:i/>
          <w:sz w:val="18"/>
          <w:szCs w:val="18"/>
        </w:rPr>
        <w:t>demonstrates the quality of each</w:t>
      </w:r>
      <w:r>
        <w:rPr>
          <w:rFonts w:asciiTheme="minorHAnsi" w:hAnsiTheme="minorHAnsi" w:cstheme="minorHAnsi"/>
          <w:i/>
          <w:sz w:val="20"/>
          <w:szCs w:val="20"/>
        </w:rPr>
        <w:t xml:space="preserve"> systematic review using the AMSTAR 2 checklist (Shea et al., 2017). The supplementary material of two papers could not be accessed (Lamplot et al., 2021; Martinez et al., 2017). Therefore, a full quality appraisal could not be done on these systematic reviews.</w:t>
      </w:r>
    </w:p>
    <w:p w14:paraId="1302F62F" w14:textId="77777777" w:rsidR="009356EC" w:rsidRPr="00C05C19" w:rsidRDefault="009356EC" w:rsidP="009356EC">
      <w:pPr>
        <w:jc w:val="both"/>
        <w:rPr>
          <w:rFonts w:asciiTheme="minorHAnsi" w:hAnsiTheme="minorHAnsi" w:cstheme="minorHAnsi"/>
          <w:i/>
          <w:color w:val="000000" w:themeColor="text1"/>
          <w:sz w:val="20"/>
          <w:szCs w:val="20"/>
        </w:rPr>
      </w:pPr>
      <w:r>
        <w:rPr>
          <w:rFonts w:asciiTheme="minorHAnsi" w:hAnsiTheme="minorHAnsi" w:cstheme="minorHAnsi"/>
          <w:i/>
          <w:color w:val="000000" w:themeColor="text1"/>
          <w:sz w:val="20"/>
          <w:szCs w:val="20"/>
        </w:rPr>
        <w:t>(RoB = risk of bias; Y = yes, P = partial yes; N = no)</w:t>
      </w:r>
    </w:p>
    <w:p w14:paraId="643BAB14"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8721907"/>
      <w:docPartObj>
        <w:docPartGallery w:val="Page Numbers (Bottom of Page)"/>
        <w:docPartUnique/>
      </w:docPartObj>
    </w:sdtPr>
    <w:sdtEndPr>
      <w:rPr>
        <w:noProof/>
      </w:rPr>
    </w:sdtEndPr>
    <w:sdtContent>
      <w:p w14:paraId="73AB2A8F" w14:textId="77777777" w:rsidR="005964B0" w:rsidRDefault="009356E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88CA6B7" w14:textId="77777777" w:rsidR="008A74A8" w:rsidRDefault="009356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B6824" w14:textId="77777777" w:rsidR="00D0614D" w:rsidRDefault="009356EC">
    <w:pPr>
      <w:pStyle w:val="Footer"/>
      <w:jc w:val="right"/>
    </w:pPr>
    <w:r>
      <w:t>14</w:t>
    </w:r>
  </w:p>
  <w:p w14:paraId="3D6714B4" w14:textId="77777777" w:rsidR="0000059D" w:rsidRDefault="009356EC" w:rsidP="00323366">
    <w:pPr>
      <w:pStyle w:val="Footer"/>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6EC"/>
    <w:rsid w:val="000D4074"/>
    <w:rsid w:val="001E4B73"/>
    <w:rsid w:val="005314AC"/>
    <w:rsid w:val="009356E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6B97A"/>
  <w15:chartTrackingRefBased/>
  <w15:docId w15:val="{585E23B3-D478-4EC7-9B48-9B635C825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6EC"/>
    <w:pPr>
      <w:spacing w:after="0" w:line="240" w:lineRule="auto"/>
    </w:pPr>
    <w:rPr>
      <w:rFonts w:ascii="Times New Roman" w:eastAsia="Times New Roman" w:hAnsi="Times New Roman" w:cs="Times New Roman"/>
      <w:sz w:val="24"/>
      <w:szCs w:val="24"/>
      <w:lang w:val="en-GB" w:eastAsia="en-GB"/>
    </w:rPr>
  </w:style>
  <w:style w:type="paragraph" w:styleId="Heading4">
    <w:name w:val="heading 4"/>
    <w:basedOn w:val="Normal"/>
    <w:next w:val="Normal"/>
    <w:link w:val="Heading4Char"/>
    <w:uiPriority w:val="9"/>
    <w:unhideWhenUsed/>
    <w:qFormat/>
    <w:rsid w:val="009356E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356EC"/>
    <w:rPr>
      <w:rFonts w:asciiTheme="majorHAnsi" w:eastAsiaTheme="majorEastAsia" w:hAnsiTheme="majorHAnsi" w:cstheme="majorBidi"/>
      <w:i/>
      <w:iCs/>
      <w:color w:val="2F5496" w:themeColor="accent1" w:themeShade="BF"/>
      <w:sz w:val="24"/>
      <w:szCs w:val="24"/>
      <w:lang w:val="en-GB" w:eastAsia="en-GB"/>
    </w:rPr>
  </w:style>
  <w:style w:type="paragraph" w:styleId="Footer">
    <w:name w:val="footer"/>
    <w:basedOn w:val="Normal"/>
    <w:link w:val="FooterChar"/>
    <w:uiPriority w:val="99"/>
    <w:unhideWhenUsed/>
    <w:rsid w:val="009356EC"/>
    <w:pPr>
      <w:tabs>
        <w:tab w:val="center" w:pos="4680"/>
        <w:tab w:val="right" w:pos="9360"/>
      </w:tabs>
    </w:pPr>
  </w:style>
  <w:style w:type="character" w:customStyle="1" w:styleId="FooterChar">
    <w:name w:val="Footer Char"/>
    <w:basedOn w:val="DefaultParagraphFont"/>
    <w:link w:val="Footer"/>
    <w:uiPriority w:val="99"/>
    <w:rsid w:val="009356EC"/>
    <w:rPr>
      <w:rFonts w:ascii="Times New Roman" w:eastAsia="Times New Roman" w:hAnsi="Times New Roman" w:cs="Times New Roman"/>
      <w:sz w:val="24"/>
      <w:szCs w:val="24"/>
      <w:lang w:val="en-GB" w:eastAsia="en-GB"/>
    </w:rPr>
  </w:style>
  <w:style w:type="table" w:styleId="GridTable7Colorful-Accent5">
    <w:name w:val="Grid Table 7 Colorful Accent 5"/>
    <w:basedOn w:val="TableNormal"/>
    <w:uiPriority w:val="52"/>
    <w:rsid w:val="009356EC"/>
    <w:pPr>
      <w:spacing w:after="0" w:line="240" w:lineRule="auto"/>
    </w:pPr>
    <w:rPr>
      <w:rFonts w:asciiTheme="majorHAnsi" w:eastAsiaTheme="majorEastAsia" w:hAnsiTheme="majorHAnsi" w:cstheme="majorBidi"/>
      <w:color w:val="2E74B5" w:themeColor="accent5" w:themeShade="BF"/>
      <w:lang w:val="en-GB"/>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TableGrid1">
    <w:name w:val="Table Grid1"/>
    <w:basedOn w:val="TableNormal"/>
    <w:uiPriority w:val="39"/>
    <w:rsid w:val="009356EC"/>
    <w:pPr>
      <w:spacing w:after="0" w:line="240" w:lineRule="auto"/>
    </w:pPr>
    <w:rPr>
      <w:rFonts w:ascii="Calibri" w:hAnsi="Calibri" w:cs="Times New Roman"/>
      <w:color w:val="000000" w:themeColor="text1"/>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rful">
    <w:name w:val="List Table 7 Colorful"/>
    <w:basedOn w:val="TableNormal"/>
    <w:uiPriority w:val="52"/>
    <w:rsid w:val="009356EC"/>
    <w:pPr>
      <w:spacing w:after="0" w:line="240" w:lineRule="auto"/>
    </w:pPr>
    <w:rPr>
      <w:rFonts w:asciiTheme="majorHAnsi" w:eastAsiaTheme="majorEastAsia" w:hAnsiTheme="majorHAnsi" w:cstheme="majorBidi"/>
      <w:color w:val="000000" w:themeColor="text1"/>
      <w:lang w:val="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1925</Words>
  <Characters>10977</Characters>
  <Application>Microsoft Office Word</Application>
  <DocSecurity>0</DocSecurity>
  <Lines>91</Lines>
  <Paragraphs>25</Paragraphs>
  <ScaleCrop>false</ScaleCrop>
  <Company>Springer Nature</Company>
  <LinksUpToDate>false</LinksUpToDate>
  <CharactersWithSpaces>12877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2023-05-18T12:01:00Z</dcterms:created>
  <dcterms:modified xsi:type="dcterms:W3CDTF">2023-05-18T12:02:00Z</dcterms:modified>
</cp:coreProperties>
</file>