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619E0" w14:textId="6360D623" w:rsidR="002303B7" w:rsidRPr="002303B7" w:rsidRDefault="00941966" w:rsidP="00A82D71">
      <w:pPr>
        <w:spacing w:after="0" w:line="48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4B28D8F2" w14:textId="77777777" w:rsidR="00754DD1" w:rsidRDefault="00754DD1" w:rsidP="00E34EF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BC4B969" w14:textId="77777777" w:rsidR="00C81847" w:rsidRDefault="00C81847" w:rsidP="00754DD1">
      <w:pPr>
        <w:spacing w:after="0" w:line="48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4A2AC307" w14:textId="77777777" w:rsidR="00E34EFC" w:rsidRDefault="00513B67" w:rsidP="00D61D35">
      <w:pPr>
        <w:tabs>
          <w:tab w:val="center" w:pos="6912"/>
        </w:tabs>
        <w:spacing w:after="5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222B703" wp14:editId="75F2F002">
            <wp:extent cx="3913200" cy="6120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3200" cy="61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Hlk123831728"/>
    </w:p>
    <w:p w14:paraId="2E3423C3" w14:textId="11A38B7C" w:rsidR="00513B67" w:rsidRPr="00D61D35" w:rsidRDefault="005A72E4" w:rsidP="00D61D35">
      <w:pPr>
        <w:tabs>
          <w:tab w:val="center" w:pos="6912"/>
        </w:tabs>
        <w:spacing w:after="5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</w:t>
      </w:r>
      <w:r w:rsidR="00DB138B">
        <w:rPr>
          <w:rFonts w:ascii="Times New Roman" w:hAnsi="Times New Roman" w:cs="Times New Roman"/>
          <w:sz w:val="24"/>
          <w:szCs w:val="24"/>
        </w:rPr>
        <w:t>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3B67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1</w:t>
      </w:r>
      <w:r w:rsidR="00513B67">
        <w:rPr>
          <w:rFonts w:ascii="Times New Roman" w:hAnsi="Times New Roman" w:cs="Times New Roman"/>
          <w:sz w:val="24"/>
          <w:szCs w:val="24"/>
        </w:rPr>
        <w:t xml:space="preserve"> – Maximum Parsimony analysis of phylogenetic relationships among 7</w:t>
      </w:r>
      <w:r w:rsidR="00711E59">
        <w:rPr>
          <w:rFonts w:ascii="Times New Roman" w:hAnsi="Times New Roman" w:cs="Times New Roman"/>
          <w:sz w:val="24"/>
          <w:szCs w:val="24"/>
        </w:rPr>
        <w:t>8</w:t>
      </w:r>
      <w:r w:rsidR="00513B67">
        <w:rPr>
          <w:rFonts w:ascii="Times New Roman" w:hAnsi="Times New Roman" w:cs="Times New Roman"/>
          <w:sz w:val="24"/>
          <w:szCs w:val="24"/>
        </w:rPr>
        <w:t xml:space="preserve"> individual </w:t>
      </w:r>
      <w:r w:rsidR="00513B67" w:rsidRPr="00624172">
        <w:rPr>
          <w:rFonts w:ascii="Times New Roman" w:hAnsi="Times New Roman" w:cs="Times New Roman"/>
          <w:i/>
          <w:iCs/>
          <w:sz w:val="24"/>
          <w:szCs w:val="24"/>
        </w:rPr>
        <w:t>A. mellifera</w:t>
      </w:r>
      <w:r w:rsidR="00252C7A">
        <w:rPr>
          <w:rFonts w:ascii="Times New Roman" w:hAnsi="Times New Roman" w:cs="Times New Roman"/>
          <w:sz w:val="24"/>
          <w:szCs w:val="24"/>
        </w:rPr>
        <w:t xml:space="preserve">. </w:t>
      </w:r>
      <w:r w:rsidR="00D61D35">
        <w:rPr>
          <w:rFonts w:ascii="Times New Roman" w:hAnsi="Times New Roman" w:cs="Times New Roman"/>
          <w:sz w:val="24"/>
          <w:szCs w:val="24"/>
        </w:rPr>
        <w:t xml:space="preserve">Individuals </w:t>
      </w:r>
      <w:r w:rsidR="00676A46">
        <w:rPr>
          <w:rFonts w:ascii="Times New Roman" w:hAnsi="Times New Roman" w:cs="Times New Roman"/>
          <w:sz w:val="24"/>
          <w:szCs w:val="24"/>
        </w:rPr>
        <w:t>are the 66 included</w:t>
      </w:r>
      <w:r w:rsidR="00D61D35">
        <w:rPr>
          <w:rFonts w:ascii="Times New Roman" w:hAnsi="Times New Roman" w:cs="Times New Roman"/>
          <w:sz w:val="24"/>
          <w:szCs w:val="24"/>
        </w:rPr>
        <w:t xml:space="preserve"> in Figure 3, </w:t>
      </w:r>
      <w:r w:rsidR="00624172">
        <w:rPr>
          <w:rFonts w:ascii="Times New Roman" w:hAnsi="Times New Roman" w:cs="Times New Roman"/>
          <w:sz w:val="24"/>
          <w:szCs w:val="24"/>
        </w:rPr>
        <w:t>identified by GenBank accession numbers</w:t>
      </w:r>
      <w:r w:rsidR="00676A46">
        <w:rPr>
          <w:rFonts w:ascii="Times New Roman" w:hAnsi="Times New Roman" w:cs="Times New Roman"/>
          <w:sz w:val="24"/>
          <w:szCs w:val="24"/>
        </w:rPr>
        <w:t>, plus 12 individual Arabian bees identical to those shown.</w:t>
      </w:r>
      <w:bookmarkEnd w:id="0"/>
    </w:p>
    <w:p w14:paraId="675D3C94" w14:textId="6E1993F1" w:rsidR="00513B67" w:rsidRDefault="00513B67" w:rsidP="00513B67">
      <w:pPr>
        <w:tabs>
          <w:tab w:val="center" w:pos="6912"/>
        </w:tabs>
        <w:spacing w:after="5" w:line="48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212121"/>
          <w:sz w:val="24"/>
          <w:szCs w:val="24"/>
        </w:rPr>
        <w:lastRenderedPageBreak/>
        <w:drawing>
          <wp:inline distT="0" distB="0" distL="0" distR="0" wp14:anchorId="664D667B" wp14:editId="50168923">
            <wp:extent cx="4669200" cy="7200000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9200" cy="7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34E2D" w14:textId="0C163E1D" w:rsidR="00513B67" w:rsidRPr="00026F1C" w:rsidRDefault="005A72E4" w:rsidP="00513B67">
      <w:pPr>
        <w:tabs>
          <w:tab w:val="center" w:pos="6912"/>
        </w:tabs>
        <w:spacing w:after="5" w:line="480" w:lineRule="auto"/>
        <w:rPr>
          <w:rFonts w:ascii="Times New Roman" w:hAnsi="Times New Roman" w:cs="Times New Roman"/>
          <w:sz w:val="24"/>
          <w:szCs w:val="24"/>
        </w:rPr>
      </w:pPr>
      <w:bookmarkStart w:id="1" w:name="_Hlk123831749"/>
      <w:r>
        <w:rPr>
          <w:rFonts w:ascii="Times New Roman" w:hAnsi="Times New Roman" w:cs="Times New Roman"/>
          <w:sz w:val="24"/>
          <w:szCs w:val="24"/>
        </w:rPr>
        <w:t>Supplementa</w:t>
      </w:r>
      <w:r w:rsidR="00DB138B">
        <w:rPr>
          <w:rFonts w:ascii="Times New Roman" w:hAnsi="Times New Roman" w:cs="Times New Roman"/>
          <w:sz w:val="24"/>
          <w:szCs w:val="24"/>
        </w:rPr>
        <w:t>ry</w:t>
      </w:r>
      <w:r>
        <w:rPr>
          <w:rFonts w:ascii="Times New Roman" w:hAnsi="Times New Roman" w:cs="Times New Roman"/>
          <w:sz w:val="24"/>
          <w:szCs w:val="24"/>
        </w:rPr>
        <w:t xml:space="preserve"> Figure S2 – </w:t>
      </w:r>
      <w:r w:rsidR="00513B67" w:rsidRPr="00026F1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Maximum Likelihood analysis, as in </w:t>
      </w:r>
      <w:r>
        <w:rPr>
          <w:rFonts w:ascii="Times New Roman" w:hAnsi="Times New Roman" w:cs="Times New Roman"/>
          <w:sz w:val="24"/>
          <w:szCs w:val="24"/>
        </w:rPr>
        <w:t>Supplementa</w:t>
      </w:r>
      <w:r w:rsidR="00DB138B">
        <w:rPr>
          <w:rFonts w:ascii="Times New Roman" w:hAnsi="Times New Roman" w:cs="Times New Roman"/>
          <w:sz w:val="24"/>
          <w:szCs w:val="24"/>
        </w:rPr>
        <w:t>ry</w:t>
      </w:r>
      <w:r>
        <w:rPr>
          <w:rFonts w:ascii="Times New Roman" w:hAnsi="Times New Roman" w:cs="Times New Roman"/>
          <w:sz w:val="24"/>
          <w:szCs w:val="24"/>
        </w:rPr>
        <w:t xml:space="preserve"> Figure S1</w:t>
      </w:r>
      <w:r w:rsidR="00513B67" w:rsidRPr="00026F1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. </w:t>
      </w:r>
      <w:bookmarkEnd w:id="1"/>
      <w:r w:rsidR="00513B67" w:rsidRPr="00026F1C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14:paraId="18387D07" w14:textId="77777777" w:rsidR="00513B67" w:rsidRDefault="00513B67">
      <w:pPr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br w:type="page"/>
      </w:r>
    </w:p>
    <w:p w14:paraId="6F159D17" w14:textId="2D795645" w:rsidR="00513B67" w:rsidRDefault="00513B67" w:rsidP="00513B67">
      <w:pPr>
        <w:spacing w:after="197" w:line="480" w:lineRule="auto"/>
        <w:ind w:left="-5" w:hanging="1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212121"/>
          <w:sz w:val="24"/>
          <w:szCs w:val="24"/>
        </w:rPr>
        <w:lastRenderedPageBreak/>
        <w:drawing>
          <wp:inline distT="0" distB="0" distL="0" distR="0" wp14:anchorId="22EF707B" wp14:editId="0B97E20E">
            <wp:extent cx="4582800" cy="7200000"/>
            <wp:effectExtent l="0" t="0" r="8255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2800" cy="7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502AB" w14:textId="4C9B3A9E" w:rsidR="00CE1606" w:rsidRDefault="005A72E4" w:rsidP="00CE1606">
      <w:pPr>
        <w:spacing w:after="197" w:line="480" w:lineRule="auto"/>
        <w:ind w:left="-5" w:hanging="1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bookmarkStart w:id="2" w:name="_Hlk123831790"/>
      <w:r>
        <w:rPr>
          <w:rFonts w:ascii="Times New Roman" w:hAnsi="Times New Roman" w:cs="Times New Roman"/>
          <w:sz w:val="24"/>
          <w:szCs w:val="24"/>
        </w:rPr>
        <w:t>Supplementa</w:t>
      </w:r>
      <w:r w:rsidR="00DB138B">
        <w:rPr>
          <w:rFonts w:ascii="Times New Roman" w:hAnsi="Times New Roman" w:cs="Times New Roman"/>
          <w:sz w:val="24"/>
          <w:szCs w:val="24"/>
        </w:rPr>
        <w:t>ry</w:t>
      </w:r>
      <w:r>
        <w:rPr>
          <w:rFonts w:ascii="Times New Roman" w:hAnsi="Times New Roman" w:cs="Times New Roman"/>
          <w:sz w:val="24"/>
          <w:szCs w:val="24"/>
        </w:rPr>
        <w:t xml:space="preserve"> Figure S3 – </w:t>
      </w:r>
      <w:r w:rsidR="00513B67" w:rsidRPr="00026F1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Neighbor-Joining analysis, as in </w:t>
      </w:r>
      <w:r>
        <w:rPr>
          <w:rFonts w:ascii="Times New Roman" w:hAnsi="Times New Roman" w:cs="Times New Roman"/>
          <w:sz w:val="24"/>
          <w:szCs w:val="24"/>
        </w:rPr>
        <w:t>Supplementa</w:t>
      </w:r>
      <w:r w:rsidR="00DB138B">
        <w:rPr>
          <w:rFonts w:ascii="Times New Roman" w:hAnsi="Times New Roman" w:cs="Times New Roman"/>
          <w:sz w:val="24"/>
          <w:szCs w:val="24"/>
        </w:rPr>
        <w:t>ry</w:t>
      </w:r>
      <w:r>
        <w:rPr>
          <w:rFonts w:ascii="Times New Roman" w:hAnsi="Times New Roman" w:cs="Times New Roman"/>
          <w:sz w:val="24"/>
          <w:szCs w:val="24"/>
        </w:rPr>
        <w:t xml:space="preserve"> Figure S1</w:t>
      </w:r>
      <w:r w:rsidR="00D61D35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  <w:r w:rsidRPr="00026F1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bookmarkEnd w:id="2"/>
    </w:p>
    <w:p w14:paraId="677BBC4C" w14:textId="77777777" w:rsidR="00254FC6" w:rsidRDefault="00254F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8D09872" w14:textId="6B4E628A" w:rsidR="00754DD1" w:rsidRDefault="00254FC6" w:rsidP="002303B7">
      <w:pPr>
        <w:spacing w:after="197" w:line="48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9273FB8" wp14:editId="08731F1F">
            <wp:extent cx="5040000" cy="6494400"/>
            <wp:effectExtent l="0" t="0" r="8255" b="1905"/>
            <wp:docPr id="1977833813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833813" name="Picture 1" descr="Diagram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64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297D6" w14:textId="2E010B79" w:rsidR="00941966" w:rsidRDefault="00254FC6" w:rsidP="002303B7">
      <w:pPr>
        <w:spacing w:after="197" w:line="480" w:lineRule="auto"/>
        <w:ind w:left="-5" w:hanging="10"/>
        <w:rPr>
          <w:rFonts w:ascii="Times New Roman" w:eastAsia="Times New Roman" w:hAnsi="Times New Roman" w:cs="Times New Roman"/>
          <w:color w:val="212121"/>
          <w:sz w:val="24"/>
          <w:szCs w:val="24"/>
          <w:lang w:eastAsia="en-CA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020211">
        <w:rPr>
          <w:rFonts w:ascii="Times New Roman" w:hAnsi="Times New Roman" w:cs="Times New Roman"/>
          <w:sz w:val="24"/>
          <w:szCs w:val="24"/>
        </w:rPr>
        <w:t>Figure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="0094196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en-CA"/>
        </w:rPr>
        <w:t xml:space="preserve">An mtDNA-based molecular clock for species of </w:t>
      </w:r>
      <w:r w:rsidRPr="006A6C9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en-CA"/>
        </w:rPr>
        <w:t>A</w:t>
      </w:r>
      <w:r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en-CA"/>
        </w:rPr>
        <w:t>pis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en-CA"/>
        </w:rPr>
        <w:t>. Divergence times are calculated as in Figure 7</w:t>
      </w:r>
      <w:r w:rsidR="00020211">
        <w:rPr>
          <w:rFonts w:ascii="Times New Roman" w:eastAsia="Times New Roman" w:hAnsi="Times New Roman" w:cs="Times New Roman"/>
          <w:color w:val="212121"/>
          <w:sz w:val="24"/>
          <w:szCs w:val="24"/>
          <w:lang w:eastAsia="en-CA"/>
        </w:rPr>
        <w:t xml:space="preserve">, with </w:t>
      </w:r>
      <w:r w:rsidR="00020211" w:rsidRPr="00020211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en-CA"/>
        </w:rPr>
        <w:t>Bombus</w:t>
      </w:r>
      <w:r w:rsidR="00020211">
        <w:rPr>
          <w:rFonts w:ascii="Times New Roman" w:eastAsia="Times New Roman" w:hAnsi="Times New Roman" w:cs="Times New Roman"/>
          <w:color w:val="212121"/>
          <w:sz w:val="24"/>
          <w:szCs w:val="24"/>
          <w:lang w:eastAsia="en-CA"/>
        </w:rPr>
        <w:t xml:space="preserve"> as outgroup (cf. Figure 2)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en-CA"/>
        </w:rPr>
        <w:t>.</w:t>
      </w:r>
    </w:p>
    <w:p w14:paraId="61F5AF15" w14:textId="77777777" w:rsidR="00941966" w:rsidRDefault="00941966">
      <w:pPr>
        <w:rPr>
          <w:rFonts w:ascii="Times New Roman" w:eastAsia="Times New Roman" w:hAnsi="Times New Roman" w:cs="Times New Roman"/>
          <w:color w:val="212121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en-CA"/>
        </w:rPr>
        <w:br w:type="page"/>
      </w:r>
    </w:p>
    <w:p w14:paraId="294AB430" w14:textId="77777777" w:rsidR="00941966" w:rsidRDefault="00941966" w:rsidP="00941966">
      <w:pPr>
        <w:spacing w:after="197" w:line="48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6D247E4" wp14:editId="0C1CD331">
            <wp:extent cx="5981700" cy="5383530"/>
            <wp:effectExtent l="0" t="0" r="0" b="7620"/>
            <wp:docPr id="15" name="Picture 1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Diagram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538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F5D12" w14:textId="684B5B78" w:rsidR="00A82D71" w:rsidRDefault="00941966" w:rsidP="00941966">
      <w:pPr>
        <w:spacing w:after="197" w:line="48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Maximum Parsimony analysis of</w:t>
      </w:r>
      <w:r w:rsidRPr="00E933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125 amino acid variants across</w:t>
      </w:r>
      <w:r w:rsidRPr="00E933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representatives of 22</w:t>
      </w:r>
      <w:r w:rsidRPr="00E933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subspecies of </w:t>
      </w:r>
      <w:r w:rsidRPr="00492B3A">
        <w:rPr>
          <w:rFonts w:ascii="Times New Roman" w:hAnsi="Times New Roman" w:cs="Times New Roman"/>
          <w:i/>
          <w:iCs/>
          <w:sz w:val="24"/>
          <w:szCs w:val="24"/>
        </w:rPr>
        <w:t>A. mellifera</w:t>
      </w:r>
      <w:r>
        <w:rPr>
          <w:rFonts w:ascii="Times New Roman" w:hAnsi="Times New Roman" w:cs="Times New Roman"/>
          <w:sz w:val="24"/>
          <w:szCs w:val="24"/>
        </w:rPr>
        <w:t>. Numbers above each branch are the inferred numbers of amino acid substitutions; numbers below each node are the support among 3,000 bootstrap replications. Note that support for most nodes among African subspecies are &lt; 50%.</w:t>
      </w:r>
    </w:p>
    <w:p w14:paraId="5763DF49" w14:textId="77777777" w:rsidR="00A82D71" w:rsidRDefault="00A82D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D79C545" w14:textId="77777777" w:rsidR="00A82D71" w:rsidRDefault="00A82D71" w:rsidP="00A82D71">
      <w:pPr>
        <w:spacing w:after="197" w:line="480" w:lineRule="auto"/>
        <w:ind w:left="-5" w:hanging="1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bookmarkStart w:id="3" w:name="_Hlk123830333"/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50309EA" wp14:editId="10A04880">
            <wp:extent cx="5400000" cy="6300000"/>
            <wp:effectExtent l="0" t="0" r="0" b="5715"/>
            <wp:docPr id="8" name="Picture 8" descr="Graphical user interface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abl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63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"/>
    <w:p w14:paraId="54A7B856" w14:textId="1503DB81" w:rsidR="00941966" w:rsidRDefault="00A82D71" w:rsidP="00A82D71">
      <w:pPr>
        <w:spacing w:after="197" w:line="48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Figure S6</w:t>
      </w:r>
      <w:r w:rsidRPr="001571D1">
        <w:rPr>
          <w:rFonts w:ascii="Times New Roman" w:hAnsi="Times New Roman" w:cs="Times New Roman"/>
          <w:sz w:val="24"/>
          <w:szCs w:val="24"/>
        </w:rPr>
        <w:t xml:space="preserve"> – Phylogenetically Informative Sites in the 5’-most 574 bases of the ND2 coding region</w:t>
      </w:r>
      <w:r>
        <w:rPr>
          <w:rFonts w:ascii="Times New Roman" w:hAnsi="Times New Roman" w:cs="Times New Roman"/>
          <w:sz w:val="24"/>
          <w:szCs w:val="24"/>
        </w:rPr>
        <w:t xml:space="preserve"> for 29 subspecies of </w:t>
      </w:r>
      <w:r w:rsidRPr="00941966">
        <w:rPr>
          <w:rFonts w:ascii="Times New Roman" w:hAnsi="Times New Roman" w:cs="Times New Roman"/>
          <w:i/>
          <w:iCs/>
          <w:sz w:val="24"/>
          <w:szCs w:val="24"/>
        </w:rPr>
        <w:t>A. mellifera</w:t>
      </w:r>
      <w:r w:rsidRPr="001571D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The last six sequences are in addition to those analyzed in the main MS. </w:t>
      </w:r>
      <w:r w:rsidRPr="003E43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Sequences in dark green are shared with the SE Europe clade, in light green </w:t>
      </w:r>
      <w:r>
        <w:rPr>
          <w:rFonts w:ascii="Times New Roman" w:hAnsi="Times New Roman" w:cs="Times New Roman"/>
          <w:sz w:val="24"/>
          <w:szCs w:val="24"/>
        </w:rPr>
        <w:t xml:space="preserve">with the Asia Minor clade, and in </w:t>
      </w:r>
      <w:r w:rsidRPr="00941966">
        <w:rPr>
          <w:rFonts w:ascii="Times New Roman" w:hAnsi="Times New Roman" w:cs="Times New Roman"/>
          <w:sz w:val="24"/>
          <w:szCs w:val="24"/>
        </w:rPr>
        <w:t>black</w:t>
      </w:r>
      <w:r>
        <w:rPr>
          <w:rFonts w:ascii="Times New Roman" w:hAnsi="Times New Roman" w:cs="Times New Roman"/>
          <w:sz w:val="24"/>
          <w:szCs w:val="24"/>
        </w:rPr>
        <w:t xml:space="preserve"> with the reference </w:t>
      </w:r>
      <w:r w:rsidRPr="00CF36CE">
        <w:rPr>
          <w:rFonts w:ascii="Times New Roman" w:hAnsi="Times New Roman" w:cs="Times New Roman"/>
          <w:i/>
          <w:iCs/>
          <w:sz w:val="24"/>
          <w:szCs w:val="24"/>
        </w:rPr>
        <w:t>A. m. mellifera</w:t>
      </w:r>
      <w:r>
        <w:rPr>
          <w:rFonts w:ascii="Times New Roman" w:hAnsi="Times New Roman" w:cs="Times New Roman"/>
          <w:sz w:val="24"/>
          <w:szCs w:val="24"/>
        </w:rPr>
        <w:t xml:space="preserve"> sequence. Positions are numbered from #1 in the 11,006 Coding Region alignment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088EB9" w14:textId="77777777" w:rsidR="00A82D71" w:rsidRDefault="00A82D71" w:rsidP="00A82D7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3582526" w14:textId="77777777" w:rsidR="00A82D71" w:rsidRDefault="00A82D71" w:rsidP="00A82D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2012121" wp14:editId="3060DE09">
            <wp:extent cx="5943600" cy="5281728"/>
            <wp:effectExtent l="0" t="0" r="0" b="0"/>
            <wp:docPr id="3" name="Picture 3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calendar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81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609C2" w14:textId="00BB0906" w:rsidR="00A82D71" w:rsidRPr="002303B7" w:rsidRDefault="00A82D71" w:rsidP="00A82D71">
      <w:pPr>
        <w:spacing w:after="197" w:line="480" w:lineRule="auto"/>
        <w:ind w:left="-5" w:hanging="1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sz w:val="24"/>
          <w:szCs w:val="24"/>
        </w:rPr>
        <w:t>Figure S7</w:t>
      </w:r>
      <w:r>
        <w:rPr>
          <w:rFonts w:ascii="Times New Roman" w:hAnsi="Times New Roman" w:cs="Times New Roman"/>
          <w:sz w:val="24"/>
          <w:szCs w:val="24"/>
        </w:rPr>
        <w:t xml:space="preserve"> – Schematic comparison of mtDNA genome phylogeny </w:t>
      </w:r>
      <w:r w:rsidRPr="004358A7">
        <w:rPr>
          <w:rFonts w:ascii="Times New Roman" w:hAnsi="Times New Roman" w:cs="Times New Roman"/>
          <w:i/>
          <w:iCs/>
          <w:sz w:val="24"/>
          <w:szCs w:val="24"/>
        </w:rPr>
        <w:t>versus</w:t>
      </w:r>
      <w:r>
        <w:rPr>
          <w:rFonts w:ascii="Times New Roman" w:hAnsi="Times New Roman" w:cs="Times New Roman"/>
          <w:sz w:val="24"/>
          <w:szCs w:val="24"/>
        </w:rPr>
        <w:t xml:space="preserve"> nucDNA phylogenies of </w:t>
      </w:r>
      <w:r w:rsidRPr="004358A7">
        <w:rPr>
          <w:rFonts w:ascii="Times New Roman" w:hAnsi="Times New Roman" w:cs="Times New Roman"/>
          <w:i/>
          <w:iCs/>
          <w:sz w:val="24"/>
          <w:szCs w:val="24"/>
        </w:rPr>
        <w:t>A. mellifera</w:t>
      </w:r>
      <w:r>
        <w:rPr>
          <w:rFonts w:ascii="Times New Roman" w:hAnsi="Times New Roman" w:cs="Times New Roman"/>
          <w:sz w:val="24"/>
          <w:szCs w:val="24"/>
        </w:rPr>
        <w:t xml:space="preserve">. Order of taxa is based on a linearized ordering of </w:t>
      </w:r>
      <w:r w:rsidRPr="004358A7">
        <w:rPr>
          <w:rFonts w:ascii="Times New Roman" w:hAnsi="Times New Roman" w:cs="Times New Roman"/>
          <w:b/>
          <w:bCs/>
          <w:sz w:val="24"/>
          <w:szCs w:val="24"/>
        </w:rPr>
        <w:t>MAOC</w:t>
      </w:r>
      <w:r>
        <w:rPr>
          <w:rFonts w:ascii="Times New Roman" w:hAnsi="Times New Roman" w:cs="Times New Roman"/>
          <w:sz w:val="24"/>
          <w:szCs w:val="24"/>
        </w:rPr>
        <w:t xml:space="preserve"> as in Whitfield </w:t>
      </w:r>
      <w:r w:rsidRPr="004358A7">
        <w:rPr>
          <w:rFonts w:ascii="Times New Roman" w:hAnsi="Times New Roman" w:cs="Times New Roman"/>
          <w:i/>
          <w:iCs/>
          <w:sz w:val="24"/>
          <w:szCs w:val="24"/>
        </w:rPr>
        <w:t>et al</w:t>
      </w:r>
      <w:r>
        <w:rPr>
          <w:rFonts w:ascii="Times New Roman" w:hAnsi="Times New Roman" w:cs="Times New Roman"/>
          <w:sz w:val="24"/>
          <w:szCs w:val="24"/>
        </w:rPr>
        <w:t>. (2006)</w:t>
      </w:r>
      <w:r w:rsidRPr="00D06AF1">
        <w:rPr>
          <w:rFonts w:ascii="Times New Roman" w:hAnsi="Times New Roman" w:cs="Times New Roman"/>
          <w:color w:val="0070C0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: placement of the root is indicated by </w:t>
      </w:r>
      <w:r w:rsidRPr="004358A7">
        <w:rPr>
          <w:rFonts w:ascii="Times New Roman" w:hAnsi="Times New Roman" w:cs="Times New Roman"/>
          <w:b/>
          <w:bCs/>
          <w:sz w:val="24"/>
          <w:szCs w:val="24"/>
        </w:rPr>
        <w:t>|-</w:t>
      </w:r>
      <w:r>
        <w:rPr>
          <w:rFonts w:ascii="Times New Roman" w:hAnsi="Times New Roman" w:cs="Times New Roman"/>
          <w:b/>
          <w:bCs/>
          <w:sz w:val="24"/>
          <w:szCs w:val="24"/>
        </w:rPr>
        <w:t>--</w:t>
      </w:r>
      <w:r w:rsidRPr="004358A7">
        <w:rPr>
          <w:rFonts w:ascii="Times New Roman" w:hAnsi="Times New Roman" w:cs="Times New Roman"/>
          <w:b/>
          <w:bCs/>
          <w:sz w:val="24"/>
          <w:szCs w:val="24"/>
        </w:rPr>
        <w:t>|</w:t>
      </w:r>
      <w:r>
        <w:rPr>
          <w:rFonts w:ascii="Times New Roman" w:hAnsi="Times New Roman" w:cs="Times New Roman"/>
          <w:sz w:val="24"/>
          <w:szCs w:val="24"/>
        </w:rPr>
        <w:t xml:space="preserve"> between the basal-most clades. MtDNA color codes as in Figure 3; nucDNA color codes for </w:t>
      </w:r>
      <w:r w:rsidRPr="003E433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</w:t>
      </w:r>
      <w:r w:rsidRPr="003E43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ellifera, </w:t>
      </w:r>
      <w:r w:rsidRPr="003E433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Pr="003E43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frican, </w:t>
      </w:r>
      <w:r w:rsidRPr="003E433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</w:t>
      </w:r>
      <w:r w:rsidRPr="003E43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riental [Asian], and </w:t>
      </w:r>
      <w:r w:rsidRPr="003E433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Pr="003E43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ontinental </w:t>
      </w:r>
      <w:r>
        <w:rPr>
          <w:rFonts w:ascii="Times New Roman" w:hAnsi="Times New Roman" w:cs="Times New Roman"/>
          <w:sz w:val="24"/>
          <w:szCs w:val="24"/>
        </w:rPr>
        <w:t>[European] clusters as in the referenced MSS</w:t>
      </w:r>
      <w:r w:rsidRPr="00D06AF1">
        <w:rPr>
          <w:rFonts w:ascii="Times New Roman" w:hAnsi="Times New Roman" w:cs="Times New Roman"/>
          <w:color w:val="0070C0"/>
          <w:sz w:val="24"/>
          <w:szCs w:val="24"/>
          <w:vertAlign w:val="superscript"/>
        </w:rPr>
        <w:t>4,25,7</w:t>
      </w:r>
      <w:r>
        <w:rPr>
          <w:rFonts w:ascii="Times New Roman" w:hAnsi="Times New Roman" w:cs="Times New Roman"/>
          <w:sz w:val="24"/>
          <w:szCs w:val="24"/>
        </w:rPr>
        <w:t xml:space="preserve">. Disparities of placement of taxa as inferred from mtDNA </w:t>
      </w:r>
      <w:r w:rsidRPr="00987E3C">
        <w:rPr>
          <w:rFonts w:ascii="Times New Roman" w:hAnsi="Times New Roman" w:cs="Times New Roman"/>
          <w:i/>
          <w:iCs/>
          <w:sz w:val="24"/>
          <w:szCs w:val="24"/>
        </w:rPr>
        <w:t>versus</w:t>
      </w:r>
      <w:r>
        <w:rPr>
          <w:rFonts w:ascii="Times New Roman" w:hAnsi="Times New Roman" w:cs="Times New Roman"/>
          <w:sz w:val="24"/>
          <w:szCs w:val="24"/>
        </w:rPr>
        <w:t xml:space="preserve"> nucDNA data are indicated by color-coded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●’s, referenced to Figure 3: see Text. </w:t>
      </w:r>
      <w:r w:rsidRPr="00FA67BD">
        <w:rPr>
          <w:rFonts w:ascii="Times New Roman" w:hAnsi="Times New Roman" w:cs="Times New Roman"/>
          <w:i/>
          <w:iCs/>
          <w:sz w:val="24"/>
          <w:szCs w:val="24"/>
        </w:rPr>
        <w:t>A. m. ruttneri</w:t>
      </w:r>
      <w:r>
        <w:rPr>
          <w:rFonts w:ascii="Times New Roman" w:hAnsi="Times New Roman" w:cs="Times New Roman"/>
          <w:sz w:val="24"/>
          <w:szCs w:val="24"/>
        </w:rPr>
        <w:t xml:space="preserve"> (not shown) is in </w:t>
      </w:r>
      <w:r w:rsidRPr="003E433C">
        <w:rPr>
          <w:rFonts w:ascii="Times New Roman" w:hAnsi="Times New Roman" w:cs="Times New Roman"/>
          <w:color w:val="000000" w:themeColor="text1"/>
          <w:sz w:val="24"/>
          <w:szCs w:val="24"/>
        </w:rPr>
        <w:t>the Med</w:t>
      </w:r>
      <w:r w:rsidR="003574B7">
        <w:rPr>
          <w:rFonts w:ascii="Times New Roman" w:hAnsi="Times New Roman" w:cs="Times New Roman"/>
          <w:color w:val="000000" w:themeColor="text1"/>
          <w:sz w:val="24"/>
          <w:szCs w:val="24"/>
        </w:rPr>
        <w:t>iterranean</w:t>
      </w:r>
      <w:r w:rsidRPr="003E43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mtDNA clade and the O nucDNA </w:t>
      </w:r>
      <w:r>
        <w:rPr>
          <w:rFonts w:ascii="Times New Roman" w:hAnsi="Times New Roman" w:cs="Times New Roman"/>
          <w:sz w:val="24"/>
          <w:szCs w:val="24"/>
        </w:rPr>
        <w:t>cluster</w:t>
      </w:r>
      <w:r>
        <w:rPr>
          <w:rFonts w:ascii="Times New Roman" w:hAnsi="Times New Roman" w:cs="Times New Roman"/>
          <w:color w:val="0070C0"/>
          <w:sz w:val="24"/>
          <w:szCs w:val="24"/>
          <w:vertAlign w:val="superscript"/>
        </w:rPr>
        <w:t>19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D9577A" w14:textId="77777777" w:rsidR="00254FC6" w:rsidRDefault="00254FC6" w:rsidP="002303B7">
      <w:pPr>
        <w:spacing w:after="197" w:line="480" w:lineRule="auto"/>
        <w:ind w:left="-5" w:hanging="10"/>
        <w:rPr>
          <w:rFonts w:ascii="Times New Roman" w:hAnsi="Times New Roman" w:cs="Times New Roman"/>
          <w:sz w:val="24"/>
          <w:szCs w:val="24"/>
        </w:rPr>
      </w:pPr>
    </w:p>
    <w:sectPr w:rsidR="00254FC6" w:rsidSect="00E34EFC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8399E" w14:textId="77777777" w:rsidR="00841688" w:rsidRDefault="00841688" w:rsidP="003953EC">
      <w:pPr>
        <w:spacing w:after="0" w:line="240" w:lineRule="auto"/>
      </w:pPr>
      <w:r>
        <w:separator/>
      </w:r>
    </w:p>
  </w:endnote>
  <w:endnote w:type="continuationSeparator" w:id="0">
    <w:p w14:paraId="38272121" w14:textId="77777777" w:rsidR="00841688" w:rsidRDefault="00841688" w:rsidP="00395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7F1C9" w14:textId="77777777" w:rsidR="00841688" w:rsidRDefault="00841688" w:rsidP="003953EC">
      <w:pPr>
        <w:spacing w:after="0" w:line="240" w:lineRule="auto"/>
      </w:pPr>
      <w:r>
        <w:separator/>
      </w:r>
    </w:p>
  </w:footnote>
  <w:footnote w:type="continuationSeparator" w:id="0">
    <w:p w14:paraId="15AF2D2A" w14:textId="77777777" w:rsidR="00841688" w:rsidRDefault="00841688" w:rsidP="003953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533"/>
    <w:rsid w:val="00005B3C"/>
    <w:rsid w:val="00017E3D"/>
    <w:rsid w:val="00020211"/>
    <w:rsid w:val="00026F1C"/>
    <w:rsid w:val="000521A3"/>
    <w:rsid w:val="000659EA"/>
    <w:rsid w:val="000750F6"/>
    <w:rsid w:val="00080107"/>
    <w:rsid w:val="000C4A7E"/>
    <w:rsid w:val="000E2012"/>
    <w:rsid w:val="001028B3"/>
    <w:rsid w:val="00130372"/>
    <w:rsid w:val="00170B54"/>
    <w:rsid w:val="0019279F"/>
    <w:rsid w:val="001A505A"/>
    <w:rsid w:val="001C6FE5"/>
    <w:rsid w:val="001D20F5"/>
    <w:rsid w:val="001D588C"/>
    <w:rsid w:val="002303B7"/>
    <w:rsid w:val="00231939"/>
    <w:rsid w:val="00252C7A"/>
    <w:rsid w:val="00254FC6"/>
    <w:rsid w:val="00290A50"/>
    <w:rsid w:val="00294B7B"/>
    <w:rsid w:val="002C0C70"/>
    <w:rsid w:val="003574B7"/>
    <w:rsid w:val="003953EC"/>
    <w:rsid w:val="003B55C2"/>
    <w:rsid w:val="003C4D2D"/>
    <w:rsid w:val="003E433C"/>
    <w:rsid w:val="003F10A4"/>
    <w:rsid w:val="0041199F"/>
    <w:rsid w:val="004358A7"/>
    <w:rsid w:val="00435FF7"/>
    <w:rsid w:val="00492B3A"/>
    <w:rsid w:val="0049559E"/>
    <w:rsid w:val="00510F66"/>
    <w:rsid w:val="005117A0"/>
    <w:rsid w:val="00513B67"/>
    <w:rsid w:val="00577C00"/>
    <w:rsid w:val="0059478E"/>
    <w:rsid w:val="005A72E4"/>
    <w:rsid w:val="005C1A8B"/>
    <w:rsid w:val="00624172"/>
    <w:rsid w:val="0062691B"/>
    <w:rsid w:val="006317B1"/>
    <w:rsid w:val="00676A46"/>
    <w:rsid w:val="006A2DE0"/>
    <w:rsid w:val="006D68C9"/>
    <w:rsid w:val="00711E59"/>
    <w:rsid w:val="007465AB"/>
    <w:rsid w:val="00754DD1"/>
    <w:rsid w:val="00790D83"/>
    <w:rsid w:val="007D592D"/>
    <w:rsid w:val="00841688"/>
    <w:rsid w:val="00842C5D"/>
    <w:rsid w:val="008654F5"/>
    <w:rsid w:val="008E1145"/>
    <w:rsid w:val="009305E0"/>
    <w:rsid w:val="00941966"/>
    <w:rsid w:val="00987E3C"/>
    <w:rsid w:val="00990533"/>
    <w:rsid w:val="0099433D"/>
    <w:rsid w:val="009A0828"/>
    <w:rsid w:val="00A638FA"/>
    <w:rsid w:val="00A82D71"/>
    <w:rsid w:val="00AB3CB6"/>
    <w:rsid w:val="00B16F30"/>
    <w:rsid w:val="00B41FB3"/>
    <w:rsid w:val="00B91F29"/>
    <w:rsid w:val="00BD13B8"/>
    <w:rsid w:val="00C02022"/>
    <w:rsid w:val="00C61BD5"/>
    <w:rsid w:val="00C81847"/>
    <w:rsid w:val="00C8496F"/>
    <w:rsid w:val="00CA2C20"/>
    <w:rsid w:val="00CE1606"/>
    <w:rsid w:val="00D06AF1"/>
    <w:rsid w:val="00D13DD6"/>
    <w:rsid w:val="00D61D35"/>
    <w:rsid w:val="00DB138B"/>
    <w:rsid w:val="00DB3FD7"/>
    <w:rsid w:val="00E3058D"/>
    <w:rsid w:val="00E34EFC"/>
    <w:rsid w:val="00E40DC3"/>
    <w:rsid w:val="00E44B9F"/>
    <w:rsid w:val="00E5253D"/>
    <w:rsid w:val="00E543B5"/>
    <w:rsid w:val="00F4077A"/>
    <w:rsid w:val="00FA2BA0"/>
    <w:rsid w:val="00FA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74DC"/>
  <w15:docId w15:val="{FCF8551D-5DBE-4365-A0B0-F347C79A6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53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3E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953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3EC"/>
    <w:rPr>
      <w:rFonts w:ascii="Calibri" w:eastAsia="Calibri" w:hAnsi="Calibri" w:cs="Calibri"/>
      <w:color w:val="000000"/>
    </w:rPr>
  </w:style>
  <w:style w:type="paragraph" w:styleId="Revision">
    <w:name w:val="Revision"/>
    <w:hidden/>
    <w:uiPriority w:val="99"/>
    <w:semiHidden/>
    <w:rsid w:val="00941966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Carr 2022 - Figures 1 - 5, Tables 1 - 4, 2022 Aug 08.docx</vt:lpstr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Carr 2022 - Figures 1 - 5, Tables 1 - 4, 2022 Aug 08.docx</dc:title>
  <dc:subject/>
  <dc:creator>steve</dc:creator>
  <cp:keywords/>
  <dc:description/>
  <cp:lastModifiedBy>Steven M Carr</cp:lastModifiedBy>
  <cp:revision>3</cp:revision>
  <cp:lastPrinted>2023-02-16T19:13:00Z</cp:lastPrinted>
  <dcterms:created xsi:type="dcterms:W3CDTF">2023-05-10T13:09:00Z</dcterms:created>
  <dcterms:modified xsi:type="dcterms:W3CDTF">2023-05-10T13:24:00Z</dcterms:modified>
</cp:coreProperties>
</file>