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D4DBF9" w14:textId="77777777" w:rsidR="00B64CA9" w:rsidRDefault="00B64CA9" w:rsidP="00ED33BD">
      <w:pPr>
        <w:rPr>
          <w:rFonts w:ascii="Times New Roman" w:hAnsi="Times New Roman" w:cs="Times New Roman"/>
          <w:b/>
          <w:bCs/>
          <w:sz w:val="28"/>
          <w:szCs w:val="28"/>
        </w:rPr>
      </w:pPr>
    </w:p>
    <w:p w14:paraId="53542208" w14:textId="77777777" w:rsidR="00B64CA9" w:rsidRPr="000018EF" w:rsidRDefault="00B64CA9" w:rsidP="00B64CA9">
      <w:pPr>
        <w:pStyle w:val="Heading1"/>
        <w:rPr>
          <w:rFonts w:ascii="Times New Roman" w:hAnsi="Times New Roman" w:cs="Times New Roman"/>
          <w:b/>
          <w:bCs/>
          <w:color w:val="000000" w:themeColor="text1"/>
        </w:rPr>
      </w:pPr>
      <w:r w:rsidRPr="000018EF">
        <w:rPr>
          <w:rFonts w:ascii="Times New Roman" w:hAnsi="Times New Roman" w:cs="Times New Roman"/>
          <w:b/>
          <w:bCs/>
          <w:color w:val="000000" w:themeColor="text1"/>
        </w:rPr>
        <w:t xml:space="preserve">Chlamy-EnPhosSite: A deep learning-based approach for </w:t>
      </w:r>
      <w:r w:rsidRPr="000018EF">
        <w:rPr>
          <w:rFonts w:ascii="Times New Roman" w:hAnsi="Times New Roman" w:cs="Times New Roman"/>
          <w:b/>
          <w:bCs/>
          <w:i/>
          <w:iCs/>
          <w:color w:val="000000" w:themeColor="text1"/>
        </w:rPr>
        <w:t>Chlamydomonas reinhardtii</w:t>
      </w:r>
      <w:r w:rsidRPr="000018EF">
        <w:rPr>
          <w:rFonts w:ascii="Times New Roman" w:hAnsi="Times New Roman" w:cs="Times New Roman"/>
          <w:b/>
          <w:bCs/>
          <w:color w:val="000000" w:themeColor="text1"/>
        </w:rPr>
        <w:t>-specific phosphorylation site prediction</w:t>
      </w:r>
    </w:p>
    <w:p w14:paraId="5DAA7BB9" w14:textId="77777777" w:rsidR="00B64CA9" w:rsidRDefault="00B64CA9" w:rsidP="00B64CA9">
      <w:pPr>
        <w:pStyle w:val="Heading2"/>
        <w:jc w:val="both"/>
        <w:rPr>
          <w:rFonts w:ascii="Times New Roman" w:hAnsi="Times New Roman" w:cs="Times New Roman"/>
          <w:b/>
          <w:bCs/>
          <w:color w:val="auto"/>
          <w:sz w:val="22"/>
          <w:szCs w:val="22"/>
        </w:rPr>
      </w:pPr>
      <w:r>
        <w:rPr>
          <w:rFonts w:ascii="Times New Roman" w:hAnsi="Times New Roman" w:cs="Times New Roman"/>
          <w:b/>
          <w:bCs/>
          <w:color w:val="auto"/>
          <w:sz w:val="22"/>
          <w:szCs w:val="22"/>
        </w:rPr>
        <w:t>Niraj Thapa</w:t>
      </w:r>
      <w:r>
        <w:rPr>
          <w:rFonts w:ascii="Times New Roman" w:hAnsi="Times New Roman" w:cs="Times New Roman"/>
          <w:b/>
          <w:bCs/>
          <w:color w:val="auto"/>
          <w:sz w:val="22"/>
          <w:szCs w:val="22"/>
          <w:vertAlign w:val="superscript"/>
        </w:rPr>
        <w:t>1</w:t>
      </w:r>
      <w:r>
        <w:rPr>
          <w:rFonts w:ascii="Times New Roman" w:hAnsi="Times New Roman" w:cs="Times New Roman"/>
          <w:b/>
          <w:bCs/>
          <w:color w:val="auto"/>
          <w:sz w:val="22"/>
          <w:szCs w:val="22"/>
        </w:rPr>
        <w:t xml:space="preserve">, </w:t>
      </w:r>
      <w:proofErr w:type="spellStart"/>
      <w:r>
        <w:rPr>
          <w:rFonts w:ascii="Times New Roman" w:hAnsi="Times New Roman" w:cs="Times New Roman"/>
          <w:b/>
          <w:bCs/>
          <w:color w:val="auto"/>
          <w:sz w:val="22"/>
          <w:szCs w:val="22"/>
        </w:rPr>
        <w:t>Meenal</w:t>
      </w:r>
      <w:proofErr w:type="spellEnd"/>
      <w:r>
        <w:rPr>
          <w:rFonts w:ascii="Times New Roman" w:hAnsi="Times New Roman" w:cs="Times New Roman"/>
          <w:b/>
          <w:bCs/>
          <w:color w:val="auto"/>
          <w:sz w:val="22"/>
          <w:szCs w:val="22"/>
        </w:rPr>
        <w:t xml:space="preserve"> Chaudhari</w:t>
      </w:r>
      <w:r>
        <w:rPr>
          <w:rFonts w:ascii="Times New Roman" w:hAnsi="Times New Roman" w:cs="Times New Roman"/>
          <w:b/>
          <w:bCs/>
          <w:color w:val="auto"/>
          <w:sz w:val="22"/>
          <w:szCs w:val="22"/>
          <w:vertAlign w:val="superscript"/>
        </w:rPr>
        <w:t>1</w:t>
      </w:r>
      <w:r>
        <w:rPr>
          <w:rFonts w:ascii="Times New Roman" w:hAnsi="Times New Roman" w:cs="Times New Roman"/>
          <w:b/>
          <w:bCs/>
          <w:color w:val="auto"/>
          <w:sz w:val="22"/>
          <w:szCs w:val="22"/>
        </w:rPr>
        <w:t>, Anthony A. Iannetta</w:t>
      </w:r>
      <w:r>
        <w:rPr>
          <w:rFonts w:ascii="Times New Roman" w:hAnsi="Times New Roman" w:cs="Times New Roman"/>
          <w:b/>
          <w:bCs/>
          <w:color w:val="auto"/>
          <w:sz w:val="22"/>
          <w:szCs w:val="22"/>
          <w:vertAlign w:val="superscript"/>
        </w:rPr>
        <w:t>2</w:t>
      </w:r>
      <w:r>
        <w:rPr>
          <w:rFonts w:ascii="Times New Roman" w:hAnsi="Times New Roman" w:cs="Times New Roman"/>
          <w:b/>
          <w:bCs/>
          <w:color w:val="auto"/>
          <w:sz w:val="22"/>
          <w:szCs w:val="22"/>
        </w:rPr>
        <w:t>, Clarence White</w:t>
      </w:r>
      <w:r>
        <w:rPr>
          <w:rFonts w:ascii="Times New Roman" w:hAnsi="Times New Roman" w:cs="Times New Roman"/>
          <w:b/>
          <w:bCs/>
          <w:color w:val="auto"/>
          <w:sz w:val="22"/>
          <w:szCs w:val="22"/>
          <w:vertAlign w:val="superscript"/>
        </w:rPr>
        <w:t>1</w:t>
      </w:r>
      <w:r>
        <w:rPr>
          <w:rFonts w:ascii="Times New Roman" w:hAnsi="Times New Roman" w:cs="Times New Roman"/>
          <w:b/>
          <w:bCs/>
          <w:color w:val="auto"/>
          <w:sz w:val="22"/>
          <w:szCs w:val="22"/>
        </w:rPr>
        <w:t>, Kaushik Roy</w:t>
      </w:r>
      <w:r>
        <w:rPr>
          <w:rFonts w:ascii="Times New Roman" w:hAnsi="Times New Roman" w:cs="Times New Roman"/>
          <w:b/>
          <w:bCs/>
          <w:color w:val="auto"/>
          <w:sz w:val="22"/>
          <w:szCs w:val="22"/>
          <w:vertAlign w:val="superscript"/>
        </w:rPr>
        <w:t>3</w:t>
      </w:r>
      <w:r>
        <w:rPr>
          <w:rFonts w:ascii="Times New Roman" w:hAnsi="Times New Roman" w:cs="Times New Roman"/>
          <w:b/>
          <w:bCs/>
          <w:color w:val="auto"/>
          <w:sz w:val="22"/>
          <w:szCs w:val="22"/>
        </w:rPr>
        <w:t>, Robert Newman</w:t>
      </w:r>
      <w:r>
        <w:rPr>
          <w:rFonts w:ascii="Times New Roman" w:hAnsi="Times New Roman" w:cs="Times New Roman"/>
          <w:b/>
          <w:bCs/>
          <w:color w:val="auto"/>
          <w:sz w:val="22"/>
          <w:szCs w:val="22"/>
          <w:vertAlign w:val="superscript"/>
        </w:rPr>
        <w:t>4</w:t>
      </w:r>
      <w:r>
        <w:rPr>
          <w:rFonts w:ascii="Times New Roman" w:hAnsi="Times New Roman" w:cs="Times New Roman"/>
          <w:b/>
          <w:bCs/>
          <w:color w:val="auto"/>
          <w:sz w:val="22"/>
          <w:szCs w:val="22"/>
        </w:rPr>
        <w:t>, Leslie M. Hicks</w:t>
      </w:r>
      <w:r>
        <w:rPr>
          <w:rFonts w:ascii="Times New Roman" w:hAnsi="Times New Roman" w:cs="Times New Roman"/>
          <w:b/>
          <w:bCs/>
          <w:color w:val="auto"/>
          <w:sz w:val="22"/>
          <w:szCs w:val="22"/>
          <w:vertAlign w:val="superscript"/>
        </w:rPr>
        <w:t>2</w:t>
      </w:r>
      <w:r>
        <w:rPr>
          <w:rFonts w:ascii="Times New Roman" w:hAnsi="Times New Roman" w:cs="Times New Roman"/>
          <w:b/>
          <w:bCs/>
          <w:color w:val="auto"/>
          <w:sz w:val="22"/>
          <w:szCs w:val="22"/>
        </w:rPr>
        <w:t>, Dukka KC</w:t>
      </w:r>
      <w:r>
        <w:rPr>
          <w:rFonts w:ascii="Times New Roman" w:hAnsi="Times New Roman" w:cs="Times New Roman"/>
          <w:b/>
          <w:bCs/>
          <w:color w:val="auto"/>
          <w:sz w:val="22"/>
          <w:szCs w:val="22"/>
          <w:vertAlign w:val="superscript"/>
        </w:rPr>
        <w:t>5, *</w:t>
      </w:r>
    </w:p>
    <w:p w14:paraId="2A567F08" w14:textId="77777777" w:rsidR="00B64CA9" w:rsidRDefault="00B64CA9" w:rsidP="00ED33BD">
      <w:pPr>
        <w:rPr>
          <w:rFonts w:ascii="Times New Roman" w:hAnsi="Times New Roman" w:cs="Times New Roman"/>
          <w:b/>
          <w:bCs/>
          <w:sz w:val="28"/>
          <w:szCs w:val="28"/>
        </w:rPr>
      </w:pPr>
    </w:p>
    <w:p w14:paraId="55374F5D" w14:textId="1E07BFD1" w:rsidR="00ED33BD" w:rsidRPr="00DF3ADD" w:rsidRDefault="00ED33BD" w:rsidP="00ED33BD">
      <w:pPr>
        <w:rPr>
          <w:rFonts w:ascii="Times New Roman" w:hAnsi="Times New Roman" w:cs="Times New Roman"/>
          <w:b/>
          <w:bCs/>
          <w:sz w:val="28"/>
          <w:szCs w:val="28"/>
        </w:rPr>
      </w:pPr>
      <w:r w:rsidRPr="00DF3ADD">
        <w:rPr>
          <w:rFonts w:ascii="Times New Roman" w:hAnsi="Times New Roman" w:cs="Times New Roman"/>
          <w:b/>
          <w:bCs/>
          <w:sz w:val="28"/>
          <w:szCs w:val="28"/>
        </w:rPr>
        <w:t>Supplementary Materials:</w:t>
      </w:r>
    </w:p>
    <w:p w14:paraId="36D62BE9" w14:textId="77777777" w:rsidR="00ED33BD" w:rsidRDefault="00ED33BD">
      <w:pPr>
        <w:rPr>
          <w:rFonts w:ascii="Times New Roman" w:hAnsi="Times New Roman" w:cs="Times New Roman"/>
          <w:sz w:val="24"/>
          <w:szCs w:val="24"/>
        </w:rPr>
      </w:pPr>
    </w:p>
    <w:p w14:paraId="401917BF" w14:textId="4D57AA59" w:rsidR="00ED33BD" w:rsidRPr="00DF3ADD" w:rsidRDefault="00ED33BD">
      <w:pPr>
        <w:rPr>
          <w:rFonts w:ascii="Times New Roman" w:hAnsi="Times New Roman" w:cs="Times New Roman"/>
          <w:b/>
          <w:bCs/>
        </w:rPr>
      </w:pPr>
      <w:r w:rsidRPr="00DF3ADD">
        <w:rPr>
          <w:rFonts w:ascii="Times New Roman" w:hAnsi="Times New Roman" w:cs="Times New Roman"/>
          <w:b/>
          <w:bCs/>
        </w:rPr>
        <w:t>10-fold cross validation for different windows:</w:t>
      </w:r>
    </w:p>
    <w:p w14:paraId="7C0028D6" w14:textId="77777777" w:rsidR="00ED33BD" w:rsidRPr="00B9689B" w:rsidRDefault="00ED33BD" w:rsidP="00ED33BD">
      <w:pPr>
        <w:ind w:firstLine="720"/>
        <w:jc w:val="both"/>
        <w:rPr>
          <w:rFonts w:ascii="Times New Roman" w:hAnsi="Times New Roman" w:cs="Times New Roman"/>
        </w:rPr>
      </w:pPr>
      <w:r>
        <w:rPr>
          <w:rFonts w:ascii="Times New Roman" w:hAnsi="Times New Roman" w:cs="Times New Roman"/>
        </w:rPr>
        <w:t>We performed 10-fold cross-validation using a base CNN with embedding model on different window sizes ranging from 9 to 61 on the entire dataset. For example, a window size of 61 would have either a S, T, or Y residue in the middle flanked by 30 amino acids on either side. Further windows were not analyzed due to the sheer size of the windows and the corresponding increase in the number of pseudo-residues '-' that was required at higher window sizes.</w:t>
      </w:r>
    </w:p>
    <w:p w14:paraId="2D2B84AB" w14:textId="2E5E9DA2" w:rsidR="00ED33BD" w:rsidRDefault="00ED33BD" w:rsidP="00ED33BD">
      <w:pPr>
        <w:ind w:firstLine="720"/>
        <w:jc w:val="both"/>
        <w:rPr>
          <w:rFonts w:ascii="Times New Roman" w:hAnsi="Times New Roman" w:cs="Times New Roman"/>
        </w:rPr>
      </w:pPr>
      <w:r>
        <w:rPr>
          <w:rFonts w:ascii="Times New Roman" w:hAnsi="Times New Roman" w:cs="Times New Roman"/>
        </w:rPr>
        <w:t>When analyzing the S dataset, the performance of the CNN model increased with increasing window sizes for nearly all performance metrics tested (i.e., sensitivity (SN), ACC, AUC, and MCC) (</w:t>
      </w:r>
      <w:r w:rsidRPr="00A727F0">
        <w:rPr>
          <w:rFonts w:ascii="Times New Roman" w:hAnsi="Times New Roman" w:cs="Times New Roman"/>
          <w:b/>
          <w:bCs/>
        </w:rPr>
        <w:t xml:space="preserve">Table </w:t>
      </w:r>
      <w:r w:rsidR="00813361">
        <w:rPr>
          <w:rFonts w:ascii="Times New Roman" w:hAnsi="Times New Roman" w:cs="Times New Roman"/>
          <w:b/>
          <w:bCs/>
        </w:rPr>
        <w:t>S</w:t>
      </w:r>
      <w:r w:rsidRPr="00A727F0">
        <w:rPr>
          <w:rFonts w:ascii="Times New Roman" w:hAnsi="Times New Roman" w:cs="Times New Roman"/>
          <w:b/>
          <w:bCs/>
        </w:rPr>
        <w:t>1</w:t>
      </w:r>
      <w:r>
        <w:rPr>
          <w:rFonts w:ascii="Times New Roman" w:hAnsi="Times New Roman" w:cs="Times New Roman"/>
        </w:rPr>
        <w:t xml:space="preserve">). The only exception was specificity (SP), which displayed a maximum value at lower window size of 9 as well. The mean values of MCC, AUC, and ACC at this window size were 0.60 ± 0.01, 0.88 ± 0.01, and 0.80 ± 0.01, respectively. Though the highest SN and SP values were also obtained using window size 61 and 9, respectively, the performance using window size 57 was comparable with respect to these metrics, while exhibiting the highest values of MCC, ACC, and AUC. Therefore, window size 57 for S phosphorylation sites was used for further independent testing.  </w:t>
      </w:r>
    </w:p>
    <w:p w14:paraId="60E1F831" w14:textId="3309B5BF" w:rsidR="00686D91" w:rsidRPr="00CA1A81" w:rsidRDefault="00686D91" w:rsidP="00686D91">
      <w:pPr>
        <w:pStyle w:val="Caption"/>
        <w:keepNext/>
        <w:rPr>
          <w:rFonts w:ascii="Times New Roman" w:hAnsi="Times New Roman" w:cs="Times New Roman"/>
          <w:i w:val="0"/>
          <w:iCs w:val="0"/>
          <w:color w:val="000000" w:themeColor="text1"/>
          <w:sz w:val="22"/>
          <w:szCs w:val="22"/>
        </w:rPr>
      </w:pPr>
      <w:r w:rsidRPr="00CA1A81">
        <w:rPr>
          <w:rFonts w:ascii="Times New Roman" w:hAnsi="Times New Roman" w:cs="Times New Roman"/>
          <w:i w:val="0"/>
          <w:iCs w:val="0"/>
          <w:color w:val="000000" w:themeColor="text1"/>
          <w:sz w:val="22"/>
          <w:szCs w:val="22"/>
        </w:rPr>
        <w:t>Table S</w:t>
      </w:r>
      <w:r w:rsidR="00750CB1" w:rsidRPr="00CA1A81">
        <w:rPr>
          <w:rFonts w:ascii="Times New Roman" w:hAnsi="Times New Roman" w:cs="Times New Roman"/>
          <w:i w:val="0"/>
          <w:iCs w:val="0"/>
          <w:color w:val="000000" w:themeColor="text1"/>
          <w:sz w:val="22"/>
          <w:szCs w:val="22"/>
        </w:rPr>
        <w:t>1</w:t>
      </w:r>
      <w:r w:rsidRPr="00CA1A81">
        <w:rPr>
          <w:rFonts w:ascii="Times New Roman" w:hAnsi="Times New Roman" w:cs="Times New Roman"/>
          <w:i w:val="0"/>
          <w:iCs w:val="0"/>
          <w:color w:val="000000" w:themeColor="text1"/>
          <w:sz w:val="22"/>
          <w:szCs w:val="22"/>
        </w:rPr>
        <w:t>. 10-fold cross-validation results for different windows for S sites prediction.</w:t>
      </w:r>
    </w:p>
    <w:tbl>
      <w:tblPr>
        <w:tblW w:w="9326" w:type="dxa"/>
        <w:tblLook w:val="04A0" w:firstRow="1" w:lastRow="0" w:firstColumn="1" w:lastColumn="0" w:noHBand="0" w:noVBand="1"/>
      </w:tblPr>
      <w:tblGrid>
        <w:gridCol w:w="1337"/>
        <w:gridCol w:w="1625"/>
        <w:gridCol w:w="1608"/>
        <w:gridCol w:w="1489"/>
        <w:gridCol w:w="1557"/>
        <w:gridCol w:w="1710"/>
      </w:tblGrid>
      <w:tr w:rsidR="00ED33BD" w:rsidRPr="00D15153" w14:paraId="484A09C6" w14:textId="77777777" w:rsidTr="001D5790">
        <w:trPr>
          <w:trHeight w:val="296"/>
        </w:trPr>
        <w:tc>
          <w:tcPr>
            <w:tcW w:w="13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2B7CCE" w14:textId="77777777" w:rsidR="00ED33BD" w:rsidRPr="00D15153" w:rsidRDefault="00ED33BD" w:rsidP="001D5790">
            <w:pPr>
              <w:spacing w:after="0" w:line="240" w:lineRule="auto"/>
              <w:jc w:val="both"/>
              <w:rPr>
                <w:rFonts w:ascii="Times New Roman" w:eastAsia="Times New Roman" w:hAnsi="Times New Roman" w:cs="Times New Roman"/>
                <w:b/>
                <w:bCs/>
                <w:color w:val="000000"/>
              </w:rPr>
            </w:pPr>
            <w:r w:rsidRPr="00D15153">
              <w:rPr>
                <w:rFonts w:ascii="Times New Roman" w:eastAsia="Times New Roman" w:hAnsi="Times New Roman" w:cs="Times New Roman"/>
                <w:b/>
                <w:bCs/>
                <w:color w:val="000000"/>
              </w:rPr>
              <w:t>Window Size</w:t>
            </w:r>
          </w:p>
        </w:tc>
        <w:tc>
          <w:tcPr>
            <w:tcW w:w="1625" w:type="dxa"/>
            <w:tcBorders>
              <w:top w:val="single" w:sz="4" w:space="0" w:color="auto"/>
              <w:left w:val="nil"/>
              <w:bottom w:val="single" w:sz="4" w:space="0" w:color="auto"/>
              <w:right w:val="single" w:sz="4" w:space="0" w:color="auto"/>
            </w:tcBorders>
            <w:shd w:val="clear" w:color="auto" w:fill="auto"/>
            <w:vAlign w:val="center"/>
            <w:hideMark/>
          </w:tcPr>
          <w:p w14:paraId="485FBDC8" w14:textId="77777777" w:rsidR="00ED33BD" w:rsidRPr="00D15153" w:rsidRDefault="00ED33BD" w:rsidP="001D5790">
            <w:pPr>
              <w:spacing w:after="0" w:line="240" w:lineRule="auto"/>
              <w:jc w:val="both"/>
              <w:rPr>
                <w:rFonts w:ascii="Times New Roman" w:eastAsia="Times New Roman" w:hAnsi="Times New Roman" w:cs="Times New Roman"/>
                <w:b/>
                <w:bCs/>
                <w:color w:val="000000"/>
              </w:rPr>
            </w:pPr>
            <w:r w:rsidRPr="00D15153">
              <w:rPr>
                <w:rFonts w:ascii="Times New Roman" w:eastAsia="Times New Roman" w:hAnsi="Times New Roman" w:cs="Times New Roman"/>
                <w:b/>
                <w:bCs/>
                <w:color w:val="000000"/>
              </w:rPr>
              <w:t>SN</w:t>
            </w:r>
          </w:p>
        </w:tc>
        <w:tc>
          <w:tcPr>
            <w:tcW w:w="1608" w:type="dxa"/>
            <w:tcBorders>
              <w:top w:val="single" w:sz="4" w:space="0" w:color="auto"/>
              <w:left w:val="nil"/>
              <w:bottom w:val="single" w:sz="4" w:space="0" w:color="auto"/>
              <w:right w:val="single" w:sz="4" w:space="0" w:color="auto"/>
            </w:tcBorders>
            <w:shd w:val="clear" w:color="auto" w:fill="auto"/>
            <w:vAlign w:val="center"/>
            <w:hideMark/>
          </w:tcPr>
          <w:p w14:paraId="1C007E6C" w14:textId="77777777" w:rsidR="00ED33BD" w:rsidRPr="00D15153" w:rsidRDefault="00ED33BD" w:rsidP="001D5790">
            <w:pPr>
              <w:spacing w:after="0" w:line="240" w:lineRule="auto"/>
              <w:jc w:val="both"/>
              <w:rPr>
                <w:rFonts w:ascii="Times New Roman" w:eastAsia="Times New Roman" w:hAnsi="Times New Roman" w:cs="Times New Roman"/>
                <w:b/>
                <w:bCs/>
                <w:color w:val="000000"/>
              </w:rPr>
            </w:pPr>
            <w:r w:rsidRPr="00D15153">
              <w:rPr>
                <w:rFonts w:ascii="Times New Roman" w:eastAsia="Times New Roman" w:hAnsi="Times New Roman" w:cs="Times New Roman"/>
                <w:b/>
                <w:bCs/>
                <w:color w:val="000000"/>
              </w:rPr>
              <w:t xml:space="preserve"> SP</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14:paraId="59FEA3C3" w14:textId="77777777" w:rsidR="00ED33BD" w:rsidRPr="00D15153" w:rsidRDefault="00ED33BD" w:rsidP="001D5790">
            <w:pPr>
              <w:spacing w:after="0" w:line="240" w:lineRule="auto"/>
              <w:jc w:val="both"/>
              <w:rPr>
                <w:rFonts w:ascii="Times New Roman" w:eastAsia="Times New Roman" w:hAnsi="Times New Roman" w:cs="Times New Roman"/>
                <w:b/>
                <w:bCs/>
                <w:color w:val="000000"/>
              </w:rPr>
            </w:pPr>
            <w:r w:rsidRPr="00D15153">
              <w:rPr>
                <w:rFonts w:ascii="Times New Roman" w:eastAsia="Times New Roman" w:hAnsi="Times New Roman" w:cs="Times New Roman"/>
                <w:b/>
                <w:bCs/>
                <w:color w:val="000000"/>
              </w:rPr>
              <w:t>ACC</w:t>
            </w:r>
          </w:p>
        </w:tc>
        <w:tc>
          <w:tcPr>
            <w:tcW w:w="1557" w:type="dxa"/>
            <w:tcBorders>
              <w:top w:val="single" w:sz="4" w:space="0" w:color="auto"/>
              <w:left w:val="nil"/>
              <w:bottom w:val="single" w:sz="4" w:space="0" w:color="auto"/>
              <w:right w:val="single" w:sz="4" w:space="0" w:color="auto"/>
            </w:tcBorders>
            <w:shd w:val="clear" w:color="auto" w:fill="auto"/>
            <w:vAlign w:val="center"/>
            <w:hideMark/>
          </w:tcPr>
          <w:p w14:paraId="18DD6854" w14:textId="77777777" w:rsidR="00ED33BD" w:rsidRPr="00D15153" w:rsidRDefault="00ED33BD" w:rsidP="001D5790">
            <w:pPr>
              <w:spacing w:after="0" w:line="240" w:lineRule="auto"/>
              <w:jc w:val="both"/>
              <w:rPr>
                <w:rFonts w:ascii="Times New Roman" w:eastAsia="Times New Roman" w:hAnsi="Times New Roman" w:cs="Times New Roman"/>
                <w:b/>
                <w:bCs/>
                <w:color w:val="000000"/>
              </w:rPr>
            </w:pPr>
            <w:r w:rsidRPr="00D15153">
              <w:rPr>
                <w:rFonts w:ascii="Times New Roman" w:eastAsia="Times New Roman" w:hAnsi="Times New Roman" w:cs="Times New Roman"/>
                <w:b/>
                <w:bCs/>
                <w:color w:val="000000"/>
              </w:rPr>
              <w:t>AUC</w:t>
            </w:r>
          </w:p>
        </w:tc>
        <w:tc>
          <w:tcPr>
            <w:tcW w:w="1710" w:type="dxa"/>
            <w:tcBorders>
              <w:top w:val="single" w:sz="4" w:space="0" w:color="auto"/>
              <w:left w:val="nil"/>
              <w:bottom w:val="single" w:sz="4" w:space="0" w:color="auto"/>
              <w:right w:val="single" w:sz="4" w:space="0" w:color="auto"/>
            </w:tcBorders>
            <w:shd w:val="clear" w:color="auto" w:fill="auto"/>
            <w:vAlign w:val="center"/>
            <w:hideMark/>
          </w:tcPr>
          <w:p w14:paraId="00F814FE" w14:textId="77777777" w:rsidR="00ED33BD" w:rsidRPr="00D15153" w:rsidRDefault="00ED33BD" w:rsidP="001D5790">
            <w:pPr>
              <w:spacing w:after="0" w:line="240" w:lineRule="auto"/>
              <w:jc w:val="both"/>
              <w:rPr>
                <w:rFonts w:ascii="Times New Roman" w:eastAsia="Times New Roman" w:hAnsi="Times New Roman" w:cs="Times New Roman"/>
                <w:b/>
                <w:bCs/>
                <w:color w:val="000000"/>
              </w:rPr>
            </w:pPr>
            <w:r w:rsidRPr="00D15153">
              <w:rPr>
                <w:rFonts w:ascii="Times New Roman" w:eastAsia="Times New Roman" w:hAnsi="Times New Roman" w:cs="Times New Roman"/>
                <w:b/>
                <w:bCs/>
                <w:color w:val="000000"/>
              </w:rPr>
              <w:t>MCC</w:t>
            </w:r>
          </w:p>
        </w:tc>
      </w:tr>
      <w:tr w:rsidR="00ED33BD" w:rsidRPr="00D15153" w14:paraId="702C49C3" w14:textId="77777777" w:rsidTr="001D5790">
        <w:trPr>
          <w:trHeight w:val="296"/>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5B65BEEE"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61</w:t>
            </w:r>
          </w:p>
        </w:tc>
        <w:tc>
          <w:tcPr>
            <w:tcW w:w="1625" w:type="dxa"/>
            <w:tcBorders>
              <w:top w:val="nil"/>
              <w:left w:val="nil"/>
              <w:bottom w:val="single" w:sz="4" w:space="0" w:color="auto"/>
              <w:right w:val="single" w:sz="4" w:space="0" w:color="auto"/>
            </w:tcBorders>
            <w:shd w:val="clear" w:color="auto" w:fill="auto"/>
            <w:vAlign w:val="center"/>
            <w:hideMark/>
          </w:tcPr>
          <w:p w14:paraId="695A9922"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0.90 ± 0.01</w:t>
            </w:r>
          </w:p>
        </w:tc>
        <w:tc>
          <w:tcPr>
            <w:tcW w:w="1608" w:type="dxa"/>
            <w:tcBorders>
              <w:top w:val="nil"/>
              <w:left w:val="nil"/>
              <w:bottom w:val="single" w:sz="4" w:space="0" w:color="auto"/>
              <w:right w:val="single" w:sz="4" w:space="0" w:color="auto"/>
            </w:tcBorders>
            <w:shd w:val="clear" w:color="auto" w:fill="auto"/>
            <w:vAlign w:val="center"/>
            <w:hideMark/>
          </w:tcPr>
          <w:p w14:paraId="53B1A409"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0.68 ± 0.01</w:t>
            </w:r>
          </w:p>
        </w:tc>
        <w:tc>
          <w:tcPr>
            <w:tcW w:w="1489" w:type="dxa"/>
            <w:tcBorders>
              <w:top w:val="nil"/>
              <w:left w:val="nil"/>
              <w:bottom w:val="single" w:sz="4" w:space="0" w:color="auto"/>
              <w:right w:val="single" w:sz="4" w:space="0" w:color="auto"/>
            </w:tcBorders>
            <w:shd w:val="clear" w:color="auto" w:fill="auto"/>
            <w:vAlign w:val="center"/>
            <w:hideMark/>
          </w:tcPr>
          <w:p w14:paraId="60EEE2AE"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0.79 ± 0.01</w:t>
            </w:r>
          </w:p>
        </w:tc>
        <w:tc>
          <w:tcPr>
            <w:tcW w:w="1557" w:type="dxa"/>
            <w:tcBorders>
              <w:top w:val="nil"/>
              <w:left w:val="nil"/>
              <w:bottom w:val="single" w:sz="4" w:space="0" w:color="auto"/>
              <w:right w:val="single" w:sz="4" w:space="0" w:color="auto"/>
            </w:tcBorders>
            <w:shd w:val="clear" w:color="auto" w:fill="auto"/>
            <w:vAlign w:val="center"/>
            <w:hideMark/>
          </w:tcPr>
          <w:p w14:paraId="477B1F40"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0.88 ± 0.01</w:t>
            </w:r>
          </w:p>
        </w:tc>
        <w:tc>
          <w:tcPr>
            <w:tcW w:w="1710" w:type="dxa"/>
            <w:tcBorders>
              <w:top w:val="nil"/>
              <w:left w:val="nil"/>
              <w:bottom w:val="single" w:sz="4" w:space="0" w:color="auto"/>
              <w:right w:val="single" w:sz="4" w:space="0" w:color="auto"/>
            </w:tcBorders>
            <w:shd w:val="clear" w:color="auto" w:fill="auto"/>
            <w:vAlign w:val="center"/>
            <w:hideMark/>
          </w:tcPr>
          <w:p w14:paraId="596AC59F"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0.60 ± 0.02</w:t>
            </w:r>
          </w:p>
        </w:tc>
      </w:tr>
      <w:tr w:rsidR="00ED33BD" w:rsidRPr="00D15153" w14:paraId="2E55E623" w14:textId="77777777" w:rsidTr="001D5790">
        <w:trPr>
          <w:trHeight w:val="296"/>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6E16B858"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57</w:t>
            </w:r>
          </w:p>
        </w:tc>
        <w:tc>
          <w:tcPr>
            <w:tcW w:w="1625" w:type="dxa"/>
            <w:tcBorders>
              <w:top w:val="nil"/>
              <w:left w:val="nil"/>
              <w:bottom w:val="single" w:sz="4" w:space="0" w:color="auto"/>
              <w:right w:val="single" w:sz="4" w:space="0" w:color="auto"/>
            </w:tcBorders>
            <w:shd w:val="clear" w:color="auto" w:fill="auto"/>
            <w:vAlign w:val="center"/>
            <w:hideMark/>
          </w:tcPr>
          <w:p w14:paraId="78AB0792"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0.88 ± 0.03</w:t>
            </w:r>
          </w:p>
        </w:tc>
        <w:tc>
          <w:tcPr>
            <w:tcW w:w="1608" w:type="dxa"/>
            <w:tcBorders>
              <w:top w:val="nil"/>
              <w:left w:val="nil"/>
              <w:bottom w:val="single" w:sz="4" w:space="0" w:color="auto"/>
              <w:right w:val="single" w:sz="4" w:space="0" w:color="auto"/>
            </w:tcBorders>
            <w:shd w:val="clear" w:color="auto" w:fill="auto"/>
            <w:vAlign w:val="center"/>
            <w:hideMark/>
          </w:tcPr>
          <w:p w14:paraId="544E52C4"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0.71 ± 0.03</w:t>
            </w:r>
          </w:p>
        </w:tc>
        <w:tc>
          <w:tcPr>
            <w:tcW w:w="1489" w:type="dxa"/>
            <w:tcBorders>
              <w:top w:val="nil"/>
              <w:left w:val="nil"/>
              <w:bottom w:val="single" w:sz="4" w:space="0" w:color="auto"/>
              <w:right w:val="single" w:sz="4" w:space="0" w:color="auto"/>
            </w:tcBorders>
            <w:shd w:val="clear" w:color="auto" w:fill="auto"/>
            <w:vAlign w:val="center"/>
            <w:hideMark/>
          </w:tcPr>
          <w:p w14:paraId="5BCA043D"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0.80 ± 0.01</w:t>
            </w:r>
          </w:p>
        </w:tc>
        <w:tc>
          <w:tcPr>
            <w:tcW w:w="1557" w:type="dxa"/>
            <w:tcBorders>
              <w:top w:val="nil"/>
              <w:left w:val="nil"/>
              <w:bottom w:val="single" w:sz="4" w:space="0" w:color="auto"/>
              <w:right w:val="single" w:sz="4" w:space="0" w:color="auto"/>
            </w:tcBorders>
            <w:shd w:val="clear" w:color="auto" w:fill="auto"/>
            <w:vAlign w:val="center"/>
            <w:hideMark/>
          </w:tcPr>
          <w:p w14:paraId="70118C99"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0.88 ± 0.01</w:t>
            </w:r>
          </w:p>
        </w:tc>
        <w:tc>
          <w:tcPr>
            <w:tcW w:w="1710" w:type="dxa"/>
            <w:tcBorders>
              <w:top w:val="nil"/>
              <w:left w:val="nil"/>
              <w:bottom w:val="single" w:sz="4" w:space="0" w:color="auto"/>
              <w:right w:val="single" w:sz="4" w:space="0" w:color="auto"/>
            </w:tcBorders>
            <w:shd w:val="clear" w:color="auto" w:fill="auto"/>
            <w:vAlign w:val="center"/>
            <w:hideMark/>
          </w:tcPr>
          <w:p w14:paraId="6C4BADC2"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0.60 ± 0.01</w:t>
            </w:r>
          </w:p>
        </w:tc>
      </w:tr>
      <w:tr w:rsidR="00ED33BD" w:rsidRPr="00D15153" w14:paraId="66B4F4F5" w14:textId="77777777" w:rsidTr="001D5790">
        <w:trPr>
          <w:trHeight w:val="296"/>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306A8D87"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53</w:t>
            </w:r>
          </w:p>
        </w:tc>
        <w:tc>
          <w:tcPr>
            <w:tcW w:w="1625" w:type="dxa"/>
            <w:tcBorders>
              <w:top w:val="nil"/>
              <w:left w:val="nil"/>
              <w:bottom w:val="single" w:sz="4" w:space="0" w:color="auto"/>
              <w:right w:val="single" w:sz="4" w:space="0" w:color="auto"/>
            </w:tcBorders>
            <w:shd w:val="clear" w:color="auto" w:fill="auto"/>
            <w:vAlign w:val="center"/>
            <w:hideMark/>
          </w:tcPr>
          <w:p w14:paraId="02C45275"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0.88 ± 0.03</w:t>
            </w:r>
          </w:p>
        </w:tc>
        <w:tc>
          <w:tcPr>
            <w:tcW w:w="1608" w:type="dxa"/>
            <w:tcBorders>
              <w:top w:val="nil"/>
              <w:left w:val="nil"/>
              <w:bottom w:val="single" w:sz="4" w:space="0" w:color="auto"/>
              <w:right w:val="single" w:sz="4" w:space="0" w:color="auto"/>
            </w:tcBorders>
            <w:shd w:val="clear" w:color="auto" w:fill="auto"/>
            <w:vAlign w:val="center"/>
            <w:hideMark/>
          </w:tcPr>
          <w:p w14:paraId="409C00E3"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0.70 ± 0.04</w:t>
            </w:r>
          </w:p>
        </w:tc>
        <w:tc>
          <w:tcPr>
            <w:tcW w:w="1489" w:type="dxa"/>
            <w:tcBorders>
              <w:top w:val="nil"/>
              <w:left w:val="nil"/>
              <w:bottom w:val="single" w:sz="4" w:space="0" w:color="auto"/>
              <w:right w:val="single" w:sz="4" w:space="0" w:color="auto"/>
            </w:tcBorders>
            <w:shd w:val="clear" w:color="auto" w:fill="auto"/>
            <w:vAlign w:val="center"/>
            <w:hideMark/>
          </w:tcPr>
          <w:p w14:paraId="3BDAC8A7"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0.79 ± 0.01</w:t>
            </w:r>
          </w:p>
        </w:tc>
        <w:tc>
          <w:tcPr>
            <w:tcW w:w="1557" w:type="dxa"/>
            <w:tcBorders>
              <w:top w:val="nil"/>
              <w:left w:val="nil"/>
              <w:bottom w:val="single" w:sz="4" w:space="0" w:color="auto"/>
              <w:right w:val="single" w:sz="4" w:space="0" w:color="auto"/>
            </w:tcBorders>
            <w:shd w:val="clear" w:color="auto" w:fill="auto"/>
            <w:vAlign w:val="center"/>
            <w:hideMark/>
          </w:tcPr>
          <w:p w14:paraId="53508463"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0.87 ± 0.01</w:t>
            </w:r>
          </w:p>
        </w:tc>
        <w:tc>
          <w:tcPr>
            <w:tcW w:w="1710" w:type="dxa"/>
            <w:tcBorders>
              <w:top w:val="nil"/>
              <w:left w:val="nil"/>
              <w:bottom w:val="single" w:sz="4" w:space="0" w:color="auto"/>
              <w:right w:val="single" w:sz="4" w:space="0" w:color="auto"/>
            </w:tcBorders>
            <w:shd w:val="clear" w:color="auto" w:fill="auto"/>
            <w:vAlign w:val="center"/>
            <w:hideMark/>
          </w:tcPr>
          <w:p w14:paraId="52F39C03"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0.59 ± 0.01</w:t>
            </w:r>
          </w:p>
        </w:tc>
      </w:tr>
      <w:tr w:rsidR="00ED33BD" w:rsidRPr="00D15153" w14:paraId="2A5B3E02" w14:textId="77777777" w:rsidTr="001D5790">
        <w:trPr>
          <w:trHeight w:val="296"/>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47263AFD"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49</w:t>
            </w:r>
          </w:p>
        </w:tc>
        <w:tc>
          <w:tcPr>
            <w:tcW w:w="1625" w:type="dxa"/>
            <w:tcBorders>
              <w:top w:val="nil"/>
              <w:left w:val="nil"/>
              <w:bottom w:val="single" w:sz="4" w:space="0" w:color="auto"/>
              <w:right w:val="single" w:sz="4" w:space="0" w:color="auto"/>
            </w:tcBorders>
            <w:shd w:val="clear" w:color="auto" w:fill="auto"/>
            <w:vAlign w:val="center"/>
            <w:hideMark/>
          </w:tcPr>
          <w:p w14:paraId="20B1C98A"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0.87 ± 0.03</w:t>
            </w:r>
          </w:p>
        </w:tc>
        <w:tc>
          <w:tcPr>
            <w:tcW w:w="1608" w:type="dxa"/>
            <w:tcBorders>
              <w:top w:val="nil"/>
              <w:left w:val="nil"/>
              <w:bottom w:val="single" w:sz="4" w:space="0" w:color="auto"/>
              <w:right w:val="single" w:sz="4" w:space="0" w:color="auto"/>
            </w:tcBorders>
            <w:shd w:val="clear" w:color="auto" w:fill="auto"/>
            <w:vAlign w:val="center"/>
            <w:hideMark/>
          </w:tcPr>
          <w:p w14:paraId="5F8D6D80"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0.71 ± 0.03</w:t>
            </w:r>
          </w:p>
        </w:tc>
        <w:tc>
          <w:tcPr>
            <w:tcW w:w="1489" w:type="dxa"/>
            <w:tcBorders>
              <w:top w:val="nil"/>
              <w:left w:val="nil"/>
              <w:bottom w:val="single" w:sz="4" w:space="0" w:color="auto"/>
              <w:right w:val="single" w:sz="4" w:space="0" w:color="auto"/>
            </w:tcBorders>
            <w:shd w:val="clear" w:color="auto" w:fill="auto"/>
            <w:vAlign w:val="center"/>
            <w:hideMark/>
          </w:tcPr>
          <w:p w14:paraId="4FAEB472"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0.79 ± 0.01</w:t>
            </w:r>
          </w:p>
        </w:tc>
        <w:tc>
          <w:tcPr>
            <w:tcW w:w="1557" w:type="dxa"/>
            <w:tcBorders>
              <w:top w:val="nil"/>
              <w:left w:val="nil"/>
              <w:bottom w:val="single" w:sz="4" w:space="0" w:color="auto"/>
              <w:right w:val="single" w:sz="4" w:space="0" w:color="auto"/>
            </w:tcBorders>
            <w:shd w:val="clear" w:color="auto" w:fill="auto"/>
            <w:vAlign w:val="center"/>
            <w:hideMark/>
          </w:tcPr>
          <w:p w14:paraId="7C4D574C"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0.87 ± 0.01</w:t>
            </w:r>
          </w:p>
        </w:tc>
        <w:tc>
          <w:tcPr>
            <w:tcW w:w="1710" w:type="dxa"/>
            <w:tcBorders>
              <w:top w:val="nil"/>
              <w:left w:val="nil"/>
              <w:bottom w:val="single" w:sz="4" w:space="0" w:color="auto"/>
              <w:right w:val="single" w:sz="4" w:space="0" w:color="auto"/>
            </w:tcBorders>
            <w:shd w:val="clear" w:color="auto" w:fill="auto"/>
            <w:vAlign w:val="center"/>
            <w:hideMark/>
          </w:tcPr>
          <w:p w14:paraId="3E1AEF4D"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0.59 ± 0.01</w:t>
            </w:r>
          </w:p>
        </w:tc>
      </w:tr>
      <w:tr w:rsidR="00ED33BD" w:rsidRPr="00D15153" w14:paraId="5736B516" w14:textId="77777777" w:rsidTr="001D5790">
        <w:trPr>
          <w:trHeight w:val="296"/>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09668ED3"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45</w:t>
            </w:r>
          </w:p>
        </w:tc>
        <w:tc>
          <w:tcPr>
            <w:tcW w:w="1625" w:type="dxa"/>
            <w:tcBorders>
              <w:top w:val="nil"/>
              <w:left w:val="nil"/>
              <w:bottom w:val="single" w:sz="4" w:space="0" w:color="auto"/>
              <w:right w:val="single" w:sz="4" w:space="0" w:color="auto"/>
            </w:tcBorders>
            <w:shd w:val="clear" w:color="auto" w:fill="auto"/>
            <w:vAlign w:val="center"/>
            <w:hideMark/>
          </w:tcPr>
          <w:p w14:paraId="3E81DBB1"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0.88 ± 0.01</w:t>
            </w:r>
          </w:p>
        </w:tc>
        <w:tc>
          <w:tcPr>
            <w:tcW w:w="1608" w:type="dxa"/>
            <w:tcBorders>
              <w:top w:val="nil"/>
              <w:left w:val="nil"/>
              <w:bottom w:val="single" w:sz="4" w:space="0" w:color="auto"/>
              <w:right w:val="single" w:sz="4" w:space="0" w:color="auto"/>
            </w:tcBorders>
            <w:shd w:val="clear" w:color="auto" w:fill="auto"/>
            <w:vAlign w:val="center"/>
            <w:hideMark/>
          </w:tcPr>
          <w:p w14:paraId="16D5E122"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0.70 ± 0.02</w:t>
            </w:r>
          </w:p>
        </w:tc>
        <w:tc>
          <w:tcPr>
            <w:tcW w:w="1489" w:type="dxa"/>
            <w:tcBorders>
              <w:top w:val="nil"/>
              <w:left w:val="nil"/>
              <w:bottom w:val="single" w:sz="4" w:space="0" w:color="auto"/>
              <w:right w:val="single" w:sz="4" w:space="0" w:color="auto"/>
            </w:tcBorders>
            <w:shd w:val="clear" w:color="auto" w:fill="auto"/>
            <w:vAlign w:val="center"/>
            <w:hideMark/>
          </w:tcPr>
          <w:p w14:paraId="262A81F0"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0.79 ± 0.01</w:t>
            </w:r>
          </w:p>
        </w:tc>
        <w:tc>
          <w:tcPr>
            <w:tcW w:w="1557" w:type="dxa"/>
            <w:tcBorders>
              <w:top w:val="nil"/>
              <w:left w:val="nil"/>
              <w:bottom w:val="single" w:sz="4" w:space="0" w:color="auto"/>
              <w:right w:val="single" w:sz="4" w:space="0" w:color="auto"/>
            </w:tcBorders>
            <w:shd w:val="clear" w:color="auto" w:fill="auto"/>
            <w:vAlign w:val="center"/>
            <w:hideMark/>
          </w:tcPr>
          <w:p w14:paraId="47C78A96"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0.87 ± 0.01</w:t>
            </w:r>
          </w:p>
        </w:tc>
        <w:tc>
          <w:tcPr>
            <w:tcW w:w="1710" w:type="dxa"/>
            <w:tcBorders>
              <w:top w:val="nil"/>
              <w:left w:val="nil"/>
              <w:bottom w:val="single" w:sz="4" w:space="0" w:color="auto"/>
              <w:right w:val="single" w:sz="4" w:space="0" w:color="auto"/>
            </w:tcBorders>
            <w:shd w:val="clear" w:color="auto" w:fill="auto"/>
            <w:vAlign w:val="center"/>
            <w:hideMark/>
          </w:tcPr>
          <w:p w14:paraId="4D1C7163"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0.59 ± 0.01</w:t>
            </w:r>
          </w:p>
        </w:tc>
      </w:tr>
      <w:tr w:rsidR="00ED33BD" w:rsidRPr="00D15153" w14:paraId="1762B717" w14:textId="77777777" w:rsidTr="001D5790">
        <w:trPr>
          <w:trHeight w:val="296"/>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68CDE9D4"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33</w:t>
            </w:r>
          </w:p>
        </w:tc>
        <w:tc>
          <w:tcPr>
            <w:tcW w:w="1625" w:type="dxa"/>
            <w:tcBorders>
              <w:top w:val="nil"/>
              <w:left w:val="nil"/>
              <w:bottom w:val="single" w:sz="4" w:space="0" w:color="auto"/>
              <w:right w:val="single" w:sz="4" w:space="0" w:color="auto"/>
            </w:tcBorders>
            <w:shd w:val="clear" w:color="auto" w:fill="auto"/>
            <w:vAlign w:val="center"/>
            <w:hideMark/>
          </w:tcPr>
          <w:p w14:paraId="3E9045E1"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0.85 ± 0.03</w:t>
            </w:r>
          </w:p>
        </w:tc>
        <w:tc>
          <w:tcPr>
            <w:tcW w:w="1608" w:type="dxa"/>
            <w:tcBorders>
              <w:top w:val="nil"/>
              <w:left w:val="nil"/>
              <w:bottom w:val="single" w:sz="4" w:space="0" w:color="auto"/>
              <w:right w:val="single" w:sz="4" w:space="0" w:color="auto"/>
            </w:tcBorders>
            <w:shd w:val="clear" w:color="auto" w:fill="auto"/>
            <w:vAlign w:val="center"/>
            <w:hideMark/>
          </w:tcPr>
          <w:p w14:paraId="3FD596BD"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0.70 ± 0.03</w:t>
            </w:r>
          </w:p>
        </w:tc>
        <w:tc>
          <w:tcPr>
            <w:tcW w:w="1489" w:type="dxa"/>
            <w:tcBorders>
              <w:top w:val="nil"/>
              <w:left w:val="nil"/>
              <w:bottom w:val="single" w:sz="4" w:space="0" w:color="auto"/>
              <w:right w:val="single" w:sz="4" w:space="0" w:color="auto"/>
            </w:tcBorders>
            <w:shd w:val="clear" w:color="auto" w:fill="auto"/>
            <w:vAlign w:val="center"/>
            <w:hideMark/>
          </w:tcPr>
          <w:p w14:paraId="0004ADE0"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0.78 ± 0.01</w:t>
            </w:r>
          </w:p>
        </w:tc>
        <w:tc>
          <w:tcPr>
            <w:tcW w:w="1557" w:type="dxa"/>
            <w:tcBorders>
              <w:top w:val="nil"/>
              <w:left w:val="nil"/>
              <w:bottom w:val="single" w:sz="4" w:space="0" w:color="auto"/>
              <w:right w:val="single" w:sz="4" w:space="0" w:color="auto"/>
            </w:tcBorders>
            <w:shd w:val="clear" w:color="auto" w:fill="auto"/>
            <w:vAlign w:val="center"/>
            <w:hideMark/>
          </w:tcPr>
          <w:p w14:paraId="4E8F1C5A"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0.86 ± 0.01</w:t>
            </w:r>
          </w:p>
        </w:tc>
        <w:tc>
          <w:tcPr>
            <w:tcW w:w="1710" w:type="dxa"/>
            <w:tcBorders>
              <w:top w:val="nil"/>
              <w:left w:val="nil"/>
              <w:bottom w:val="single" w:sz="4" w:space="0" w:color="auto"/>
              <w:right w:val="single" w:sz="4" w:space="0" w:color="auto"/>
            </w:tcBorders>
            <w:shd w:val="clear" w:color="auto" w:fill="auto"/>
            <w:vAlign w:val="center"/>
            <w:hideMark/>
          </w:tcPr>
          <w:p w14:paraId="633F8874"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0.56 ± 0.01</w:t>
            </w:r>
          </w:p>
        </w:tc>
      </w:tr>
      <w:tr w:rsidR="00ED33BD" w:rsidRPr="00D15153" w14:paraId="2ABF5563" w14:textId="77777777" w:rsidTr="001D5790">
        <w:trPr>
          <w:trHeight w:val="296"/>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4116A4E1"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21</w:t>
            </w:r>
          </w:p>
        </w:tc>
        <w:tc>
          <w:tcPr>
            <w:tcW w:w="1625" w:type="dxa"/>
            <w:tcBorders>
              <w:top w:val="nil"/>
              <w:left w:val="nil"/>
              <w:bottom w:val="single" w:sz="4" w:space="0" w:color="auto"/>
              <w:right w:val="single" w:sz="4" w:space="0" w:color="auto"/>
            </w:tcBorders>
            <w:shd w:val="clear" w:color="auto" w:fill="auto"/>
            <w:vAlign w:val="center"/>
            <w:hideMark/>
          </w:tcPr>
          <w:p w14:paraId="1CC01612"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0.82 ± 0.02</w:t>
            </w:r>
          </w:p>
        </w:tc>
        <w:tc>
          <w:tcPr>
            <w:tcW w:w="1608" w:type="dxa"/>
            <w:tcBorders>
              <w:top w:val="nil"/>
              <w:left w:val="nil"/>
              <w:bottom w:val="single" w:sz="4" w:space="0" w:color="auto"/>
              <w:right w:val="single" w:sz="4" w:space="0" w:color="auto"/>
            </w:tcBorders>
            <w:shd w:val="clear" w:color="auto" w:fill="auto"/>
            <w:vAlign w:val="center"/>
            <w:hideMark/>
          </w:tcPr>
          <w:p w14:paraId="101B6B36"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0.69 ± 0.03</w:t>
            </w:r>
          </w:p>
        </w:tc>
        <w:tc>
          <w:tcPr>
            <w:tcW w:w="1489" w:type="dxa"/>
            <w:tcBorders>
              <w:top w:val="nil"/>
              <w:left w:val="nil"/>
              <w:bottom w:val="single" w:sz="4" w:space="0" w:color="auto"/>
              <w:right w:val="single" w:sz="4" w:space="0" w:color="auto"/>
            </w:tcBorders>
            <w:shd w:val="clear" w:color="auto" w:fill="auto"/>
            <w:vAlign w:val="center"/>
            <w:hideMark/>
          </w:tcPr>
          <w:p w14:paraId="06ECB2B7"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0.76 ± 0.01</w:t>
            </w:r>
          </w:p>
        </w:tc>
        <w:tc>
          <w:tcPr>
            <w:tcW w:w="1557" w:type="dxa"/>
            <w:tcBorders>
              <w:top w:val="nil"/>
              <w:left w:val="nil"/>
              <w:bottom w:val="single" w:sz="4" w:space="0" w:color="auto"/>
              <w:right w:val="single" w:sz="4" w:space="0" w:color="auto"/>
            </w:tcBorders>
            <w:shd w:val="clear" w:color="auto" w:fill="auto"/>
            <w:noWrap/>
            <w:vAlign w:val="center"/>
            <w:hideMark/>
          </w:tcPr>
          <w:p w14:paraId="4190BD85" w14:textId="77777777" w:rsidR="00ED33BD" w:rsidRPr="00D15153" w:rsidRDefault="00ED33BD" w:rsidP="001D5790">
            <w:pPr>
              <w:spacing w:after="0" w:line="240" w:lineRule="auto"/>
              <w:jc w:val="both"/>
              <w:rPr>
                <w:rFonts w:ascii="Times New Roman" w:eastAsia="Times New Roman" w:hAnsi="Times New Roman" w:cs="Times New Roman"/>
              </w:rPr>
            </w:pPr>
            <w:r w:rsidRPr="00D15153">
              <w:rPr>
                <w:rFonts w:ascii="Times New Roman" w:eastAsia="Times New Roman" w:hAnsi="Times New Roman" w:cs="Times New Roman"/>
              </w:rPr>
              <w:t>0.83 ± 0.01</w:t>
            </w:r>
          </w:p>
        </w:tc>
        <w:tc>
          <w:tcPr>
            <w:tcW w:w="1710" w:type="dxa"/>
            <w:tcBorders>
              <w:top w:val="nil"/>
              <w:left w:val="nil"/>
              <w:bottom w:val="single" w:sz="4" w:space="0" w:color="auto"/>
              <w:right w:val="single" w:sz="4" w:space="0" w:color="auto"/>
            </w:tcBorders>
            <w:shd w:val="clear" w:color="auto" w:fill="auto"/>
            <w:noWrap/>
            <w:vAlign w:val="center"/>
            <w:hideMark/>
          </w:tcPr>
          <w:p w14:paraId="68C36324"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0.52 ± 0.01</w:t>
            </w:r>
          </w:p>
        </w:tc>
      </w:tr>
      <w:tr w:rsidR="00ED33BD" w:rsidRPr="00D15153" w14:paraId="09C13C6E" w14:textId="77777777" w:rsidTr="001D5790">
        <w:trPr>
          <w:trHeight w:val="296"/>
        </w:trPr>
        <w:tc>
          <w:tcPr>
            <w:tcW w:w="1337" w:type="dxa"/>
            <w:tcBorders>
              <w:top w:val="nil"/>
              <w:left w:val="single" w:sz="4" w:space="0" w:color="auto"/>
              <w:bottom w:val="single" w:sz="4" w:space="0" w:color="auto"/>
              <w:right w:val="single" w:sz="4" w:space="0" w:color="auto"/>
            </w:tcBorders>
            <w:shd w:val="clear" w:color="auto" w:fill="auto"/>
            <w:vAlign w:val="center"/>
            <w:hideMark/>
          </w:tcPr>
          <w:p w14:paraId="093B93BB"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9</w:t>
            </w:r>
          </w:p>
        </w:tc>
        <w:tc>
          <w:tcPr>
            <w:tcW w:w="1625" w:type="dxa"/>
            <w:tcBorders>
              <w:top w:val="nil"/>
              <w:left w:val="nil"/>
              <w:bottom w:val="single" w:sz="4" w:space="0" w:color="auto"/>
              <w:right w:val="single" w:sz="4" w:space="0" w:color="auto"/>
            </w:tcBorders>
            <w:shd w:val="clear" w:color="auto" w:fill="auto"/>
            <w:vAlign w:val="center"/>
            <w:hideMark/>
          </w:tcPr>
          <w:p w14:paraId="4D9F1B77"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0.69 ± 0.02</w:t>
            </w:r>
          </w:p>
        </w:tc>
        <w:tc>
          <w:tcPr>
            <w:tcW w:w="1608" w:type="dxa"/>
            <w:tcBorders>
              <w:top w:val="nil"/>
              <w:left w:val="nil"/>
              <w:bottom w:val="single" w:sz="4" w:space="0" w:color="auto"/>
              <w:right w:val="single" w:sz="4" w:space="0" w:color="auto"/>
            </w:tcBorders>
            <w:shd w:val="clear" w:color="auto" w:fill="auto"/>
            <w:vAlign w:val="center"/>
            <w:hideMark/>
          </w:tcPr>
          <w:p w14:paraId="6BED7659"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0.71 ± 0.03</w:t>
            </w:r>
          </w:p>
        </w:tc>
        <w:tc>
          <w:tcPr>
            <w:tcW w:w="1489" w:type="dxa"/>
            <w:tcBorders>
              <w:top w:val="nil"/>
              <w:left w:val="nil"/>
              <w:bottom w:val="single" w:sz="4" w:space="0" w:color="auto"/>
              <w:right w:val="single" w:sz="4" w:space="0" w:color="auto"/>
            </w:tcBorders>
            <w:shd w:val="clear" w:color="auto" w:fill="auto"/>
            <w:vAlign w:val="center"/>
            <w:hideMark/>
          </w:tcPr>
          <w:p w14:paraId="0FE23789"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0.70 ± 0.01</w:t>
            </w:r>
          </w:p>
        </w:tc>
        <w:tc>
          <w:tcPr>
            <w:tcW w:w="1557" w:type="dxa"/>
            <w:tcBorders>
              <w:top w:val="nil"/>
              <w:left w:val="nil"/>
              <w:bottom w:val="single" w:sz="4" w:space="0" w:color="auto"/>
              <w:right w:val="single" w:sz="4" w:space="0" w:color="auto"/>
            </w:tcBorders>
            <w:shd w:val="clear" w:color="auto" w:fill="auto"/>
            <w:vAlign w:val="center"/>
            <w:hideMark/>
          </w:tcPr>
          <w:p w14:paraId="74793857" w14:textId="77777777" w:rsidR="00ED33BD" w:rsidRPr="00D15153" w:rsidRDefault="00ED33BD" w:rsidP="001D5790">
            <w:pPr>
              <w:spacing w:after="0" w:line="240" w:lineRule="auto"/>
              <w:jc w:val="both"/>
              <w:rPr>
                <w:rFonts w:ascii="Times New Roman" w:eastAsia="Times New Roman" w:hAnsi="Times New Roman" w:cs="Times New Roman"/>
                <w:color w:val="000000"/>
              </w:rPr>
            </w:pPr>
            <w:r w:rsidRPr="00D15153">
              <w:rPr>
                <w:rFonts w:ascii="Times New Roman" w:eastAsia="Times New Roman" w:hAnsi="Times New Roman" w:cs="Times New Roman"/>
                <w:color w:val="000000"/>
              </w:rPr>
              <w:t>0.77 ± 0.01</w:t>
            </w:r>
          </w:p>
        </w:tc>
        <w:tc>
          <w:tcPr>
            <w:tcW w:w="1710" w:type="dxa"/>
            <w:tcBorders>
              <w:top w:val="nil"/>
              <w:left w:val="nil"/>
              <w:bottom w:val="single" w:sz="4" w:space="0" w:color="auto"/>
              <w:right w:val="single" w:sz="4" w:space="0" w:color="auto"/>
            </w:tcBorders>
            <w:shd w:val="clear" w:color="auto" w:fill="auto"/>
            <w:noWrap/>
            <w:vAlign w:val="center"/>
            <w:hideMark/>
          </w:tcPr>
          <w:p w14:paraId="69735CEF" w14:textId="77777777" w:rsidR="00ED33BD" w:rsidRPr="00D15153" w:rsidRDefault="00ED33BD" w:rsidP="001D5790">
            <w:pPr>
              <w:spacing w:after="0" w:line="240" w:lineRule="auto"/>
              <w:jc w:val="both"/>
              <w:rPr>
                <w:rFonts w:ascii="Times New Roman" w:eastAsia="Times New Roman" w:hAnsi="Times New Roman" w:cs="Times New Roman"/>
              </w:rPr>
            </w:pPr>
            <w:r w:rsidRPr="00D15153">
              <w:rPr>
                <w:rFonts w:ascii="Times New Roman" w:eastAsia="Times New Roman" w:hAnsi="Times New Roman" w:cs="Times New Roman"/>
              </w:rPr>
              <w:t>0.41 ± 0.02</w:t>
            </w:r>
          </w:p>
        </w:tc>
      </w:tr>
    </w:tbl>
    <w:p w14:paraId="55380840" w14:textId="77777777" w:rsidR="00ED33BD" w:rsidRDefault="00ED33BD" w:rsidP="00ED33BD">
      <w:pPr>
        <w:ind w:firstLine="720"/>
        <w:jc w:val="both"/>
        <w:rPr>
          <w:rFonts w:ascii="Times New Roman" w:hAnsi="Times New Roman" w:cs="Times New Roman"/>
        </w:rPr>
      </w:pPr>
    </w:p>
    <w:p w14:paraId="622136E8" w14:textId="1FDB4352" w:rsidR="00ED33BD" w:rsidRPr="00872175" w:rsidRDefault="00ED33BD" w:rsidP="00ED33BD">
      <w:pPr>
        <w:ind w:firstLine="720"/>
        <w:jc w:val="both"/>
        <w:rPr>
          <w:rFonts w:ascii="Times New Roman" w:hAnsi="Times New Roman" w:cs="Times New Roman"/>
        </w:rPr>
      </w:pPr>
      <w:r>
        <w:rPr>
          <w:rFonts w:ascii="Times New Roman" w:hAnsi="Times New Roman" w:cs="Times New Roman"/>
        </w:rPr>
        <w:t>Similar to what was observed for S, most performance metrics for the CNN model increased with increasing window size when evaluating the T dataset (</w:t>
      </w:r>
      <w:r w:rsidRPr="00A727F0">
        <w:rPr>
          <w:rFonts w:ascii="Times New Roman" w:hAnsi="Times New Roman" w:cs="Times New Roman"/>
          <w:b/>
          <w:bCs/>
        </w:rPr>
        <w:t xml:space="preserve">Table </w:t>
      </w:r>
      <w:r w:rsidR="00287A59">
        <w:rPr>
          <w:rFonts w:ascii="Times New Roman" w:hAnsi="Times New Roman" w:cs="Times New Roman"/>
          <w:b/>
          <w:bCs/>
        </w:rPr>
        <w:t>S</w:t>
      </w:r>
      <w:r w:rsidRPr="00A727F0">
        <w:rPr>
          <w:rFonts w:ascii="Times New Roman" w:hAnsi="Times New Roman" w:cs="Times New Roman"/>
          <w:b/>
          <w:bCs/>
        </w:rPr>
        <w:t>2</w:t>
      </w:r>
      <w:r>
        <w:rPr>
          <w:rFonts w:ascii="Times New Roman" w:hAnsi="Times New Roman" w:cs="Times New Roman"/>
        </w:rPr>
        <w:t xml:space="preserve">). Beginning at window size 57, the model </w:t>
      </w:r>
      <w:r>
        <w:rPr>
          <w:rFonts w:ascii="Times New Roman" w:hAnsi="Times New Roman" w:cs="Times New Roman"/>
        </w:rPr>
        <w:lastRenderedPageBreak/>
        <w:t xml:space="preserve">performance began to decline slightly for most metrics. The only exceptions </w:t>
      </w:r>
      <w:proofErr w:type="gramStart"/>
      <w:r>
        <w:rPr>
          <w:rFonts w:ascii="Times New Roman" w:hAnsi="Times New Roman" w:cs="Times New Roman"/>
        </w:rPr>
        <w:t>was</w:t>
      </w:r>
      <w:proofErr w:type="gramEnd"/>
      <w:r>
        <w:rPr>
          <w:rFonts w:ascii="Times New Roman" w:hAnsi="Times New Roman" w:cs="Times New Roman"/>
        </w:rPr>
        <w:t xml:space="preserve"> SP, which exhibited the highest value at a window size of 33. Due to its consistently high performance for most metrics, we chose window size 53 for further independent testing of T phosphorylation sites. At this window size, the mean MCC, AUC, and ACC values were 0.56 ± 0.02, 0.85 ± 0.01, and 0.78 ± 0.01, respectively (</w:t>
      </w:r>
      <w:r w:rsidRPr="00A727F0">
        <w:rPr>
          <w:rFonts w:ascii="Times New Roman" w:hAnsi="Times New Roman" w:cs="Times New Roman"/>
          <w:b/>
          <w:bCs/>
        </w:rPr>
        <w:t xml:space="preserve">Table </w:t>
      </w:r>
      <w:r w:rsidR="00287A59">
        <w:rPr>
          <w:rFonts w:ascii="Times New Roman" w:hAnsi="Times New Roman" w:cs="Times New Roman"/>
          <w:b/>
          <w:bCs/>
        </w:rPr>
        <w:t>S</w:t>
      </w:r>
      <w:r w:rsidRPr="00A727F0">
        <w:rPr>
          <w:rFonts w:ascii="Times New Roman" w:hAnsi="Times New Roman" w:cs="Times New Roman"/>
          <w:b/>
          <w:bCs/>
        </w:rPr>
        <w:t>2</w:t>
      </w:r>
      <w:r>
        <w:rPr>
          <w:rFonts w:ascii="Times New Roman" w:hAnsi="Times New Roman" w:cs="Times New Roman"/>
        </w:rPr>
        <w:t xml:space="preserve">). </w:t>
      </w:r>
    </w:p>
    <w:p w14:paraId="2F445346" w14:textId="4A590FB6" w:rsidR="00ED33BD" w:rsidRPr="00CA1A81" w:rsidRDefault="00ED33BD" w:rsidP="00ED33BD">
      <w:pPr>
        <w:pStyle w:val="Caption"/>
        <w:keepNext/>
        <w:jc w:val="both"/>
        <w:rPr>
          <w:rFonts w:ascii="Times New Roman" w:hAnsi="Times New Roman" w:cs="Times New Roman"/>
          <w:i w:val="0"/>
          <w:iCs w:val="0"/>
          <w:sz w:val="22"/>
          <w:szCs w:val="22"/>
        </w:rPr>
      </w:pPr>
      <w:r w:rsidRPr="00CA1A81">
        <w:rPr>
          <w:rFonts w:ascii="Times New Roman" w:hAnsi="Times New Roman" w:cs="Times New Roman"/>
          <w:i w:val="0"/>
          <w:iCs w:val="0"/>
          <w:sz w:val="22"/>
          <w:szCs w:val="22"/>
        </w:rPr>
        <w:t xml:space="preserve">Table </w:t>
      </w:r>
      <w:r w:rsidR="00813361" w:rsidRPr="00CA1A81">
        <w:rPr>
          <w:rFonts w:ascii="Times New Roman" w:hAnsi="Times New Roman" w:cs="Times New Roman"/>
          <w:i w:val="0"/>
          <w:iCs w:val="0"/>
          <w:sz w:val="22"/>
          <w:szCs w:val="22"/>
        </w:rPr>
        <w:t>S2</w:t>
      </w:r>
      <w:r w:rsidRPr="00CA1A81">
        <w:rPr>
          <w:rFonts w:ascii="Times New Roman" w:hAnsi="Times New Roman" w:cs="Times New Roman"/>
          <w:i w:val="0"/>
          <w:iCs w:val="0"/>
          <w:sz w:val="22"/>
          <w:szCs w:val="22"/>
        </w:rPr>
        <w:t>. 10-fold cross-validation results for different windows for T sites prediction.</w:t>
      </w:r>
    </w:p>
    <w:tbl>
      <w:tblPr>
        <w:tblW w:w="9698" w:type="dxa"/>
        <w:tblLook w:val="04A0" w:firstRow="1" w:lastRow="0" w:firstColumn="1" w:lastColumn="0" w:noHBand="0" w:noVBand="1"/>
      </w:tblPr>
      <w:tblGrid>
        <w:gridCol w:w="1390"/>
        <w:gridCol w:w="1690"/>
        <w:gridCol w:w="1672"/>
        <w:gridCol w:w="1549"/>
        <w:gridCol w:w="1619"/>
        <w:gridCol w:w="1778"/>
      </w:tblGrid>
      <w:tr w:rsidR="00ED33BD" w:rsidRPr="001E3ED1" w14:paraId="76C414EC" w14:textId="77777777" w:rsidTr="001D5790">
        <w:trPr>
          <w:trHeight w:val="316"/>
        </w:trPr>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3B7AF8" w14:textId="77777777" w:rsidR="00ED33BD" w:rsidRPr="001E3ED1" w:rsidRDefault="00ED33BD" w:rsidP="001D5790">
            <w:pPr>
              <w:spacing w:after="0" w:line="240" w:lineRule="auto"/>
              <w:jc w:val="both"/>
              <w:rPr>
                <w:rFonts w:ascii="Times New Roman" w:eastAsia="Times New Roman" w:hAnsi="Times New Roman" w:cs="Times New Roman"/>
                <w:b/>
                <w:bCs/>
              </w:rPr>
            </w:pPr>
            <w:r w:rsidRPr="001E3ED1">
              <w:rPr>
                <w:rFonts w:ascii="Times New Roman" w:eastAsia="Times New Roman" w:hAnsi="Times New Roman" w:cs="Times New Roman"/>
                <w:b/>
                <w:bCs/>
              </w:rPr>
              <w:t>Window Size</w:t>
            </w:r>
          </w:p>
        </w:tc>
        <w:tc>
          <w:tcPr>
            <w:tcW w:w="1690" w:type="dxa"/>
            <w:tcBorders>
              <w:top w:val="single" w:sz="4" w:space="0" w:color="auto"/>
              <w:left w:val="nil"/>
              <w:bottom w:val="single" w:sz="4" w:space="0" w:color="auto"/>
              <w:right w:val="single" w:sz="4" w:space="0" w:color="auto"/>
            </w:tcBorders>
            <w:shd w:val="clear" w:color="auto" w:fill="auto"/>
            <w:noWrap/>
            <w:vAlign w:val="center"/>
            <w:hideMark/>
          </w:tcPr>
          <w:p w14:paraId="63E9746D" w14:textId="77777777" w:rsidR="00ED33BD" w:rsidRPr="001E3ED1" w:rsidRDefault="00ED33BD" w:rsidP="001D5790">
            <w:pPr>
              <w:spacing w:after="0" w:line="240" w:lineRule="auto"/>
              <w:jc w:val="both"/>
              <w:rPr>
                <w:rFonts w:ascii="Times New Roman" w:eastAsia="Times New Roman" w:hAnsi="Times New Roman" w:cs="Times New Roman"/>
                <w:b/>
                <w:bCs/>
              </w:rPr>
            </w:pPr>
            <w:r w:rsidRPr="001E3ED1">
              <w:rPr>
                <w:rFonts w:ascii="Times New Roman" w:eastAsia="Times New Roman" w:hAnsi="Times New Roman" w:cs="Times New Roman"/>
                <w:b/>
                <w:bCs/>
              </w:rPr>
              <w:t>SN</w:t>
            </w:r>
          </w:p>
        </w:tc>
        <w:tc>
          <w:tcPr>
            <w:tcW w:w="1672" w:type="dxa"/>
            <w:tcBorders>
              <w:top w:val="single" w:sz="4" w:space="0" w:color="auto"/>
              <w:left w:val="nil"/>
              <w:bottom w:val="single" w:sz="4" w:space="0" w:color="auto"/>
              <w:right w:val="single" w:sz="4" w:space="0" w:color="auto"/>
            </w:tcBorders>
            <w:shd w:val="clear" w:color="auto" w:fill="auto"/>
            <w:noWrap/>
            <w:vAlign w:val="center"/>
            <w:hideMark/>
          </w:tcPr>
          <w:p w14:paraId="0E246F03" w14:textId="77777777" w:rsidR="00ED33BD" w:rsidRPr="001E3ED1" w:rsidRDefault="00ED33BD" w:rsidP="001D5790">
            <w:pPr>
              <w:spacing w:after="0" w:line="240" w:lineRule="auto"/>
              <w:jc w:val="both"/>
              <w:rPr>
                <w:rFonts w:ascii="Times New Roman" w:eastAsia="Times New Roman" w:hAnsi="Times New Roman" w:cs="Times New Roman"/>
                <w:b/>
                <w:bCs/>
              </w:rPr>
            </w:pPr>
            <w:r w:rsidRPr="001E3ED1">
              <w:rPr>
                <w:rFonts w:ascii="Times New Roman" w:eastAsia="Times New Roman" w:hAnsi="Times New Roman" w:cs="Times New Roman"/>
                <w:b/>
                <w:bCs/>
              </w:rPr>
              <w:t>SP</w:t>
            </w:r>
          </w:p>
        </w:tc>
        <w:tc>
          <w:tcPr>
            <w:tcW w:w="1549" w:type="dxa"/>
            <w:tcBorders>
              <w:top w:val="single" w:sz="4" w:space="0" w:color="auto"/>
              <w:left w:val="nil"/>
              <w:bottom w:val="single" w:sz="4" w:space="0" w:color="auto"/>
              <w:right w:val="single" w:sz="4" w:space="0" w:color="auto"/>
            </w:tcBorders>
            <w:shd w:val="clear" w:color="auto" w:fill="auto"/>
            <w:noWrap/>
            <w:vAlign w:val="center"/>
            <w:hideMark/>
          </w:tcPr>
          <w:p w14:paraId="26C391C5" w14:textId="77777777" w:rsidR="00ED33BD" w:rsidRPr="001E3ED1" w:rsidRDefault="00ED33BD" w:rsidP="001D5790">
            <w:pPr>
              <w:spacing w:after="0" w:line="240" w:lineRule="auto"/>
              <w:jc w:val="both"/>
              <w:rPr>
                <w:rFonts w:ascii="Times New Roman" w:eastAsia="Times New Roman" w:hAnsi="Times New Roman" w:cs="Times New Roman"/>
                <w:b/>
                <w:bCs/>
              </w:rPr>
            </w:pPr>
            <w:r w:rsidRPr="001E3ED1">
              <w:rPr>
                <w:rFonts w:ascii="Times New Roman" w:eastAsia="Times New Roman" w:hAnsi="Times New Roman" w:cs="Times New Roman"/>
                <w:b/>
                <w:bCs/>
              </w:rPr>
              <w:t>ACC</w:t>
            </w:r>
          </w:p>
        </w:tc>
        <w:tc>
          <w:tcPr>
            <w:tcW w:w="1619" w:type="dxa"/>
            <w:tcBorders>
              <w:top w:val="single" w:sz="4" w:space="0" w:color="auto"/>
              <w:left w:val="nil"/>
              <w:bottom w:val="single" w:sz="4" w:space="0" w:color="auto"/>
              <w:right w:val="single" w:sz="4" w:space="0" w:color="auto"/>
            </w:tcBorders>
            <w:shd w:val="clear" w:color="auto" w:fill="auto"/>
            <w:noWrap/>
            <w:vAlign w:val="center"/>
            <w:hideMark/>
          </w:tcPr>
          <w:p w14:paraId="37BBF794" w14:textId="77777777" w:rsidR="00ED33BD" w:rsidRPr="001E3ED1" w:rsidRDefault="00ED33BD" w:rsidP="001D5790">
            <w:pPr>
              <w:spacing w:after="0" w:line="240" w:lineRule="auto"/>
              <w:jc w:val="both"/>
              <w:rPr>
                <w:rFonts w:ascii="Times New Roman" w:eastAsia="Times New Roman" w:hAnsi="Times New Roman" w:cs="Times New Roman"/>
                <w:b/>
                <w:bCs/>
              </w:rPr>
            </w:pPr>
            <w:r w:rsidRPr="001E3ED1">
              <w:rPr>
                <w:rFonts w:ascii="Times New Roman" w:eastAsia="Times New Roman" w:hAnsi="Times New Roman" w:cs="Times New Roman"/>
                <w:b/>
                <w:bCs/>
              </w:rPr>
              <w:t>AUC</w:t>
            </w:r>
          </w:p>
        </w:tc>
        <w:tc>
          <w:tcPr>
            <w:tcW w:w="1778" w:type="dxa"/>
            <w:tcBorders>
              <w:top w:val="single" w:sz="4" w:space="0" w:color="auto"/>
              <w:left w:val="nil"/>
              <w:bottom w:val="single" w:sz="4" w:space="0" w:color="auto"/>
              <w:right w:val="single" w:sz="4" w:space="0" w:color="auto"/>
            </w:tcBorders>
            <w:shd w:val="clear" w:color="auto" w:fill="auto"/>
            <w:noWrap/>
            <w:vAlign w:val="center"/>
            <w:hideMark/>
          </w:tcPr>
          <w:p w14:paraId="4115A768" w14:textId="77777777" w:rsidR="00ED33BD" w:rsidRPr="001E3ED1" w:rsidRDefault="00ED33BD" w:rsidP="001D5790">
            <w:pPr>
              <w:spacing w:after="0" w:line="240" w:lineRule="auto"/>
              <w:jc w:val="both"/>
              <w:rPr>
                <w:rFonts w:ascii="Times New Roman" w:eastAsia="Times New Roman" w:hAnsi="Times New Roman" w:cs="Times New Roman"/>
                <w:b/>
                <w:bCs/>
              </w:rPr>
            </w:pPr>
            <w:r w:rsidRPr="001E3ED1">
              <w:rPr>
                <w:rFonts w:ascii="Times New Roman" w:eastAsia="Times New Roman" w:hAnsi="Times New Roman" w:cs="Times New Roman"/>
                <w:b/>
                <w:bCs/>
              </w:rPr>
              <w:t>MCC</w:t>
            </w:r>
          </w:p>
        </w:tc>
      </w:tr>
      <w:tr w:rsidR="00ED33BD" w:rsidRPr="001E3ED1" w14:paraId="2AE29D1C" w14:textId="77777777" w:rsidTr="001D5790">
        <w:trPr>
          <w:trHeight w:val="316"/>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14:paraId="5B63A143"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61</w:t>
            </w:r>
          </w:p>
        </w:tc>
        <w:tc>
          <w:tcPr>
            <w:tcW w:w="1690" w:type="dxa"/>
            <w:tcBorders>
              <w:top w:val="nil"/>
              <w:left w:val="nil"/>
              <w:bottom w:val="single" w:sz="4" w:space="0" w:color="auto"/>
              <w:right w:val="single" w:sz="4" w:space="0" w:color="auto"/>
            </w:tcBorders>
            <w:shd w:val="clear" w:color="auto" w:fill="auto"/>
            <w:noWrap/>
            <w:vAlign w:val="center"/>
            <w:hideMark/>
          </w:tcPr>
          <w:p w14:paraId="182E672D"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0.87 ± 0.03</w:t>
            </w:r>
          </w:p>
        </w:tc>
        <w:tc>
          <w:tcPr>
            <w:tcW w:w="1672" w:type="dxa"/>
            <w:tcBorders>
              <w:top w:val="nil"/>
              <w:left w:val="nil"/>
              <w:bottom w:val="single" w:sz="4" w:space="0" w:color="auto"/>
              <w:right w:val="single" w:sz="4" w:space="0" w:color="auto"/>
            </w:tcBorders>
            <w:shd w:val="clear" w:color="auto" w:fill="auto"/>
            <w:noWrap/>
            <w:vAlign w:val="center"/>
            <w:hideMark/>
          </w:tcPr>
          <w:p w14:paraId="4738E909"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0.67 ± 0.03</w:t>
            </w:r>
          </w:p>
        </w:tc>
        <w:tc>
          <w:tcPr>
            <w:tcW w:w="1549" w:type="dxa"/>
            <w:tcBorders>
              <w:top w:val="nil"/>
              <w:left w:val="nil"/>
              <w:bottom w:val="single" w:sz="4" w:space="0" w:color="auto"/>
              <w:right w:val="single" w:sz="4" w:space="0" w:color="auto"/>
            </w:tcBorders>
            <w:shd w:val="clear" w:color="auto" w:fill="auto"/>
            <w:noWrap/>
            <w:vAlign w:val="center"/>
            <w:hideMark/>
          </w:tcPr>
          <w:p w14:paraId="6D50E73E"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0.77 ± 0.01</w:t>
            </w:r>
          </w:p>
        </w:tc>
        <w:tc>
          <w:tcPr>
            <w:tcW w:w="1619" w:type="dxa"/>
            <w:tcBorders>
              <w:top w:val="nil"/>
              <w:left w:val="nil"/>
              <w:bottom w:val="single" w:sz="4" w:space="0" w:color="auto"/>
              <w:right w:val="single" w:sz="4" w:space="0" w:color="auto"/>
            </w:tcBorders>
            <w:shd w:val="clear" w:color="auto" w:fill="auto"/>
            <w:noWrap/>
            <w:vAlign w:val="center"/>
            <w:hideMark/>
          </w:tcPr>
          <w:p w14:paraId="53C421B8"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0.84 ± 0.01</w:t>
            </w:r>
          </w:p>
        </w:tc>
        <w:tc>
          <w:tcPr>
            <w:tcW w:w="1778" w:type="dxa"/>
            <w:tcBorders>
              <w:top w:val="nil"/>
              <w:left w:val="nil"/>
              <w:bottom w:val="single" w:sz="4" w:space="0" w:color="auto"/>
              <w:right w:val="single" w:sz="4" w:space="0" w:color="auto"/>
            </w:tcBorders>
            <w:shd w:val="clear" w:color="auto" w:fill="auto"/>
            <w:noWrap/>
            <w:vAlign w:val="center"/>
            <w:hideMark/>
          </w:tcPr>
          <w:p w14:paraId="264E74C6"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0.56 ± 0.02</w:t>
            </w:r>
          </w:p>
        </w:tc>
      </w:tr>
      <w:tr w:rsidR="00ED33BD" w:rsidRPr="001E3ED1" w14:paraId="3312BD90" w14:textId="77777777" w:rsidTr="001D5790">
        <w:trPr>
          <w:trHeight w:val="316"/>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14:paraId="52B1F218"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57</w:t>
            </w:r>
          </w:p>
        </w:tc>
        <w:tc>
          <w:tcPr>
            <w:tcW w:w="1690" w:type="dxa"/>
            <w:tcBorders>
              <w:top w:val="nil"/>
              <w:left w:val="nil"/>
              <w:bottom w:val="single" w:sz="4" w:space="0" w:color="auto"/>
              <w:right w:val="single" w:sz="4" w:space="0" w:color="auto"/>
            </w:tcBorders>
            <w:shd w:val="clear" w:color="auto" w:fill="auto"/>
            <w:noWrap/>
            <w:vAlign w:val="center"/>
            <w:hideMark/>
          </w:tcPr>
          <w:p w14:paraId="0FA16208"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0.87 ± 0.03</w:t>
            </w:r>
          </w:p>
        </w:tc>
        <w:tc>
          <w:tcPr>
            <w:tcW w:w="1672" w:type="dxa"/>
            <w:tcBorders>
              <w:top w:val="nil"/>
              <w:left w:val="nil"/>
              <w:bottom w:val="single" w:sz="4" w:space="0" w:color="auto"/>
              <w:right w:val="single" w:sz="4" w:space="0" w:color="auto"/>
            </w:tcBorders>
            <w:shd w:val="clear" w:color="auto" w:fill="auto"/>
            <w:noWrap/>
            <w:vAlign w:val="center"/>
            <w:hideMark/>
          </w:tcPr>
          <w:p w14:paraId="3D3A822E"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0.68 ± 0.04</w:t>
            </w:r>
          </w:p>
        </w:tc>
        <w:tc>
          <w:tcPr>
            <w:tcW w:w="1549" w:type="dxa"/>
            <w:tcBorders>
              <w:top w:val="nil"/>
              <w:left w:val="nil"/>
              <w:bottom w:val="single" w:sz="4" w:space="0" w:color="auto"/>
              <w:right w:val="single" w:sz="4" w:space="0" w:color="auto"/>
            </w:tcBorders>
            <w:shd w:val="clear" w:color="auto" w:fill="auto"/>
            <w:noWrap/>
            <w:vAlign w:val="center"/>
            <w:hideMark/>
          </w:tcPr>
          <w:p w14:paraId="08A0FE2C"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0.77 ± 0.01</w:t>
            </w:r>
          </w:p>
        </w:tc>
        <w:tc>
          <w:tcPr>
            <w:tcW w:w="1619" w:type="dxa"/>
            <w:tcBorders>
              <w:top w:val="nil"/>
              <w:left w:val="nil"/>
              <w:bottom w:val="single" w:sz="4" w:space="0" w:color="auto"/>
              <w:right w:val="single" w:sz="4" w:space="0" w:color="auto"/>
            </w:tcBorders>
            <w:shd w:val="clear" w:color="auto" w:fill="auto"/>
            <w:noWrap/>
            <w:vAlign w:val="center"/>
            <w:hideMark/>
          </w:tcPr>
          <w:p w14:paraId="2343A132"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0.85 ± 0.01</w:t>
            </w:r>
          </w:p>
        </w:tc>
        <w:tc>
          <w:tcPr>
            <w:tcW w:w="1778" w:type="dxa"/>
            <w:tcBorders>
              <w:top w:val="nil"/>
              <w:left w:val="nil"/>
              <w:bottom w:val="single" w:sz="4" w:space="0" w:color="auto"/>
              <w:right w:val="single" w:sz="4" w:space="0" w:color="auto"/>
            </w:tcBorders>
            <w:shd w:val="clear" w:color="auto" w:fill="auto"/>
            <w:noWrap/>
            <w:vAlign w:val="center"/>
            <w:hideMark/>
          </w:tcPr>
          <w:p w14:paraId="748BD261"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0.56 ± 0.02</w:t>
            </w:r>
          </w:p>
        </w:tc>
      </w:tr>
      <w:tr w:rsidR="00ED33BD" w:rsidRPr="001E3ED1" w14:paraId="15B09606" w14:textId="77777777" w:rsidTr="001D5790">
        <w:trPr>
          <w:trHeight w:val="316"/>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14:paraId="70FF0D8F"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53</w:t>
            </w:r>
          </w:p>
        </w:tc>
        <w:tc>
          <w:tcPr>
            <w:tcW w:w="1690" w:type="dxa"/>
            <w:tcBorders>
              <w:top w:val="nil"/>
              <w:left w:val="nil"/>
              <w:bottom w:val="single" w:sz="4" w:space="0" w:color="auto"/>
              <w:right w:val="single" w:sz="4" w:space="0" w:color="auto"/>
            </w:tcBorders>
            <w:shd w:val="clear" w:color="auto" w:fill="auto"/>
            <w:noWrap/>
            <w:vAlign w:val="center"/>
            <w:hideMark/>
          </w:tcPr>
          <w:p w14:paraId="03B81566"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0.87 ± 0.02</w:t>
            </w:r>
          </w:p>
        </w:tc>
        <w:tc>
          <w:tcPr>
            <w:tcW w:w="1672" w:type="dxa"/>
            <w:tcBorders>
              <w:top w:val="nil"/>
              <w:left w:val="nil"/>
              <w:bottom w:val="single" w:sz="4" w:space="0" w:color="auto"/>
              <w:right w:val="single" w:sz="4" w:space="0" w:color="auto"/>
            </w:tcBorders>
            <w:shd w:val="clear" w:color="auto" w:fill="auto"/>
            <w:noWrap/>
            <w:vAlign w:val="center"/>
            <w:hideMark/>
          </w:tcPr>
          <w:p w14:paraId="481993A4"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0.68 ± 0.04</w:t>
            </w:r>
          </w:p>
        </w:tc>
        <w:tc>
          <w:tcPr>
            <w:tcW w:w="1549" w:type="dxa"/>
            <w:tcBorders>
              <w:top w:val="nil"/>
              <w:left w:val="nil"/>
              <w:bottom w:val="single" w:sz="4" w:space="0" w:color="auto"/>
              <w:right w:val="single" w:sz="4" w:space="0" w:color="auto"/>
            </w:tcBorders>
            <w:shd w:val="clear" w:color="auto" w:fill="auto"/>
            <w:noWrap/>
            <w:vAlign w:val="center"/>
            <w:hideMark/>
          </w:tcPr>
          <w:p w14:paraId="1841CD27"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0.78 ± 0.01</w:t>
            </w:r>
          </w:p>
        </w:tc>
        <w:tc>
          <w:tcPr>
            <w:tcW w:w="1619" w:type="dxa"/>
            <w:tcBorders>
              <w:top w:val="nil"/>
              <w:left w:val="nil"/>
              <w:bottom w:val="single" w:sz="4" w:space="0" w:color="auto"/>
              <w:right w:val="single" w:sz="4" w:space="0" w:color="auto"/>
            </w:tcBorders>
            <w:shd w:val="clear" w:color="auto" w:fill="auto"/>
            <w:noWrap/>
            <w:vAlign w:val="center"/>
            <w:hideMark/>
          </w:tcPr>
          <w:p w14:paraId="2F680B17"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0.85 ± 0.01</w:t>
            </w:r>
          </w:p>
        </w:tc>
        <w:tc>
          <w:tcPr>
            <w:tcW w:w="1778" w:type="dxa"/>
            <w:tcBorders>
              <w:top w:val="nil"/>
              <w:left w:val="nil"/>
              <w:bottom w:val="single" w:sz="4" w:space="0" w:color="auto"/>
              <w:right w:val="single" w:sz="4" w:space="0" w:color="auto"/>
            </w:tcBorders>
            <w:shd w:val="clear" w:color="auto" w:fill="auto"/>
            <w:noWrap/>
            <w:vAlign w:val="center"/>
            <w:hideMark/>
          </w:tcPr>
          <w:p w14:paraId="457E347E"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0.56 ± 0.02</w:t>
            </w:r>
          </w:p>
        </w:tc>
      </w:tr>
      <w:tr w:rsidR="00ED33BD" w:rsidRPr="001E3ED1" w14:paraId="0E584222" w14:textId="77777777" w:rsidTr="001D5790">
        <w:trPr>
          <w:trHeight w:val="316"/>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14:paraId="32782C43"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49</w:t>
            </w:r>
          </w:p>
        </w:tc>
        <w:tc>
          <w:tcPr>
            <w:tcW w:w="1690" w:type="dxa"/>
            <w:tcBorders>
              <w:top w:val="nil"/>
              <w:left w:val="nil"/>
              <w:bottom w:val="single" w:sz="4" w:space="0" w:color="auto"/>
              <w:right w:val="single" w:sz="4" w:space="0" w:color="auto"/>
            </w:tcBorders>
            <w:shd w:val="clear" w:color="auto" w:fill="auto"/>
            <w:noWrap/>
            <w:vAlign w:val="center"/>
            <w:hideMark/>
          </w:tcPr>
          <w:p w14:paraId="4746D623"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0.86 ± 0.03</w:t>
            </w:r>
          </w:p>
        </w:tc>
        <w:tc>
          <w:tcPr>
            <w:tcW w:w="1672" w:type="dxa"/>
            <w:tcBorders>
              <w:top w:val="nil"/>
              <w:left w:val="nil"/>
              <w:bottom w:val="single" w:sz="4" w:space="0" w:color="auto"/>
              <w:right w:val="single" w:sz="4" w:space="0" w:color="auto"/>
            </w:tcBorders>
            <w:shd w:val="clear" w:color="auto" w:fill="auto"/>
            <w:noWrap/>
            <w:vAlign w:val="center"/>
            <w:hideMark/>
          </w:tcPr>
          <w:p w14:paraId="0391E7B7"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0.69 ± 0.04</w:t>
            </w:r>
          </w:p>
        </w:tc>
        <w:tc>
          <w:tcPr>
            <w:tcW w:w="1549" w:type="dxa"/>
            <w:tcBorders>
              <w:top w:val="nil"/>
              <w:left w:val="nil"/>
              <w:bottom w:val="single" w:sz="4" w:space="0" w:color="auto"/>
              <w:right w:val="single" w:sz="4" w:space="0" w:color="auto"/>
            </w:tcBorders>
            <w:shd w:val="clear" w:color="auto" w:fill="auto"/>
            <w:noWrap/>
            <w:vAlign w:val="center"/>
            <w:hideMark/>
          </w:tcPr>
          <w:p w14:paraId="0F7319A5"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0.77 ± 0.01</w:t>
            </w:r>
          </w:p>
        </w:tc>
        <w:tc>
          <w:tcPr>
            <w:tcW w:w="1619" w:type="dxa"/>
            <w:tcBorders>
              <w:top w:val="nil"/>
              <w:left w:val="nil"/>
              <w:bottom w:val="single" w:sz="4" w:space="0" w:color="auto"/>
              <w:right w:val="single" w:sz="4" w:space="0" w:color="auto"/>
            </w:tcBorders>
            <w:shd w:val="clear" w:color="auto" w:fill="auto"/>
            <w:noWrap/>
            <w:vAlign w:val="center"/>
            <w:hideMark/>
          </w:tcPr>
          <w:p w14:paraId="4DAB9154"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0.84 ± 0.01</w:t>
            </w:r>
          </w:p>
        </w:tc>
        <w:tc>
          <w:tcPr>
            <w:tcW w:w="1778" w:type="dxa"/>
            <w:tcBorders>
              <w:top w:val="nil"/>
              <w:left w:val="nil"/>
              <w:bottom w:val="single" w:sz="4" w:space="0" w:color="auto"/>
              <w:right w:val="single" w:sz="4" w:space="0" w:color="auto"/>
            </w:tcBorders>
            <w:shd w:val="clear" w:color="auto" w:fill="auto"/>
            <w:noWrap/>
            <w:vAlign w:val="center"/>
            <w:hideMark/>
          </w:tcPr>
          <w:p w14:paraId="49F31ACF"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0.56 ± 0.22</w:t>
            </w:r>
          </w:p>
        </w:tc>
      </w:tr>
      <w:tr w:rsidR="00ED33BD" w:rsidRPr="001E3ED1" w14:paraId="1B432C45" w14:textId="77777777" w:rsidTr="001D5790">
        <w:trPr>
          <w:trHeight w:val="316"/>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14:paraId="6AEDB80A"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45</w:t>
            </w:r>
          </w:p>
        </w:tc>
        <w:tc>
          <w:tcPr>
            <w:tcW w:w="1690" w:type="dxa"/>
            <w:tcBorders>
              <w:top w:val="nil"/>
              <w:left w:val="nil"/>
              <w:bottom w:val="single" w:sz="4" w:space="0" w:color="auto"/>
              <w:right w:val="single" w:sz="4" w:space="0" w:color="auto"/>
            </w:tcBorders>
            <w:shd w:val="clear" w:color="auto" w:fill="auto"/>
            <w:noWrap/>
            <w:vAlign w:val="center"/>
            <w:hideMark/>
          </w:tcPr>
          <w:p w14:paraId="3CBA3F7C"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0.86 ± 0.03</w:t>
            </w:r>
          </w:p>
        </w:tc>
        <w:tc>
          <w:tcPr>
            <w:tcW w:w="1672" w:type="dxa"/>
            <w:tcBorders>
              <w:top w:val="nil"/>
              <w:left w:val="nil"/>
              <w:bottom w:val="single" w:sz="4" w:space="0" w:color="auto"/>
              <w:right w:val="single" w:sz="4" w:space="0" w:color="auto"/>
            </w:tcBorders>
            <w:shd w:val="clear" w:color="auto" w:fill="auto"/>
            <w:noWrap/>
            <w:vAlign w:val="center"/>
            <w:hideMark/>
          </w:tcPr>
          <w:p w14:paraId="50224898"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0.68 ± 0.02</w:t>
            </w:r>
          </w:p>
        </w:tc>
        <w:tc>
          <w:tcPr>
            <w:tcW w:w="1549" w:type="dxa"/>
            <w:tcBorders>
              <w:top w:val="nil"/>
              <w:left w:val="nil"/>
              <w:bottom w:val="single" w:sz="4" w:space="0" w:color="auto"/>
              <w:right w:val="single" w:sz="4" w:space="0" w:color="auto"/>
            </w:tcBorders>
            <w:shd w:val="clear" w:color="auto" w:fill="auto"/>
            <w:noWrap/>
            <w:vAlign w:val="center"/>
            <w:hideMark/>
          </w:tcPr>
          <w:p w14:paraId="4E47D32C"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0.77 ± 0.01</w:t>
            </w:r>
          </w:p>
        </w:tc>
        <w:tc>
          <w:tcPr>
            <w:tcW w:w="1619" w:type="dxa"/>
            <w:tcBorders>
              <w:top w:val="nil"/>
              <w:left w:val="nil"/>
              <w:bottom w:val="single" w:sz="4" w:space="0" w:color="auto"/>
              <w:right w:val="single" w:sz="4" w:space="0" w:color="auto"/>
            </w:tcBorders>
            <w:shd w:val="clear" w:color="auto" w:fill="auto"/>
            <w:noWrap/>
            <w:vAlign w:val="center"/>
            <w:hideMark/>
          </w:tcPr>
          <w:p w14:paraId="347D24AA"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0.84 ± 0.01</w:t>
            </w:r>
          </w:p>
        </w:tc>
        <w:tc>
          <w:tcPr>
            <w:tcW w:w="1778" w:type="dxa"/>
            <w:tcBorders>
              <w:top w:val="nil"/>
              <w:left w:val="nil"/>
              <w:bottom w:val="single" w:sz="4" w:space="0" w:color="auto"/>
              <w:right w:val="single" w:sz="4" w:space="0" w:color="auto"/>
            </w:tcBorders>
            <w:shd w:val="clear" w:color="auto" w:fill="auto"/>
            <w:noWrap/>
            <w:vAlign w:val="center"/>
            <w:hideMark/>
          </w:tcPr>
          <w:p w14:paraId="3FF453E4"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0.55 ± 0.03</w:t>
            </w:r>
          </w:p>
        </w:tc>
      </w:tr>
      <w:tr w:rsidR="00ED33BD" w:rsidRPr="001E3ED1" w14:paraId="688DA60E" w14:textId="77777777" w:rsidTr="001D5790">
        <w:trPr>
          <w:trHeight w:val="316"/>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14:paraId="7B060FC1"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33</w:t>
            </w:r>
          </w:p>
        </w:tc>
        <w:tc>
          <w:tcPr>
            <w:tcW w:w="1690" w:type="dxa"/>
            <w:tcBorders>
              <w:top w:val="nil"/>
              <w:left w:val="nil"/>
              <w:bottom w:val="single" w:sz="4" w:space="0" w:color="auto"/>
              <w:right w:val="single" w:sz="4" w:space="0" w:color="auto"/>
            </w:tcBorders>
            <w:shd w:val="clear" w:color="auto" w:fill="auto"/>
            <w:noWrap/>
            <w:vAlign w:val="center"/>
            <w:hideMark/>
          </w:tcPr>
          <w:p w14:paraId="32976443"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0.83 ± 0.02</w:t>
            </w:r>
          </w:p>
        </w:tc>
        <w:tc>
          <w:tcPr>
            <w:tcW w:w="1672" w:type="dxa"/>
            <w:tcBorders>
              <w:top w:val="nil"/>
              <w:left w:val="nil"/>
              <w:bottom w:val="single" w:sz="4" w:space="0" w:color="auto"/>
              <w:right w:val="single" w:sz="4" w:space="0" w:color="auto"/>
            </w:tcBorders>
            <w:shd w:val="clear" w:color="auto" w:fill="auto"/>
            <w:noWrap/>
            <w:vAlign w:val="center"/>
            <w:hideMark/>
          </w:tcPr>
          <w:p w14:paraId="74EE2FA2"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0.71 ± 0.02</w:t>
            </w:r>
          </w:p>
        </w:tc>
        <w:tc>
          <w:tcPr>
            <w:tcW w:w="1549" w:type="dxa"/>
            <w:tcBorders>
              <w:top w:val="nil"/>
              <w:left w:val="nil"/>
              <w:bottom w:val="single" w:sz="4" w:space="0" w:color="auto"/>
              <w:right w:val="single" w:sz="4" w:space="0" w:color="auto"/>
            </w:tcBorders>
            <w:shd w:val="clear" w:color="auto" w:fill="auto"/>
            <w:noWrap/>
            <w:vAlign w:val="center"/>
            <w:hideMark/>
          </w:tcPr>
          <w:p w14:paraId="70A65D20"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0.77 ± 0.01</w:t>
            </w:r>
          </w:p>
        </w:tc>
        <w:tc>
          <w:tcPr>
            <w:tcW w:w="1619" w:type="dxa"/>
            <w:tcBorders>
              <w:top w:val="nil"/>
              <w:left w:val="nil"/>
              <w:bottom w:val="single" w:sz="4" w:space="0" w:color="auto"/>
              <w:right w:val="single" w:sz="4" w:space="0" w:color="auto"/>
            </w:tcBorders>
            <w:shd w:val="clear" w:color="auto" w:fill="auto"/>
            <w:noWrap/>
            <w:vAlign w:val="center"/>
            <w:hideMark/>
          </w:tcPr>
          <w:p w14:paraId="394F7775"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0.84 ± 0.01</w:t>
            </w:r>
          </w:p>
        </w:tc>
        <w:tc>
          <w:tcPr>
            <w:tcW w:w="1778" w:type="dxa"/>
            <w:tcBorders>
              <w:top w:val="nil"/>
              <w:left w:val="nil"/>
              <w:bottom w:val="single" w:sz="4" w:space="0" w:color="auto"/>
              <w:right w:val="single" w:sz="4" w:space="0" w:color="auto"/>
            </w:tcBorders>
            <w:shd w:val="clear" w:color="auto" w:fill="auto"/>
            <w:noWrap/>
            <w:vAlign w:val="center"/>
            <w:hideMark/>
          </w:tcPr>
          <w:p w14:paraId="38A68D75"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0.55 ± 0.01</w:t>
            </w:r>
          </w:p>
        </w:tc>
      </w:tr>
      <w:tr w:rsidR="00ED33BD" w:rsidRPr="001E3ED1" w14:paraId="523FBA00" w14:textId="77777777" w:rsidTr="001D5790">
        <w:trPr>
          <w:trHeight w:val="316"/>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14:paraId="1D285E26"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21</w:t>
            </w:r>
          </w:p>
        </w:tc>
        <w:tc>
          <w:tcPr>
            <w:tcW w:w="1690" w:type="dxa"/>
            <w:tcBorders>
              <w:top w:val="nil"/>
              <w:left w:val="nil"/>
              <w:bottom w:val="single" w:sz="4" w:space="0" w:color="auto"/>
              <w:right w:val="single" w:sz="4" w:space="0" w:color="auto"/>
            </w:tcBorders>
            <w:shd w:val="clear" w:color="auto" w:fill="auto"/>
            <w:noWrap/>
            <w:vAlign w:val="center"/>
            <w:hideMark/>
          </w:tcPr>
          <w:p w14:paraId="30B0A355"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0.82 ± 0.05</w:t>
            </w:r>
          </w:p>
        </w:tc>
        <w:tc>
          <w:tcPr>
            <w:tcW w:w="1672" w:type="dxa"/>
            <w:tcBorders>
              <w:top w:val="nil"/>
              <w:left w:val="nil"/>
              <w:bottom w:val="single" w:sz="4" w:space="0" w:color="auto"/>
              <w:right w:val="single" w:sz="4" w:space="0" w:color="auto"/>
            </w:tcBorders>
            <w:shd w:val="clear" w:color="auto" w:fill="auto"/>
            <w:noWrap/>
            <w:vAlign w:val="center"/>
            <w:hideMark/>
          </w:tcPr>
          <w:p w14:paraId="0376D152"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0.68 ± 0.05</w:t>
            </w:r>
          </w:p>
        </w:tc>
        <w:tc>
          <w:tcPr>
            <w:tcW w:w="1549" w:type="dxa"/>
            <w:tcBorders>
              <w:top w:val="nil"/>
              <w:left w:val="nil"/>
              <w:bottom w:val="single" w:sz="4" w:space="0" w:color="auto"/>
              <w:right w:val="single" w:sz="4" w:space="0" w:color="auto"/>
            </w:tcBorders>
            <w:shd w:val="clear" w:color="auto" w:fill="auto"/>
            <w:noWrap/>
            <w:vAlign w:val="center"/>
            <w:hideMark/>
          </w:tcPr>
          <w:p w14:paraId="0048D750"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0.75 ± 0.02</w:t>
            </w:r>
          </w:p>
        </w:tc>
        <w:tc>
          <w:tcPr>
            <w:tcW w:w="1619" w:type="dxa"/>
            <w:tcBorders>
              <w:top w:val="nil"/>
              <w:left w:val="nil"/>
              <w:bottom w:val="single" w:sz="4" w:space="0" w:color="auto"/>
              <w:right w:val="single" w:sz="4" w:space="0" w:color="auto"/>
            </w:tcBorders>
            <w:shd w:val="clear" w:color="auto" w:fill="auto"/>
            <w:noWrap/>
            <w:vAlign w:val="center"/>
            <w:hideMark/>
          </w:tcPr>
          <w:p w14:paraId="0578C519"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0.81 ± 0.02</w:t>
            </w:r>
          </w:p>
        </w:tc>
        <w:tc>
          <w:tcPr>
            <w:tcW w:w="1778" w:type="dxa"/>
            <w:tcBorders>
              <w:top w:val="nil"/>
              <w:left w:val="nil"/>
              <w:bottom w:val="single" w:sz="4" w:space="0" w:color="auto"/>
              <w:right w:val="single" w:sz="4" w:space="0" w:color="auto"/>
            </w:tcBorders>
            <w:shd w:val="clear" w:color="auto" w:fill="auto"/>
            <w:noWrap/>
            <w:vAlign w:val="center"/>
            <w:hideMark/>
          </w:tcPr>
          <w:p w14:paraId="052E09EF"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0.50 ± 0.03</w:t>
            </w:r>
          </w:p>
        </w:tc>
      </w:tr>
      <w:tr w:rsidR="00ED33BD" w:rsidRPr="001E3ED1" w14:paraId="79CA4D2C" w14:textId="77777777" w:rsidTr="001D5790">
        <w:trPr>
          <w:trHeight w:val="316"/>
        </w:trPr>
        <w:tc>
          <w:tcPr>
            <w:tcW w:w="1390" w:type="dxa"/>
            <w:tcBorders>
              <w:top w:val="nil"/>
              <w:left w:val="single" w:sz="4" w:space="0" w:color="auto"/>
              <w:bottom w:val="single" w:sz="4" w:space="0" w:color="auto"/>
              <w:right w:val="single" w:sz="4" w:space="0" w:color="auto"/>
            </w:tcBorders>
            <w:shd w:val="clear" w:color="auto" w:fill="auto"/>
            <w:noWrap/>
            <w:vAlign w:val="center"/>
            <w:hideMark/>
          </w:tcPr>
          <w:p w14:paraId="71CF710C"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9</w:t>
            </w:r>
          </w:p>
        </w:tc>
        <w:tc>
          <w:tcPr>
            <w:tcW w:w="1690" w:type="dxa"/>
            <w:tcBorders>
              <w:top w:val="nil"/>
              <w:left w:val="nil"/>
              <w:bottom w:val="single" w:sz="4" w:space="0" w:color="auto"/>
              <w:right w:val="single" w:sz="4" w:space="0" w:color="auto"/>
            </w:tcBorders>
            <w:shd w:val="clear" w:color="auto" w:fill="auto"/>
            <w:noWrap/>
            <w:vAlign w:val="center"/>
            <w:hideMark/>
          </w:tcPr>
          <w:p w14:paraId="3E30DDC2"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0.72 ± 0.04</w:t>
            </w:r>
          </w:p>
        </w:tc>
        <w:tc>
          <w:tcPr>
            <w:tcW w:w="1672" w:type="dxa"/>
            <w:tcBorders>
              <w:top w:val="nil"/>
              <w:left w:val="nil"/>
              <w:bottom w:val="single" w:sz="4" w:space="0" w:color="auto"/>
              <w:right w:val="single" w:sz="4" w:space="0" w:color="auto"/>
            </w:tcBorders>
            <w:shd w:val="clear" w:color="auto" w:fill="auto"/>
            <w:noWrap/>
            <w:vAlign w:val="center"/>
            <w:hideMark/>
          </w:tcPr>
          <w:p w14:paraId="73B833D0"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0.69 ± 0.04</w:t>
            </w:r>
          </w:p>
        </w:tc>
        <w:tc>
          <w:tcPr>
            <w:tcW w:w="1549" w:type="dxa"/>
            <w:tcBorders>
              <w:top w:val="nil"/>
              <w:left w:val="nil"/>
              <w:bottom w:val="single" w:sz="4" w:space="0" w:color="auto"/>
              <w:right w:val="single" w:sz="4" w:space="0" w:color="auto"/>
            </w:tcBorders>
            <w:shd w:val="clear" w:color="auto" w:fill="auto"/>
            <w:noWrap/>
            <w:vAlign w:val="center"/>
            <w:hideMark/>
          </w:tcPr>
          <w:p w14:paraId="7CA8B8AE"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0.70 ± 0.01</w:t>
            </w:r>
          </w:p>
        </w:tc>
        <w:tc>
          <w:tcPr>
            <w:tcW w:w="1619" w:type="dxa"/>
            <w:tcBorders>
              <w:top w:val="nil"/>
              <w:left w:val="nil"/>
              <w:bottom w:val="single" w:sz="4" w:space="0" w:color="auto"/>
              <w:right w:val="single" w:sz="4" w:space="0" w:color="auto"/>
            </w:tcBorders>
            <w:shd w:val="clear" w:color="auto" w:fill="auto"/>
            <w:noWrap/>
            <w:vAlign w:val="center"/>
            <w:hideMark/>
          </w:tcPr>
          <w:p w14:paraId="6FC1F0CE"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0.76 ± 0.02</w:t>
            </w:r>
          </w:p>
        </w:tc>
        <w:tc>
          <w:tcPr>
            <w:tcW w:w="1778" w:type="dxa"/>
            <w:tcBorders>
              <w:top w:val="nil"/>
              <w:left w:val="nil"/>
              <w:bottom w:val="single" w:sz="4" w:space="0" w:color="auto"/>
              <w:right w:val="single" w:sz="4" w:space="0" w:color="auto"/>
            </w:tcBorders>
            <w:shd w:val="clear" w:color="auto" w:fill="auto"/>
            <w:noWrap/>
            <w:vAlign w:val="center"/>
            <w:hideMark/>
          </w:tcPr>
          <w:p w14:paraId="7E4009F1" w14:textId="77777777" w:rsidR="00ED33BD" w:rsidRPr="001E3ED1" w:rsidRDefault="00ED33BD" w:rsidP="001D5790">
            <w:pPr>
              <w:spacing w:after="0" w:line="240" w:lineRule="auto"/>
              <w:jc w:val="both"/>
              <w:rPr>
                <w:rFonts w:ascii="Times New Roman" w:eastAsia="Times New Roman" w:hAnsi="Times New Roman" w:cs="Times New Roman"/>
              </w:rPr>
            </w:pPr>
            <w:r w:rsidRPr="001E3ED1">
              <w:rPr>
                <w:rFonts w:ascii="Times New Roman" w:eastAsia="Times New Roman" w:hAnsi="Times New Roman" w:cs="Times New Roman"/>
              </w:rPr>
              <w:t>0.41 ± 0.03</w:t>
            </w:r>
          </w:p>
        </w:tc>
      </w:tr>
    </w:tbl>
    <w:p w14:paraId="60FF7D1B" w14:textId="77777777" w:rsidR="00ED33BD" w:rsidRDefault="00ED33BD" w:rsidP="00ED33BD">
      <w:pPr>
        <w:ind w:firstLine="720"/>
        <w:jc w:val="both"/>
        <w:rPr>
          <w:rFonts w:ascii="Times New Roman" w:hAnsi="Times New Roman" w:cs="Times New Roman"/>
        </w:rPr>
      </w:pPr>
    </w:p>
    <w:p w14:paraId="446F52D8" w14:textId="22EB6381" w:rsidR="00ED33BD" w:rsidRPr="00872175" w:rsidRDefault="00ED33BD" w:rsidP="00ED33BD">
      <w:pPr>
        <w:ind w:firstLine="720"/>
        <w:jc w:val="both"/>
        <w:rPr>
          <w:rFonts w:ascii="Times New Roman" w:hAnsi="Times New Roman" w:cs="Times New Roman"/>
        </w:rPr>
      </w:pPr>
      <w:r>
        <w:rPr>
          <w:rFonts w:ascii="Times New Roman" w:hAnsi="Times New Roman" w:cs="Times New Roman"/>
        </w:rPr>
        <w:t>For the combined ST dataset, the results of 10-fold cross-validation mirrored those observed for T alone (</w:t>
      </w:r>
      <w:r w:rsidRPr="00A727F0">
        <w:rPr>
          <w:rFonts w:ascii="Times New Roman" w:hAnsi="Times New Roman" w:cs="Times New Roman"/>
          <w:b/>
          <w:bCs/>
        </w:rPr>
        <w:t xml:space="preserve">Table </w:t>
      </w:r>
      <w:r w:rsidR="00287A59">
        <w:rPr>
          <w:rFonts w:ascii="Times New Roman" w:hAnsi="Times New Roman" w:cs="Times New Roman"/>
          <w:b/>
          <w:bCs/>
        </w:rPr>
        <w:t>S</w:t>
      </w:r>
      <w:r w:rsidRPr="00A727F0">
        <w:rPr>
          <w:rFonts w:ascii="Times New Roman" w:hAnsi="Times New Roman" w:cs="Times New Roman"/>
          <w:b/>
          <w:bCs/>
        </w:rPr>
        <w:t>3</w:t>
      </w:r>
      <w:r>
        <w:rPr>
          <w:rFonts w:ascii="Times New Roman" w:hAnsi="Times New Roman" w:cs="Times New Roman"/>
        </w:rPr>
        <w:t>). For instance, the performance of the CNN model increased as window size increased with a peak at window size 53 that started to decline thereafter. At window size 53, mean MCC, AUC, and ACC values were 0.62 ± 0.01, 0.89 ± 0.01, and 0.81 ± 0.01, respectively (</w:t>
      </w:r>
      <w:r w:rsidRPr="00A727F0">
        <w:rPr>
          <w:rFonts w:ascii="Times New Roman" w:hAnsi="Times New Roman" w:cs="Times New Roman"/>
          <w:b/>
          <w:bCs/>
        </w:rPr>
        <w:t xml:space="preserve">Table </w:t>
      </w:r>
      <w:r w:rsidR="009034C2">
        <w:rPr>
          <w:rFonts w:ascii="Times New Roman" w:hAnsi="Times New Roman" w:cs="Times New Roman"/>
          <w:b/>
          <w:bCs/>
        </w:rPr>
        <w:t>S</w:t>
      </w:r>
      <w:r w:rsidRPr="00A727F0">
        <w:rPr>
          <w:rFonts w:ascii="Times New Roman" w:hAnsi="Times New Roman" w:cs="Times New Roman"/>
          <w:b/>
          <w:bCs/>
        </w:rPr>
        <w:t>3</w:t>
      </w:r>
      <w:r>
        <w:rPr>
          <w:rFonts w:ascii="Times New Roman" w:hAnsi="Times New Roman" w:cs="Times New Roman"/>
        </w:rPr>
        <w:t>). The highest SN was obtained using window size of 57. Due to better performance in most metrics, window size 53 was again selected for further independent testing of combined ST phosphorylation sites.</w:t>
      </w:r>
    </w:p>
    <w:p w14:paraId="7DCA00BB" w14:textId="2F6EB0C2" w:rsidR="00ED33BD" w:rsidRPr="00CA1A81" w:rsidRDefault="00ED33BD" w:rsidP="00ED33BD">
      <w:pPr>
        <w:pStyle w:val="Caption"/>
        <w:keepNext/>
        <w:jc w:val="both"/>
        <w:rPr>
          <w:rFonts w:ascii="Times New Roman" w:hAnsi="Times New Roman" w:cs="Times New Roman"/>
          <w:i w:val="0"/>
          <w:iCs w:val="0"/>
          <w:sz w:val="22"/>
          <w:szCs w:val="22"/>
        </w:rPr>
      </w:pPr>
      <w:r w:rsidRPr="00CA1A81">
        <w:rPr>
          <w:rFonts w:ascii="Times New Roman" w:hAnsi="Times New Roman" w:cs="Times New Roman"/>
          <w:i w:val="0"/>
          <w:iCs w:val="0"/>
          <w:sz w:val="22"/>
          <w:szCs w:val="22"/>
        </w:rPr>
        <w:t xml:space="preserve">Table </w:t>
      </w:r>
      <w:r w:rsidR="00813361" w:rsidRPr="00CA1A81">
        <w:rPr>
          <w:rFonts w:ascii="Times New Roman" w:hAnsi="Times New Roman" w:cs="Times New Roman"/>
          <w:i w:val="0"/>
          <w:iCs w:val="0"/>
          <w:sz w:val="22"/>
          <w:szCs w:val="22"/>
        </w:rPr>
        <w:t>S3</w:t>
      </w:r>
      <w:r w:rsidR="00D33188" w:rsidRPr="00CA1A81">
        <w:rPr>
          <w:rFonts w:ascii="Times New Roman" w:hAnsi="Times New Roman" w:cs="Times New Roman"/>
          <w:i w:val="0"/>
          <w:iCs w:val="0"/>
          <w:sz w:val="22"/>
          <w:szCs w:val="22"/>
        </w:rPr>
        <w:t>.</w:t>
      </w:r>
      <w:r w:rsidRPr="00CA1A81">
        <w:rPr>
          <w:rFonts w:ascii="Times New Roman" w:hAnsi="Times New Roman" w:cs="Times New Roman"/>
          <w:i w:val="0"/>
          <w:iCs w:val="0"/>
          <w:sz w:val="22"/>
          <w:szCs w:val="22"/>
        </w:rPr>
        <w:t xml:space="preserve"> 10-fold cross-validation results for different windows for S and T sites prediction.</w:t>
      </w:r>
    </w:p>
    <w:tbl>
      <w:tblPr>
        <w:tblW w:w="9950" w:type="dxa"/>
        <w:tblLook w:val="04A0" w:firstRow="1" w:lastRow="0" w:firstColumn="1" w:lastColumn="0" w:noHBand="0" w:noVBand="1"/>
      </w:tblPr>
      <w:tblGrid>
        <w:gridCol w:w="1426"/>
        <w:gridCol w:w="1734"/>
        <w:gridCol w:w="1716"/>
        <w:gridCol w:w="1589"/>
        <w:gridCol w:w="1661"/>
        <w:gridCol w:w="1824"/>
      </w:tblGrid>
      <w:tr w:rsidR="00ED33BD" w:rsidRPr="00420292" w14:paraId="5F1C3C4C" w14:textId="77777777" w:rsidTr="001D5790">
        <w:trPr>
          <w:trHeight w:val="328"/>
        </w:trPr>
        <w:tc>
          <w:tcPr>
            <w:tcW w:w="1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8B0516" w14:textId="77777777" w:rsidR="00ED33BD" w:rsidRPr="00420292" w:rsidRDefault="00ED33BD" w:rsidP="001D5790">
            <w:pPr>
              <w:spacing w:after="0" w:line="240" w:lineRule="auto"/>
              <w:jc w:val="both"/>
              <w:rPr>
                <w:rFonts w:ascii="Times New Roman" w:eastAsia="Times New Roman" w:hAnsi="Times New Roman" w:cs="Times New Roman"/>
                <w:b/>
                <w:bCs/>
              </w:rPr>
            </w:pPr>
            <w:r w:rsidRPr="00420292">
              <w:rPr>
                <w:rFonts w:ascii="Times New Roman" w:eastAsia="Times New Roman" w:hAnsi="Times New Roman" w:cs="Times New Roman"/>
                <w:b/>
                <w:bCs/>
              </w:rPr>
              <w:t>Window Size</w:t>
            </w:r>
          </w:p>
        </w:tc>
        <w:tc>
          <w:tcPr>
            <w:tcW w:w="1734" w:type="dxa"/>
            <w:tcBorders>
              <w:top w:val="single" w:sz="4" w:space="0" w:color="auto"/>
              <w:left w:val="nil"/>
              <w:bottom w:val="single" w:sz="4" w:space="0" w:color="auto"/>
              <w:right w:val="single" w:sz="4" w:space="0" w:color="auto"/>
            </w:tcBorders>
            <w:shd w:val="clear" w:color="auto" w:fill="auto"/>
            <w:noWrap/>
            <w:vAlign w:val="center"/>
            <w:hideMark/>
          </w:tcPr>
          <w:p w14:paraId="754F0045" w14:textId="77777777" w:rsidR="00ED33BD" w:rsidRPr="00420292" w:rsidRDefault="00ED33BD" w:rsidP="001D5790">
            <w:pPr>
              <w:spacing w:after="0" w:line="240" w:lineRule="auto"/>
              <w:jc w:val="both"/>
              <w:rPr>
                <w:rFonts w:ascii="Times New Roman" w:eastAsia="Times New Roman" w:hAnsi="Times New Roman" w:cs="Times New Roman"/>
                <w:b/>
                <w:bCs/>
              </w:rPr>
            </w:pPr>
            <w:r w:rsidRPr="00420292">
              <w:rPr>
                <w:rFonts w:ascii="Times New Roman" w:eastAsia="Times New Roman" w:hAnsi="Times New Roman" w:cs="Times New Roman"/>
                <w:b/>
                <w:bCs/>
              </w:rPr>
              <w:t>SN</w:t>
            </w:r>
          </w:p>
        </w:tc>
        <w:tc>
          <w:tcPr>
            <w:tcW w:w="1716" w:type="dxa"/>
            <w:tcBorders>
              <w:top w:val="single" w:sz="4" w:space="0" w:color="auto"/>
              <w:left w:val="nil"/>
              <w:bottom w:val="single" w:sz="4" w:space="0" w:color="auto"/>
              <w:right w:val="single" w:sz="4" w:space="0" w:color="auto"/>
            </w:tcBorders>
            <w:shd w:val="clear" w:color="auto" w:fill="auto"/>
            <w:noWrap/>
            <w:vAlign w:val="center"/>
            <w:hideMark/>
          </w:tcPr>
          <w:p w14:paraId="72CA4AC1" w14:textId="77777777" w:rsidR="00ED33BD" w:rsidRPr="00420292" w:rsidRDefault="00ED33BD" w:rsidP="001D5790">
            <w:pPr>
              <w:spacing w:after="0" w:line="240" w:lineRule="auto"/>
              <w:jc w:val="both"/>
              <w:rPr>
                <w:rFonts w:ascii="Times New Roman" w:eastAsia="Times New Roman" w:hAnsi="Times New Roman" w:cs="Times New Roman"/>
                <w:b/>
                <w:bCs/>
              </w:rPr>
            </w:pPr>
            <w:r w:rsidRPr="00420292">
              <w:rPr>
                <w:rFonts w:ascii="Times New Roman" w:eastAsia="Times New Roman" w:hAnsi="Times New Roman" w:cs="Times New Roman"/>
                <w:b/>
                <w:bCs/>
              </w:rPr>
              <w:t>SP</w:t>
            </w:r>
          </w:p>
        </w:tc>
        <w:tc>
          <w:tcPr>
            <w:tcW w:w="1589" w:type="dxa"/>
            <w:tcBorders>
              <w:top w:val="single" w:sz="4" w:space="0" w:color="auto"/>
              <w:left w:val="nil"/>
              <w:bottom w:val="single" w:sz="4" w:space="0" w:color="auto"/>
              <w:right w:val="single" w:sz="4" w:space="0" w:color="auto"/>
            </w:tcBorders>
            <w:shd w:val="clear" w:color="auto" w:fill="auto"/>
            <w:noWrap/>
            <w:vAlign w:val="center"/>
            <w:hideMark/>
          </w:tcPr>
          <w:p w14:paraId="55A2B956" w14:textId="77777777" w:rsidR="00ED33BD" w:rsidRPr="00420292" w:rsidRDefault="00ED33BD" w:rsidP="001D5790">
            <w:pPr>
              <w:spacing w:after="0" w:line="240" w:lineRule="auto"/>
              <w:jc w:val="both"/>
              <w:rPr>
                <w:rFonts w:ascii="Times New Roman" w:eastAsia="Times New Roman" w:hAnsi="Times New Roman" w:cs="Times New Roman"/>
                <w:b/>
                <w:bCs/>
              </w:rPr>
            </w:pPr>
            <w:r w:rsidRPr="00420292">
              <w:rPr>
                <w:rFonts w:ascii="Times New Roman" w:eastAsia="Times New Roman" w:hAnsi="Times New Roman" w:cs="Times New Roman"/>
                <w:b/>
                <w:bCs/>
              </w:rPr>
              <w:t>ACC</w:t>
            </w: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5EACEF62" w14:textId="77777777" w:rsidR="00ED33BD" w:rsidRPr="00420292" w:rsidRDefault="00ED33BD" w:rsidP="001D5790">
            <w:pPr>
              <w:spacing w:after="0" w:line="240" w:lineRule="auto"/>
              <w:jc w:val="both"/>
              <w:rPr>
                <w:rFonts w:ascii="Times New Roman" w:eastAsia="Times New Roman" w:hAnsi="Times New Roman" w:cs="Times New Roman"/>
                <w:b/>
                <w:bCs/>
              </w:rPr>
            </w:pPr>
            <w:r w:rsidRPr="00420292">
              <w:rPr>
                <w:rFonts w:ascii="Times New Roman" w:eastAsia="Times New Roman" w:hAnsi="Times New Roman" w:cs="Times New Roman"/>
                <w:b/>
                <w:bCs/>
              </w:rPr>
              <w:t>AUC</w:t>
            </w:r>
          </w:p>
        </w:tc>
        <w:tc>
          <w:tcPr>
            <w:tcW w:w="1824" w:type="dxa"/>
            <w:tcBorders>
              <w:top w:val="single" w:sz="4" w:space="0" w:color="auto"/>
              <w:left w:val="nil"/>
              <w:bottom w:val="single" w:sz="4" w:space="0" w:color="auto"/>
              <w:right w:val="single" w:sz="4" w:space="0" w:color="auto"/>
            </w:tcBorders>
            <w:shd w:val="clear" w:color="auto" w:fill="auto"/>
            <w:noWrap/>
            <w:vAlign w:val="center"/>
            <w:hideMark/>
          </w:tcPr>
          <w:p w14:paraId="2B6865F5" w14:textId="77777777" w:rsidR="00ED33BD" w:rsidRPr="00420292" w:rsidRDefault="00ED33BD" w:rsidP="001D5790">
            <w:pPr>
              <w:spacing w:after="0" w:line="240" w:lineRule="auto"/>
              <w:jc w:val="both"/>
              <w:rPr>
                <w:rFonts w:ascii="Times New Roman" w:eastAsia="Times New Roman" w:hAnsi="Times New Roman" w:cs="Times New Roman"/>
                <w:b/>
                <w:bCs/>
              </w:rPr>
            </w:pPr>
            <w:r w:rsidRPr="00420292">
              <w:rPr>
                <w:rFonts w:ascii="Times New Roman" w:eastAsia="Times New Roman" w:hAnsi="Times New Roman" w:cs="Times New Roman"/>
                <w:b/>
                <w:bCs/>
              </w:rPr>
              <w:t>MCC</w:t>
            </w:r>
          </w:p>
        </w:tc>
      </w:tr>
      <w:tr w:rsidR="00ED33BD" w:rsidRPr="00420292" w14:paraId="310B3FD1" w14:textId="77777777" w:rsidTr="001D5790">
        <w:trPr>
          <w:trHeight w:val="328"/>
        </w:trPr>
        <w:tc>
          <w:tcPr>
            <w:tcW w:w="1426" w:type="dxa"/>
            <w:tcBorders>
              <w:top w:val="nil"/>
              <w:left w:val="single" w:sz="4" w:space="0" w:color="auto"/>
              <w:bottom w:val="single" w:sz="4" w:space="0" w:color="auto"/>
              <w:right w:val="single" w:sz="4" w:space="0" w:color="auto"/>
            </w:tcBorders>
            <w:shd w:val="clear" w:color="auto" w:fill="auto"/>
            <w:noWrap/>
            <w:vAlign w:val="center"/>
            <w:hideMark/>
          </w:tcPr>
          <w:p w14:paraId="594216B6"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61</w:t>
            </w:r>
          </w:p>
        </w:tc>
        <w:tc>
          <w:tcPr>
            <w:tcW w:w="1734" w:type="dxa"/>
            <w:tcBorders>
              <w:top w:val="nil"/>
              <w:left w:val="nil"/>
              <w:bottom w:val="single" w:sz="4" w:space="0" w:color="auto"/>
              <w:right w:val="single" w:sz="4" w:space="0" w:color="auto"/>
            </w:tcBorders>
            <w:shd w:val="clear" w:color="auto" w:fill="auto"/>
            <w:noWrap/>
            <w:vAlign w:val="center"/>
            <w:hideMark/>
          </w:tcPr>
          <w:p w14:paraId="576E1B8F"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0.88 ± 0.01</w:t>
            </w:r>
          </w:p>
        </w:tc>
        <w:tc>
          <w:tcPr>
            <w:tcW w:w="1716" w:type="dxa"/>
            <w:tcBorders>
              <w:top w:val="nil"/>
              <w:left w:val="nil"/>
              <w:bottom w:val="single" w:sz="4" w:space="0" w:color="auto"/>
              <w:right w:val="single" w:sz="4" w:space="0" w:color="auto"/>
            </w:tcBorders>
            <w:shd w:val="clear" w:color="auto" w:fill="auto"/>
            <w:noWrap/>
            <w:vAlign w:val="center"/>
            <w:hideMark/>
          </w:tcPr>
          <w:p w14:paraId="362415D1"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0.73 ± 0.02</w:t>
            </w:r>
          </w:p>
        </w:tc>
        <w:tc>
          <w:tcPr>
            <w:tcW w:w="1589" w:type="dxa"/>
            <w:tcBorders>
              <w:top w:val="nil"/>
              <w:left w:val="nil"/>
              <w:bottom w:val="single" w:sz="4" w:space="0" w:color="auto"/>
              <w:right w:val="single" w:sz="4" w:space="0" w:color="auto"/>
            </w:tcBorders>
            <w:shd w:val="clear" w:color="auto" w:fill="auto"/>
            <w:noWrap/>
            <w:vAlign w:val="center"/>
            <w:hideMark/>
          </w:tcPr>
          <w:p w14:paraId="2165B6BD"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0.81 ± 0.01</w:t>
            </w:r>
          </w:p>
        </w:tc>
        <w:tc>
          <w:tcPr>
            <w:tcW w:w="1661" w:type="dxa"/>
            <w:tcBorders>
              <w:top w:val="nil"/>
              <w:left w:val="nil"/>
              <w:bottom w:val="single" w:sz="4" w:space="0" w:color="auto"/>
              <w:right w:val="single" w:sz="4" w:space="0" w:color="auto"/>
            </w:tcBorders>
            <w:shd w:val="clear" w:color="auto" w:fill="auto"/>
            <w:noWrap/>
            <w:vAlign w:val="center"/>
            <w:hideMark/>
          </w:tcPr>
          <w:p w14:paraId="562032E5"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0.88 ± 0.01</w:t>
            </w:r>
          </w:p>
        </w:tc>
        <w:tc>
          <w:tcPr>
            <w:tcW w:w="1824" w:type="dxa"/>
            <w:tcBorders>
              <w:top w:val="nil"/>
              <w:left w:val="nil"/>
              <w:bottom w:val="single" w:sz="4" w:space="0" w:color="auto"/>
              <w:right w:val="single" w:sz="4" w:space="0" w:color="auto"/>
            </w:tcBorders>
            <w:shd w:val="clear" w:color="auto" w:fill="auto"/>
            <w:noWrap/>
            <w:vAlign w:val="center"/>
            <w:hideMark/>
          </w:tcPr>
          <w:p w14:paraId="2C4D6AE9"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0.62 ± 0.01</w:t>
            </w:r>
          </w:p>
        </w:tc>
      </w:tr>
      <w:tr w:rsidR="00ED33BD" w:rsidRPr="00420292" w14:paraId="5C2A1B6C" w14:textId="77777777" w:rsidTr="001D5790">
        <w:trPr>
          <w:trHeight w:val="328"/>
        </w:trPr>
        <w:tc>
          <w:tcPr>
            <w:tcW w:w="1426" w:type="dxa"/>
            <w:tcBorders>
              <w:top w:val="nil"/>
              <w:left w:val="single" w:sz="4" w:space="0" w:color="auto"/>
              <w:bottom w:val="single" w:sz="4" w:space="0" w:color="auto"/>
              <w:right w:val="single" w:sz="4" w:space="0" w:color="auto"/>
            </w:tcBorders>
            <w:shd w:val="clear" w:color="auto" w:fill="auto"/>
            <w:noWrap/>
            <w:vAlign w:val="center"/>
            <w:hideMark/>
          </w:tcPr>
          <w:p w14:paraId="179C003B"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57</w:t>
            </w:r>
          </w:p>
        </w:tc>
        <w:tc>
          <w:tcPr>
            <w:tcW w:w="1734" w:type="dxa"/>
            <w:tcBorders>
              <w:top w:val="nil"/>
              <w:left w:val="nil"/>
              <w:bottom w:val="single" w:sz="4" w:space="0" w:color="auto"/>
              <w:right w:val="single" w:sz="4" w:space="0" w:color="auto"/>
            </w:tcBorders>
            <w:shd w:val="clear" w:color="auto" w:fill="auto"/>
            <w:noWrap/>
            <w:vAlign w:val="center"/>
            <w:hideMark/>
          </w:tcPr>
          <w:p w14:paraId="56C19FF7"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0.90 ± 0.01</w:t>
            </w:r>
          </w:p>
        </w:tc>
        <w:tc>
          <w:tcPr>
            <w:tcW w:w="1716" w:type="dxa"/>
            <w:tcBorders>
              <w:top w:val="nil"/>
              <w:left w:val="nil"/>
              <w:bottom w:val="single" w:sz="4" w:space="0" w:color="auto"/>
              <w:right w:val="single" w:sz="4" w:space="0" w:color="auto"/>
            </w:tcBorders>
            <w:shd w:val="clear" w:color="auto" w:fill="auto"/>
            <w:noWrap/>
            <w:vAlign w:val="center"/>
            <w:hideMark/>
          </w:tcPr>
          <w:p w14:paraId="5D2299F9"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0.71 ± 0.02</w:t>
            </w:r>
          </w:p>
        </w:tc>
        <w:tc>
          <w:tcPr>
            <w:tcW w:w="1589" w:type="dxa"/>
            <w:tcBorders>
              <w:top w:val="nil"/>
              <w:left w:val="nil"/>
              <w:bottom w:val="single" w:sz="4" w:space="0" w:color="auto"/>
              <w:right w:val="single" w:sz="4" w:space="0" w:color="auto"/>
            </w:tcBorders>
            <w:shd w:val="clear" w:color="auto" w:fill="auto"/>
            <w:noWrap/>
            <w:vAlign w:val="center"/>
            <w:hideMark/>
          </w:tcPr>
          <w:p w14:paraId="1379DE18"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0.80 ± 0.01</w:t>
            </w:r>
          </w:p>
        </w:tc>
        <w:tc>
          <w:tcPr>
            <w:tcW w:w="1661" w:type="dxa"/>
            <w:tcBorders>
              <w:top w:val="nil"/>
              <w:left w:val="nil"/>
              <w:bottom w:val="single" w:sz="4" w:space="0" w:color="auto"/>
              <w:right w:val="single" w:sz="4" w:space="0" w:color="auto"/>
            </w:tcBorders>
            <w:shd w:val="clear" w:color="auto" w:fill="auto"/>
            <w:noWrap/>
            <w:vAlign w:val="center"/>
            <w:hideMark/>
          </w:tcPr>
          <w:p w14:paraId="454A0321"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0.89 ± 0.01</w:t>
            </w:r>
          </w:p>
        </w:tc>
        <w:tc>
          <w:tcPr>
            <w:tcW w:w="1824" w:type="dxa"/>
            <w:tcBorders>
              <w:top w:val="nil"/>
              <w:left w:val="nil"/>
              <w:bottom w:val="single" w:sz="4" w:space="0" w:color="auto"/>
              <w:right w:val="single" w:sz="4" w:space="0" w:color="auto"/>
            </w:tcBorders>
            <w:shd w:val="clear" w:color="auto" w:fill="auto"/>
            <w:noWrap/>
            <w:vAlign w:val="center"/>
            <w:hideMark/>
          </w:tcPr>
          <w:p w14:paraId="4366DC9C"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0.62 ± 0.02</w:t>
            </w:r>
          </w:p>
        </w:tc>
      </w:tr>
      <w:tr w:rsidR="00ED33BD" w:rsidRPr="00420292" w14:paraId="42B7CA88" w14:textId="77777777" w:rsidTr="001D5790">
        <w:trPr>
          <w:trHeight w:val="328"/>
        </w:trPr>
        <w:tc>
          <w:tcPr>
            <w:tcW w:w="1426" w:type="dxa"/>
            <w:tcBorders>
              <w:top w:val="nil"/>
              <w:left w:val="single" w:sz="4" w:space="0" w:color="auto"/>
              <w:bottom w:val="single" w:sz="4" w:space="0" w:color="auto"/>
              <w:right w:val="single" w:sz="4" w:space="0" w:color="auto"/>
            </w:tcBorders>
            <w:shd w:val="clear" w:color="auto" w:fill="auto"/>
            <w:noWrap/>
            <w:vAlign w:val="center"/>
            <w:hideMark/>
          </w:tcPr>
          <w:p w14:paraId="566AD467"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53</w:t>
            </w:r>
          </w:p>
        </w:tc>
        <w:tc>
          <w:tcPr>
            <w:tcW w:w="1734" w:type="dxa"/>
            <w:tcBorders>
              <w:top w:val="nil"/>
              <w:left w:val="nil"/>
              <w:bottom w:val="single" w:sz="4" w:space="0" w:color="auto"/>
              <w:right w:val="single" w:sz="4" w:space="0" w:color="auto"/>
            </w:tcBorders>
            <w:shd w:val="clear" w:color="auto" w:fill="auto"/>
            <w:noWrap/>
            <w:vAlign w:val="center"/>
            <w:hideMark/>
          </w:tcPr>
          <w:p w14:paraId="5B6348E9"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0.88 ± 0.02</w:t>
            </w:r>
          </w:p>
        </w:tc>
        <w:tc>
          <w:tcPr>
            <w:tcW w:w="1716" w:type="dxa"/>
            <w:tcBorders>
              <w:top w:val="nil"/>
              <w:left w:val="nil"/>
              <w:bottom w:val="single" w:sz="4" w:space="0" w:color="auto"/>
              <w:right w:val="single" w:sz="4" w:space="0" w:color="auto"/>
            </w:tcBorders>
            <w:shd w:val="clear" w:color="auto" w:fill="auto"/>
            <w:noWrap/>
            <w:vAlign w:val="center"/>
            <w:hideMark/>
          </w:tcPr>
          <w:p w14:paraId="0AF0F627"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0.73 ± 0.02</w:t>
            </w:r>
          </w:p>
        </w:tc>
        <w:tc>
          <w:tcPr>
            <w:tcW w:w="1589" w:type="dxa"/>
            <w:tcBorders>
              <w:top w:val="nil"/>
              <w:left w:val="nil"/>
              <w:bottom w:val="single" w:sz="4" w:space="0" w:color="auto"/>
              <w:right w:val="single" w:sz="4" w:space="0" w:color="auto"/>
            </w:tcBorders>
            <w:shd w:val="clear" w:color="auto" w:fill="auto"/>
            <w:noWrap/>
            <w:vAlign w:val="center"/>
            <w:hideMark/>
          </w:tcPr>
          <w:p w14:paraId="591FF209"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0.81 ± 0.01</w:t>
            </w:r>
          </w:p>
        </w:tc>
        <w:tc>
          <w:tcPr>
            <w:tcW w:w="1661" w:type="dxa"/>
            <w:tcBorders>
              <w:top w:val="nil"/>
              <w:left w:val="nil"/>
              <w:bottom w:val="single" w:sz="4" w:space="0" w:color="auto"/>
              <w:right w:val="single" w:sz="4" w:space="0" w:color="auto"/>
            </w:tcBorders>
            <w:shd w:val="clear" w:color="auto" w:fill="auto"/>
            <w:noWrap/>
            <w:vAlign w:val="center"/>
            <w:hideMark/>
          </w:tcPr>
          <w:p w14:paraId="39952221"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0.89 ± 0.01</w:t>
            </w:r>
          </w:p>
        </w:tc>
        <w:tc>
          <w:tcPr>
            <w:tcW w:w="1824" w:type="dxa"/>
            <w:tcBorders>
              <w:top w:val="nil"/>
              <w:left w:val="nil"/>
              <w:bottom w:val="single" w:sz="4" w:space="0" w:color="auto"/>
              <w:right w:val="single" w:sz="4" w:space="0" w:color="auto"/>
            </w:tcBorders>
            <w:shd w:val="clear" w:color="auto" w:fill="auto"/>
            <w:noWrap/>
            <w:vAlign w:val="center"/>
            <w:hideMark/>
          </w:tcPr>
          <w:p w14:paraId="294B242E"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0.62 ± 0.01</w:t>
            </w:r>
          </w:p>
        </w:tc>
      </w:tr>
      <w:tr w:rsidR="00ED33BD" w:rsidRPr="00420292" w14:paraId="08F0AF34" w14:textId="77777777" w:rsidTr="001D5790">
        <w:trPr>
          <w:trHeight w:val="328"/>
        </w:trPr>
        <w:tc>
          <w:tcPr>
            <w:tcW w:w="1426" w:type="dxa"/>
            <w:tcBorders>
              <w:top w:val="nil"/>
              <w:left w:val="single" w:sz="4" w:space="0" w:color="auto"/>
              <w:bottom w:val="single" w:sz="4" w:space="0" w:color="auto"/>
              <w:right w:val="single" w:sz="4" w:space="0" w:color="auto"/>
            </w:tcBorders>
            <w:shd w:val="clear" w:color="auto" w:fill="auto"/>
            <w:noWrap/>
            <w:vAlign w:val="center"/>
            <w:hideMark/>
          </w:tcPr>
          <w:p w14:paraId="1FE1AABC"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49</w:t>
            </w:r>
          </w:p>
        </w:tc>
        <w:tc>
          <w:tcPr>
            <w:tcW w:w="1734" w:type="dxa"/>
            <w:tcBorders>
              <w:top w:val="nil"/>
              <w:left w:val="nil"/>
              <w:bottom w:val="single" w:sz="4" w:space="0" w:color="auto"/>
              <w:right w:val="single" w:sz="4" w:space="0" w:color="auto"/>
            </w:tcBorders>
            <w:shd w:val="clear" w:color="auto" w:fill="auto"/>
            <w:noWrap/>
            <w:vAlign w:val="center"/>
            <w:hideMark/>
          </w:tcPr>
          <w:p w14:paraId="2F5FB448"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0.88 ± 0.02</w:t>
            </w:r>
          </w:p>
        </w:tc>
        <w:tc>
          <w:tcPr>
            <w:tcW w:w="1716" w:type="dxa"/>
            <w:tcBorders>
              <w:top w:val="nil"/>
              <w:left w:val="nil"/>
              <w:bottom w:val="single" w:sz="4" w:space="0" w:color="auto"/>
              <w:right w:val="single" w:sz="4" w:space="0" w:color="auto"/>
            </w:tcBorders>
            <w:shd w:val="clear" w:color="auto" w:fill="auto"/>
            <w:noWrap/>
            <w:vAlign w:val="center"/>
            <w:hideMark/>
          </w:tcPr>
          <w:p w14:paraId="0593FAA9"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0.73 ± 0.02</w:t>
            </w:r>
          </w:p>
        </w:tc>
        <w:tc>
          <w:tcPr>
            <w:tcW w:w="1589" w:type="dxa"/>
            <w:tcBorders>
              <w:top w:val="nil"/>
              <w:left w:val="nil"/>
              <w:bottom w:val="single" w:sz="4" w:space="0" w:color="auto"/>
              <w:right w:val="single" w:sz="4" w:space="0" w:color="auto"/>
            </w:tcBorders>
            <w:shd w:val="clear" w:color="auto" w:fill="auto"/>
            <w:noWrap/>
            <w:vAlign w:val="center"/>
            <w:hideMark/>
          </w:tcPr>
          <w:p w14:paraId="1903EA55"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0.80 ± 0.01</w:t>
            </w:r>
          </w:p>
        </w:tc>
        <w:tc>
          <w:tcPr>
            <w:tcW w:w="1661" w:type="dxa"/>
            <w:tcBorders>
              <w:top w:val="nil"/>
              <w:left w:val="nil"/>
              <w:bottom w:val="single" w:sz="4" w:space="0" w:color="auto"/>
              <w:right w:val="single" w:sz="4" w:space="0" w:color="auto"/>
            </w:tcBorders>
            <w:shd w:val="clear" w:color="auto" w:fill="auto"/>
            <w:noWrap/>
            <w:vAlign w:val="center"/>
            <w:hideMark/>
          </w:tcPr>
          <w:p w14:paraId="4641768D"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0.88 ± 0.01</w:t>
            </w:r>
          </w:p>
        </w:tc>
        <w:tc>
          <w:tcPr>
            <w:tcW w:w="1824" w:type="dxa"/>
            <w:tcBorders>
              <w:top w:val="nil"/>
              <w:left w:val="nil"/>
              <w:bottom w:val="single" w:sz="4" w:space="0" w:color="auto"/>
              <w:right w:val="single" w:sz="4" w:space="0" w:color="auto"/>
            </w:tcBorders>
            <w:shd w:val="clear" w:color="auto" w:fill="auto"/>
            <w:noWrap/>
            <w:vAlign w:val="center"/>
            <w:hideMark/>
          </w:tcPr>
          <w:p w14:paraId="586DD77D"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0.61 ± 0.01</w:t>
            </w:r>
          </w:p>
        </w:tc>
      </w:tr>
      <w:tr w:rsidR="00ED33BD" w:rsidRPr="00420292" w14:paraId="2136EDCF" w14:textId="77777777" w:rsidTr="001D5790">
        <w:trPr>
          <w:trHeight w:val="328"/>
        </w:trPr>
        <w:tc>
          <w:tcPr>
            <w:tcW w:w="1426" w:type="dxa"/>
            <w:tcBorders>
              <w:top w:val="nil"/>
              <w:left w:val="single" w:sz="4" w:space="0" w:color="auto"/>
              <w:bottom w:val="single" w:sz="4" w:space="0" w:color="auto"/>
              <w:right w:val="single" w:sz="4" w:space="0" w:color="auto"/>
            </w:tcBorders>
            <w:shd w:val="clear" w:color="auto" w:fill="auto"/>
            <w:noWrap/>
            <w:vAlign w:val="center"/>
            <w:hideMark/>
          </w:tcPr>
          <w:p w14:paraId="147E1ABC"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45</w:t>
            </w:r>
          </w:p>
        </w:tc>
        <w:tc>
          <w:tcPr>
            <w:tcW w:w="1734" w:type="dxa"/>
            <w:tcBorders>
              <w:top w:val="nil"/>
              <w:left w:val="nil"/>
              <w:bottom w:val="single" w:sz="4" w:space="0" w:color="auto"/>
              <w:right w:val="single" w:sz="4" w:space="0" w:color="auto"/>
            </w:tcBorders>
            <w:shd w:val="clear" w:color="auto" w:fill="auto"/>
            <w:noWrap/>
            <w:vAlign w:val="center"/>
            <w:hideMark/>
          </w:tcPr>
          <w:p w14:paraId="44D464A8"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0.88 ± 0.02</w:t>
            </w:r>
          </w:p>
        </w:tc>
        <w:tc>
          <w:tcPr>
            <w:tcW w:w="1716" w:type="dxa"/>
            <w:tcBorders>
              <w:top w:val="nil"/>
              <w:left w:val="nil"/>
              <w:bottom w:val="single" w:sz="4" w:space="0" w:color="auto"/>
              <w:right w:val="single" w:sz="4" w:space="0" w:color="auto"/>
            </w:tcBorders>
            <w:shd w:val="clear" w:color="auto" w:fill="auto"/>
            <w:noWrap/>
            <w:vAlign w:val="center"/>
            <w:hideMark/>
          </w:tcPr>
          <w:p w14:paraId="23264A03"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0.72 ± 0.02</w:t>
            </w:r>
          </w:p>
        </w:tc>
        <w:tc>
          <w:tcPr>
            <w:tcW w:w="1589" w:type="dxa"/>
            <w:tcBorders>
              <w:top w:val="nil"/>
              <w:left w:val="nil"/>
              <w:bottom w:val="single" w:sz="4" w:space="0" w:color="auto"/>
              <w:right w:val="single" w:sz="4" w:space="0" w:color="auto"/>
            </w:tcBorders>
            <w:shd w:val="clear" w:color="auto" w:fill="auto"/>
            <w:noWrap/>
            <w:vAlign w:val="center"/>
            <w:hideMark/>
          </w:tcPr>
          <w:p w14:paraId="0EF22BC9"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0.80 ± 0.01</w:t>
            </w:r>
          </w:p>
        </w:tc>
        <w:tc>
          <w:tcPr>
            <w:tcW w:w="1661" w:type="dxa"/>
            <w:tcBorders>
              <w:top w:val="nil"/>
              <w:left w:val="nil"/>
              <w:bottom w:val="single" w:sz="4" w:space="0" w:color="auto"/>
              <w:right w:val="single" w:sz="4" w:space="0" w:color="auto"/>
            </w:tcBorders>
            <w:shd w:val="clear" w:color="auto" w:fill="auto"/>
            <w:noWrap/>
            <w:vAlign w:val="center"/>
            <w:hideMark/>
          </w:tcPr>
          <w:p w14:paraId="7B867790"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0.88 ± 0.01</w:t>
            </w:r>
          </w:p>
        </w:tc>
        <w:tc>
          <w:tcPr>
            <w:tcW w:w="1824" w:type="dxa"/>
            <w:tcBorders>
              <w:top w:val="nil"/>
              <w:left w:val="nil"/>
              <w:bottom w:val="single" w:sz="4" w:space="0" w:color="auto"/>
              <w:right w:val="single" w:sz="4" w:space="0" w:color="auto"/>
            </w:tcBorders>
            <w:shd w:val="clear" w:color="auto" w:fill="auto"/>
            <w:noWrap/>
            <w:vAlign w:val="center"/>
            <w:hideMark/>
          </w:tcPr>
          <w:p w14:paraId="70A5BC55"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0.60 ± 0.01</w:t>
            </w:r>
          </w:p>
        </w:tc>
      </w:tr>
      <w:tr w:rsidR="00ED33BD" w:rsidRPr="00420292" w14:paraId="3AD8977A" w14:textId="77777777" w:rsidTr="001D5790">
        <w:trPr>
          <w:trHeight w:val="328"/>
        </w:trPr>
        <w:tc>
          <w:tcPr>
            <w:tcW w:w="1426" w:type="dxa"/>
            <w:tcBorders>
              <w:top w:val="nil"/>
              <w:left w:val="single" w:sz="4" w:space="0" w:color="auto"/>
              <w:bottom w:val="single" w:sz="4" w:space="0" w:color="auto"/>
              <w:right w:val="single" w:sz="4" w:space="0" w:color="auto"/>
            </w:tcBorders>
            <w:shd w:val="clear" w:color="auto" w:fill="auto"/>
            <w:noWrap/>
            <w:vAlign w:val="center"/>
            <w:hideMark/>
          </w:tcPr>
          <w:p w14:paraId="534DEB73"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33</w:t>
            </w:r>
          </w:p>
        </w:tc>
        <w:tc>
          <w:tcPr>
            <w:tcW w:w="1734" w:type="dxa"/>
            <w:tcBorders>
              <w:top w:val="nil"/>
              <w:left w:val="nil"/>
              <w:bottom w:val="single" w:sz="4" w:space="0" w:color="auto"/>
              <w:right w:val="single" w:sz="4" w:space="0" w:color="auto"/>
            </w:tcBorders>
            <w:shd w:val="clear" w:color="auto" w:fill="auto"/>
            <w:noWrap/>
            <w:vAlign w:val="center"/>
            <w:hideMark/>
          </w:tcPr>
          <w:p w14:paraId="6F4E7F07"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0.86 ± 0.02</w:t>
            </w:r>
          </w:p>
        </w:tc>
        <w:tc>
          <w:tcPr>
            <w:tcW w:w="1716" w:type="dxa"/>
            <w:tcBorders>
              <w:top w:val="nil"/>
              <w:left w:val="nil"/>
              <w:bottom w:val="single" w:sz="4" w:space="0" w:color="auto"/>
              <w:right w:val="single" w:sz="4" w:space="0" w:color="auto"/>
            </w:tcBorders>
            <w:shd w:val="clear" w:color="auto" w:fill="auto"/>
            <w:noWrap/>
            <w:vAlign w:val="center"/>
            <w:hideMark/>
          </w:tcPr>
          <w:p w14:paraId="316C3118"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0.71 ± 0.02</w:t>
            </w:r>
          </w:p>
        </w:tc>
        <w:tc>
          <w:tcPr>
            <w:tcW w:w="1589" w:type="dxa"/>
            <w:tcBorders>
              <w:top w:val="nil"/>
              <w:left w:val="nil"/>
              <w:bottom w:val="single" w:sz="4" w:space="0" w:color="auto"/>
              <w:right w:val="single" w:sz="4" w:space="0" w:color="auto"/>
            </w:tcBorders>
            <w:shd w:val="clear" w:color="auto" w:fill="auto"/>
            <w:noWrap/>
            <w:vAlign w:val="center"/>
            <w:hideMark/>
          </w:tcPr>
          <w:p w14:paraId="1EA441CF"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0.79 ± 0.01</w:t>
            </w:r>
          </w:p>
        </w:tc>
        <w:tc>
          <w:tcPr>
            <w:tcW w:w="1661" w:type="dxa"/>
            <w:tcBorders>
              <w:top w:val="nil"/>
              <w:left w:val="nil"/>
              <w:bottom w:val="single" w:sz="4" w:space="0" w:color="auto"/>
              <w:right w:val="single" w:sz="4" w:space="0" w:color="auto"/>
            </w:tcBorders>
            <w:shd w:val="clear" w:color="auto" w:fill="auto"/>
            <w:noWrap/>
            <w:vAlign w:val="center"/>
            <w:hideMark/>
          </w:tcPr>
          <w:p w14:paraId="1E7D5EBE"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0.87 ± 0.01</w:t>
            </w:r>
          </w:p>
        </w:tc>
        <w:tc>
          <w:tcPr>
            <w:tcW w:w="1824" w:type="dxa"/>
            <w:tcBorders>
              <w:top w:val="nil"/>
              <w:left w:val="nil"/>
              <w:bottom w:val="single" w:sz="4" w:space="0" w:color="auto"/>
              <w:right w:val="single" w:sz="4" w:space="0" w:color="auto"/>
            </w:tcBorders>
            <w:shd w:val="clear" w:color="auto" w:fill="auto"/>
            <w:noWrap/>
            <w:vAlign w:val="center"/>
            <w:hideMark/>
          </w:tcPr>
          <w:p w14:paraId="4AA86FDF"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0.58 ± 0.01</w:t>
            </w:r>
          </w:p>
        </w:tc>
      </w:tr>
      <w:tr w:rsidR="00ED33BD" w:rsidRPr="00420292" w14:paraId="67B4A3FE" w14:textId="77777777" w:rsidTr="001D5790">
        <w:trPr>
          <w:trHeight w:val="328"/>
        </w:trPr>
        <w:tc>
          <w:tcPr>
            <w:tcW w:w="1426" w:type="dxa"/>
            <w:tcBorders>
              <w:top w:val="nil"/>
              <w:left w:val="single" w:sz="4" w:space="0" w:color="auto"/>
              <w:bottom w:val="single" w:sz="4" w:space="0" w:color="auto"/>
              <w:right w:val="single" w:sz="4" w:space="0" w:color="auto"/>
            </w:tcBorders>
            <w:shd w:val="clear" w:color="auto" w:fill="auto"/>
            <w:noWrap/>
            <w:vAlign w:val="center"/>
            <w:hideMark/>
          </w:tcPr>
          <w:p w14:paraId="2237F884"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21</w:t>
            </w:r>
          </w:p>
        </w:tc>
        <w:tc>
          <w:tcPr>
            <w:tcW w:w="1734" w:type="dxa"/>
            <w:tcBorders>
              <w:top w:val="nil"/>
              <w:left w:val="nil"/>
              <w:bottom w:val="single" w:sz="4" w:space="0" w:color="auto"/>
              <w:right w:val="single" w:sz="4" w:space="0" w:color="auto"/>
            </w:tcBorders>
            <w:shd w:val="clear" w:color="auto" w:fill="auto"/>
            <w:noWrap/>
            <w:vAlign w:val="center"/>
            <w:hideMark/>
          </w:tcPr>
          <w:p w14:paraId="5845A795"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0.82 ± 0.02</w:t>
            </w:r>
          </w:p>
        </w:tc>
        <w:tc>
          <w:tcPr>
            <w:tcW w:w="1716" w:type="dxa"/>
            <w:tcBorders>
              <w:top w:val="nil"/>
              <w:left w:val="nil"/>
              <w:bottom w:val="single" w:sz="4" w:space="0" w:color="auto"/>
              <w:right w:val="single" w:sz="4" w:space="0" w:color="auto"/>
            </w:tcBorders>
            <w:shd w:val="clear" w:color="auto" w:fill="auto"/>
            <w:noWrap/>
            <w:vAlign w:val="center"/>
            <w:hideMark/>
          </w:tcPr>
          <w:p w14:paraId="033AF1D9"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0.71 ± 0.02</w:t>
            </w:r>
          </w:p>
        </w:tc>
        <w:tc>
          <w:tcPr>
            <w:tcW w:w="1589" w:type="dxa"/>
            <w:tcBorders>
              <w:top w:val="nil"/>
              <w:left w:val="nil"/>
              <w:bottom w:val="single" w:sz="4" w:space="0" w:color="auto"/>
              <w:right w:val="single" w:sz="4" w:space="0" w:color="auto"/>
            </w:tcBorders>
            <w:shd w:val="clear" w:color="auto" w:fill="auto"/>
            <w:noWrap/>
            <w:vAlign w:val="center"/>
            <w:hideMark/>
          </w:tcPr>
          <w:p w14:paraId="075CC8D5"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0.77 ± 0.01</w:t>
            </w:r>
          </w:p>
        </w:tc>
        <w:tc>
          <w:tcPr>
            <w:tcW w:w="1661" w:type="dxa"/>
            <w:tcBorders>
              <w:top w:val="nil"/>
              <w:left w:val="nil"/>
              <w:bottom w:val="single" w:sz="4" w:space="0" w:color="auto"/>
              <w:right w:val="single" w:sz="4" w:space="0" w:color="auto"/>
            </w:tcBorders>
            <w:shd w:val="clear" w:color="auto" w:fill="auto"/>
            <w:noWrap/>
            <w:vAlign w:val="center"/>
            <w:hideMark/>
          </w:tcPr>
          <w:p w14:paraId="0D91534C"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0.84 ± 0.01</w:t>
            </w:r>
          </w:p>
        </w:tc>
        <w:tc>
          <w:tcPr>
            <w:tcW w:w="1824" w:type="dxa"/>
            <w:tcBorders>
              <w:top w:val="nil"/>
              <w:left w:val="nil"/>
              <w:bottom w:val="single" w:sz="4" w:space="0" w:color="auto"/>
              <w:right w:val="single" w:sz="4" w:space="0" w:color="auto"/>
            </w:tcBorders>
            <w:shd w:val="clear" w:color="auto" w:fill="auto"/>
            <w:noWrap/>
            <w:vAlign w:val="center"/>
            <w:hideMark/>
          </w:tcPr>
          <w:p w14:paraId="1B3552C2"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0.53 ± 0.01</w:t>
            </w:r>
          </w:p>
        </w:tc>
      </w:tr>
      <w:tr w:rsidR="00ED33BD" w:rsidRPr="00420292" w14:paraId="302C67D8" w14:textId="77777777" w:rsidTr="001D5790">
        <w:trPr>
          <w:trHeight w:val="328"/>
        </w:trPr>
        <w:tc>
          <w:tcPr>
            <w:tcW w:w="1426" w:type="dxa"/>
            <w:tcBorders>
              <w:top w:val="nil"/>
              <w:left w:val="single" w:sz="4" w:space="0" w:color="auto"/>
              <w:bottom w:val="single" w:sz="4" w:space="0" w:color="auto"/>
              <w:right w:val="single" w:sz="4" w:space="0" w:color="auto"/>
            </w:tcBorders>
            <w:shd w:val="clear" w:color="auto" w:fill="auto"/>
            <w:noWrap/>
            <w:vAlign w:val="center"/>
            <w:hideMark/>
          </w:tcPr>
          <w:p w14:paraId="180442B8"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9</w:t>
            </w:r>
          </w:p>
        </w:tc>
        <w:tc>
          <w:tcPr>
            <w:tcW w:w="1734" w:type="dxa"/>
            <w:tcBorders>
              <w:top w:val="nil"/>
              <w:left w:val="nil"/>
              <w:bottom w:val="single" w:sz="4" w:space="0" w:color="auto"/>
              <w:right w:val="single" w:sz="4" w:space="0" w:color="auto"/>
            </w:tcBorders>
            <w:shd w:val="clear" w:color="auto" w:fill="auto"/>
            <w:noWrap/>
            <w:vAlign w:val="center"/>
            <w:hideMark/>
          </w:tcPr>
          <w:p w14:paraId="76805D2A"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0.74 ± 0.01</w:t>
            </w:r>
          </w:p>
        </w:tc>
        <w:tc>
          <w:tcPr>
            <w:tcW w:w="1716" w:type="dxa"/>
            <w:tcBorders>
              <w:top w:val="nil"/>
              <w:left w:val="nil"/>
              <w:bottom w:val="single" w:sz="4" w:space="0" w:color="auto"/>
              <w:right w:val="single" w:sz="4" w:space="0" w:color="auto"/>
            </w:tcBorders>
            <w:shd w:val="clear" w:color="auto" w:fill="auto"/>
            <w:noWrap/>
            <w:vAlign w:val="center"/>
            <w:hideMark/>
          </w:tcPr>
          <w:p w14:paraId="358309AC"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0.69 ± 0.02</w:t>
            </w:r>
          </w:p>
        </w:tc>
        <w:tc>
          <w:tcPr>
            <w:tcW w:w="1589" w:type="dxa"/>
            <w:tcBorders>
              <w:top w:val="nil"/>
              <w:left w:val="nil"/>
              <w:bottom w:val="single" w:sz="4" w:space="0" w:color="auto"/>
              <w:right w:val="single" w:sz="4" w:space="0" w:color="auto"/>
            </w:tcBorders>
            <w:shd w:val="clear" w:color="auto" w:fill="auto"/>
            <w:noWrap/>
            <w:vAlign w:val="center"/>
            <w:hideMark/>
          </w:tcPr>
          <w:p w14:paraId="7F16D73C"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0.71 ± 0.01</w:t>
            </w:r>
          </w:p>
        </w:tc>
        <w:tc>
          <w:tcPr>
            <w:tcW w:w="1661" w:type="dxa"/>
            <w:tcBorders>
              <w:top w:val="nil"/>
              <w:left w:val="nil"/>
              <w:bottom w:val="single" w:sz="4" w:space="0" w:color="auto"/>
              <w:right w:val="single" w:sz="4" w:space="0" w:color="auto"/>
            </w:tcBorders>
            <w:shd w:val="clear" w:color="auto" w:fill="auto"/>
            <w:noWrap/>
            <w:vAlign w:val="center"/>
            <w:hideMark/>
          </w:tcPr>
          <w:p w14:paraId="2A4C0B24"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0.79 ± 0.01</w:t>
            </w:r>
          </w:p>
        </w:tc>
        <w:tc>
          <w:tcPr>
            <w:tcW w:w="1824" w:type="dxa"/>
            <w:tcBorders>
              <w:top w:val="nil"/>
              <w:left w:val="nil"/>
              <w:bottom w:val="single" w:sz="4" w:space="0" w:color="auto"/>
              <w:right w:val="single" w:sz="4" w:space="0" w:color="auto"/>
            </w:tcBorders>
            <w:shd w:val="clear" w:color="auto" w:fill="auto"/>
            <w:noWrap/>
            <w:vAlign w:val="center"/>
            <w:hideMark/>
          </w:tcPr>
          <w:p w14:paraId="42541EBF" w14:textId="77777777" w:rsidR="00ED33BD" w:rsidRPr="00420292" w:rsidRDefault="00ED33BD" w:rsidP="001D5790">
            <w:pPr>
              <w:spacing w:after="0" w:line="240" w:lineRule="auto"/>
              <w:jc w:val="both"/>
              <w:rPr>
                <w:rFonts w:ascii="Times New Roman" w:eastAsia="Times New Roman" w:hAnsi="Times New Roman" w:cs="Times New Roman"/>
              </w:rPr>
            </w:pPr>
            <w:r w:rsidRPr="00420292">
              <w:rPr>
                <w:rFonts w:ascii="Times New Roman" w:eastAsia="Times New Roman" w:hAnsi="Times New Roman" w:cs="Times New Roman"/>
              </w:rPr>
              <w:t>0.43 ± 0.01</w:t>
            </w:r>
          </w:p>
        </w:tc>
      </w:tr>
    </w:tbl>
    <w:p w14:paraId="51B93F6E" w14:textId="77777777" w:rsidR="00E47341" w:rsidRDefault="00E47341" w:rsidP="00E47341">
      <w:pPr>
        <w:pStyle w:val="Caption"/>
        <w:keepNext/>
        <w:jc w:val="both"/>
      </w:pPr>
    </w:p>
    <w:p w14:paraId="0BCDE1EA" w14:textId="345721C3" w:rsidR="00557C30" w:rsidRDefault="00557C30" w:rsidP="00557C30">
      <w:pPr>
        <w:ind w:firstLine="720"/>
        <w:jc w:val="both"/>
      </w:pPr>
      <w:r>
        <w:rPr>
          <w:rFonts w:ascii="Times New Roman" w:hAnsi="Times New Roman" w:cs="Times New Roman"/>
        </w:rPr>
        <w:t xml:space="preserve">For </w:t>
      </w:r>
      <w:r w:rsidRPr="00673DFE">
        <w:rPr>
          <w:rFonts w:ascii="Times New Roman" w:hAnsi="Times New Roman" w:cs="Times New Roman"/>
          <w:lang w:val="en-GB"/>
        </w:rPr>
        <w:t>Y</w:t>
      </w:r>
      <w:r>
        <w:rPr>
          <w:rFonts w:ascii="Times New Roman" w:hAnsi="Times New Roman" w:cs="Times New Roman"/>
        </w:rPr>
        <w:t xml:space="preserve">, the results of 10-fold cross-validation are shown in </w:t>
      </w:r>
      <w:r w:rsidRPr="00A727F0">
        <w:rPr>
          <w:rFonts w:ascii="Times New Roman" w:hAnsi="Times New Roman" w:cs="Times New Roman"/>
          <w:b/>
          <w:bCs/>
        </w:rPr>
        <w:t xml:space="preserve">Table </w:t>
      </w:r>
      <w:r>
        <w:rPr>
          <w:rFonts w:ascii="Times New Roman" w:hAnsi="Times New Roman" w:cs="Times New Roman"/>
          <w:b/>
          <w:bCs/>
        </w:rPr>
        <w:t>S4</w:t>
      </w:r>
      <w:r>
        <w:rPr>
          <w:rFonts w:ascii="Times New Roman" w:hAnsi="Times New Roman" w:cs="Times New Roman"/>
        </w:rPr>
        <w:t xml:space="preserve">. The relatively high standard deviations observed for this dataset suggest that there is more variability in performance, which is not surprising given the smaller size of the Y dataset compared to the other datasets. From </w:t>
      </w:r>
      <w:r w:rsidRPr="00674911">
        <w:rPr>
          <w:rFonts w:ascii="Times New Roman" w:hAnsi="Times New Roman" w:cs="Times New Roman"/>
          <w:b/>
          <w:bCs/>
        </w:rPr>
        <w:t xml:space="preserve">Figure </w:t>
      </w:r>
      <w:r>
        <w:rPr>
          <w:rFonts w:ascii="Times New Roman" w:hAnsi="Times New Roman" w:cs="Times New Roman"/>
          <w:b/>
          <w:bCs/>
        </w:rPr>
        <w:t xml:space="preserve">3, </w:t>
      </w:r>
      <w:r>
        <w:rPr>
          <w:rFonts w:ascii="Times New Roman" w:hAnsi="Times New Roman" w:cs="Times New Roman"/>
        </w:rPr>
        <w:t xml:space="preserve">MCC for Y does not follow specific pattern. For these reasons, the Chlamy-EnPhosSite and Chlamy-MwPhosSite models were not applied to the </w:t>
      </w:r>
      <w:r w:rsidRPr="00673DFE">
        <w:rPr>
          <w:rFonts w:ascii="Times New Roman" w:hAnsi="Times New Roman" w:cs="Times New Roman"/>
          <w:lang w:val="en-GB"/>
        </w:rPr>
        <w:t>Y</w:t>
      </w:r>
      <w:r>
        <w:rPr>
          <w:rFonts w:ascii="Times New Roman" w:hAnsi="Times New Roman" w:cs="Times New Roman"/>
        </w:rPr>
        <w:t xml:space="preserve"> phosphorylation dataset, and an independent test was not performed.   </w:t>
      </w:r>
    </w:p>
    <w:p w14:paraId="329896DF" w14:textId="624BAA37" w:rsidR="00ED33BD" w:rsidRPr="00CA1A81" w:rsidRDefault="00E47341" w:rsidP="00E47341">
      <w:pPr>
        <w:pStyle w:val="Caption"/>
        <w:keepNext/>
        <w:jc w:val="both"/>
        <w:rPr>
          <w:rFonts w:ascii="Times New Roman" w:hAnsi="Times New Roman" w:cs="Times New Roman"/>
          <w:i w:val="0"/>
          <w:iCs w:val="0"/>
          <w:sz w:val="22"/>
          <w:szCs w:val="22"/>
        </w:rPr>
      </w:pPr>
      <w:r w:rsidRPr="00CA1A81">
        <w:rPr>
          <w:rFonts w:ascii="Times New Roman" w:hAnsi="Times New Roman" w:cs="Times New Roman"/>
          <w:i w:val="0"/>
          <w:iCs w:val="0"/>
          <w:sz w:val="22"/>
          <w:szCs w:val="22"/>
        </w:rPr>
        <w:lastRenderedPageBreak/>
        <w:t>Table S4. 10-fold cross-validation results for different windows for Y sites prediction.</w:t>
      </w:r>
    </w:p>
    <w:tbl>
      <w:tblPr>
        <w:tblW w:w="9962" w:type="dxa"/>
        <w:tblLook w:val="04A0" w:firstRow="1" w:lastRow="0" w:firstColumn="1" w:lastColumn="0" w:noHBand="0" w:noVBand="1"/>
      </w:tblPr>
      <w:tblGrid>
        <w:gridCol w:w="1428"/>
        <w:gridCol w:w="1736"/>
        <w:gridCol w:w="1718"/>
        <w:gridCol w:w="1591"/>
        <w:gridCol w:w="1663"/>
        <w:gridCol w:w="1826"/>
      </w:tblGrid>
      <w:tr w:rsidR="00E47341" w:rsidRPr="006E57C9" w14:paraId="342E7D64" w14:textId="77777777" w:rsidTr="00D326DF">
        <w:trPr>
          <w:trHeight w:val="314"/>
        </w:trPr>
        <w:tc>
          <w:tcPr>
            <w:tcW w:w="14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4F452" w14:textId="77777777" w:rsidR="00E47341" w:rsidRPr="006E57C9" w:rsidRDefault="00E47341" w:rsidP="00D326DF">
            <w:pPr>
              <w:spacing w:after="0" w:line="240" w:lineRule="auto"/>
              <w:jc w:val="both"/>
              <w:rPr>
                <w:rFonts w:ascii="Times New Roman" w:eastAsia="Times New Roman" w:hAnsi="Times New Roman" w:cs="Times New Roman"/>
                <w:b/>
                <w:bCs/>
              </w:rPr>
            </w:pPr>
            <w:r w:rsidRPr="006E57C9">
              <w:rPr>
                <w:rFonts w:ascii="Times New Roman" w:eastAsia="Times New Roman" w:hAnsi="Times New Roman" w:cs="Times New Roman"/>
                <w:b/>
                <w:bCs/>
              </w:rPr>
              <w:t>Window Size</w:t>
            </w:r>
          </w:p>
        </w:tc>
        <w:tc>
          <w:tcPr>
            <w:tcW w:w="1736" w:type="dxa"/>
            <w:tcBorders>
              <w:top w:val="single" w:sz="4" w:space="0" w:color="auto"/>
              <w:left w:val="nil"/>
              <w:bottom w:val="single" w:sz="4" w:space="0" w:color="auto"/>
              <w:right w:val="single" w:sz="4" w:space="0" w:color="auto"/>
            </w:tcBorders>
            <w:shd w:val="clear" w:color="auto" w:fill="auto"/>
            <w:noWrap/>
            <w:vAlign w:val="center"/>
            <w:hideMark/>
          </w:tcPr>
          <w:p w14:paraId="0FFDDCFC" w14:textId="77777777" w:rsidR="00E47341" w:rsidRPr="006E57C9" w:rsidRDefault="00E47341" w:rsidP="00D326DF">
            <w:pPr>
              <w:spacing w:after="0" w:line="240" w:lineRule="auto"/>
              <w:jc w:val="both"/>
              <w:rPr>
                <w:rFonts w:ascii="Times New Roman" w:eastAsia="Times New Roman" w:hAnsi="Times New Roman" w:cs="Times New Roman"/>
                <w:b/>
                <w:bCs/>
              </w:rPr>
            </w:pPr>
            <w:r w:rsidRPr="006E57C9">
              <w:rPr>
                <w:rFonts w:ascii="Times New Roman" w:eastAsia="Times New Roman" w:hAnsi="Times New Roman" w:cs="Times New Roman"/>
                <w:b/>
                <w:bCs/>
              </w:rPr>
              <w:t>SN</w:t>
            </w:r>
          </w:p>
        </w:tc>
        <w:tc>
          <w:tcPr>
            <w:tcW w:w="1718" w:type="dxa"/>
            <w:tcBorders>
              <w:top w:val="single" w:sz="4" w:space="0" w:color="auto"/>
              <w:left w:val="nil"/>
              <w:bottom w:val="single" w:sz="4" w:space="0" w:color="auto"/>
              <w:right w:val="single" w:sz="4" w:space="0" w:color="auto"/>
            </w:tcBorders>
            <w:shd w:val="clear" w:color="auto" w:fill="auto"/>
            <w:noWrap/>
            <w:vAlign w:val="center"/>
            <w:hideMark/>
          </w:tcPr>
          <w:p w14:paraId="1913784E" w14:textId="77777777" w:rsidR="00E47341" w:rsidRPr="006E57C9" w:rsidRDefault="00E47341" w:rsidP="00D326DF">
            <w:pPr>
              <w:spacing w:after="0" w:line="240" w:lineRule="auto"/>
              <w:jc w:val="both"/>
              <w:rPr>
                <w:rFonts w:ascii="Times New Roman" w:eastAsia="Times New Roman" w:hAnsi="Times New Roman" w:cs="Times New Roman"/>
                <w:b/>
                <w:bCs/>
              </w:rPr>
            </w:pPr>
            <w:r w:rsidRPr="006E57C9">
              <w:rPr>
                <w:rFonts w:ascii="Times New Roman" w:eastAsia="Times New Roman" w:hAnsi="Times New Roman" w:cs="Times New Roman"/>
                <w:b/>
                <w:bCs/>
              </w:rPr>
              <w:t>SP</w:t>
            </w:r>
          </w:p>
        </w:tc>
        <w:tc>
          <w:tcPr>
            <w:tcW w:w="1591" w:type="dxa"/>
            <w:tcBorders>
              <w:top w:val="single" w:sz="4" w:space="0" w:color="auto"/>
              <w:left w:val="nil"/>
              <w:bottom w:val="single" w:sz="4" w:space="0" w:color="auto"/>
              <w:right w:val="single" w:sz="4" w:space="0" w:color="auto"/>
            </w:tcBorders>
            <w:shd w:val="clear" w:color="auto" w:fill="auto"/>
            <w:noWrap/>
            <w:vAlign w:val="center"/>
            <w:hideMark/>
          </w:tcPr>
          <w:p w14:paraId="1AFB0A20" w14:textId="77777777" w:rsidR="00E47341" w:rsidRPr="006E57C9" w:rsidRDefault="00E47341" w:rsidP="00D326DF">
            <w:pPr>
              <w:spacing w:after="0" w:line="240" w:lineRule="auto"/>
              <w:jc w:val="both"/>
              <w:rPr>
                <w:rFonts w:ascii="Times New Roman" w:eastAsia="Times New Roman" w:hAnsi="Times New Roman" w:cs="Times New Roman"/>
                <w:b/>
                <w:bCs/>
              </w:rPr>
            </w:pPr>
            <w:r w:rsidRPr="006E57C9">
              <w:rPr>
                <w:rFonts w:ascii="Times New Roman" w:eastAsia="Times New Roman" w:hAnsi="Times New Roman" w:cs="Times New Roman"/>
                <w:b/>
                <w:bCs/>
              </w:rPr>
              <w:t>ACC</w:t>
            </w:r>
          </w:p>
        </w:tc>
        <w:tc>
          <w:tcPr>
            <w:tcW w:w="1663" w:type="dxa"/>
            <w:tcBorders>
              <w:top w:val="single" w:sz="4" w:space="0" w:color="auto"/>
              <w:left w:val="nil"/>
              <w:bottom w:val="single" w:sz="4" w:space="0" w:color="auto"/>
              <w:right w:val="single" w:sz="4" w:space="0" w:color="auto"/>
            </w:tcBorders>
            <w:shd w:val="clear" w:color="auto" w:fill="auto"/>
            <w:noWrap/>
            <w:vAlign w:val="center"/>
            <w:hideMark/>
          </w:tcPr>
          <w:p w14:paraId="2BC03389" w14:textId="77777777" w:rsidR="00E47341" w:rsidRPr="006E57C9" w:rsidRDefault="00E47341" w:rsidP="00D326DF">
            <w:pPr>
              <w:spacing w:after="0" w:line="240" w:lineRule="auto"/>
              <w:jc w:val="both"/>
              <w:rPr>
                <w:rFonts w:ascii="Times New Roman" w:eastAsia="Times New Roman" w:hAnsi="Times New Roman" w:cs="Times New Roman"/>
                <w:b/>
                <w:bCs/>
              </w:rPr>
            </w:pPr>
            <w:r w:rsidRPr="006E57C9">
              <w:rPr>
                <w:rFonts w:ascii="Times New Roman" w:eastAsia="Times New Roman" w:hAnsi="Times New Roman" w:cs="Times New Roman"/>
                <w:b/>
                <w:bCs/>
              </w:rPr>
              <w:t>AUC</w:t>
            </w:r>
          </w:p>
        </w:tc>
        <w:tc>
          <w:tcPr>
            <w:tcW w:w="1826" w:type="dxa"/>
            <w:tcBorders>
              <w:top w:val="single" w:sz="4" w:space="0" w:color="auto"/>
              <w:left w:val="nil"/>
              <w:bottom w:val="single" w:sz="4" w:space="0" w:color="auto"/>
              <w:right w:val="single" w:sz="4" w:space="0" w:color="auto"/>
            </w:tcBorders>
            <w:shd w:val="clear" w:color="auto" w:fill="auto"/>
            <w:noWrap/>
            <w:vAlign w:val="center"/>
            <w:hideMark/>
          </w:tcPr>
          <w:p w14:paraId="0785D44F" w14:textId="77777777" w:rsidR="00E47341" w:rsidRPr="006E57C9" w:rsidRDefault="00E47341" w:rsidP="00D326DF">
            <w:pPr>
              <w:spacing w:after="0" w:line="240" w:lineRule="auto"/>
              <w:jc w:val="both"/>
              <w:rPr>
                <w:rFonts w:ascii="Times New Roman" w:eastAsia="Times New Roman" w:hAnsi="Times New Roman" w:cs="Times New Roman"/>
                <w:b/>
                <w:bCs/>
              </w:rPr>
            </w:pPr>
            <w:r w:rsidRPr="006E57C9">
              <w:rPr>
                <w:rFonts w:ascii="Times New Roman" w:eastAsia="Times New Roman" w:hAnsi="Times New Roman" w:cs="Times New Roman"/>
                <w:b/>
                <w:bCs/>
              </w:rPr>
              <w:t>MCC</w:t>
            </w:r>
          </w:p>
        </w:tc>
      </w:tr>
      <w:tr w:rsidR="00E47341" w:rsidRPr="006E57C9" w14:paraId="240B42B2" w14:textId="77777777" w:rsidTr="00D326DF">
        <w:trPr>
          <w:trHeight w:val="314"/>
        </w:trPr>
        <w:tc>
          <w:tcPr>
            <w:tcW w:w="1428" w:type="dxa"/>
            <w:tcBorders>
              <w:top w:val="nil"/>
              <w:left w:val="single" w:sz="4" w:space="0" w:color="auto"/>
              <w:bottom w:val="single" w:sz="4" w:space="0" w:color="auto"/>
              <w:right w:val="single" w:sz="4" w:space="0" w:color="auto"/>
            </w:tcBorders>
            <w:shd w:val="clear" w:color="auto" w:fill="auto"/>
            <w:noWrap/>
            <w:vAlign w:val="center"/>
            <w:hideMark/>
          </w:tcPr>
          <w:p w14:paraId="768D42FC"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61</w:t>
            </w:r>
          </w:p>
        </w:tc>
        <w:tc>
          <w:tcPr>
            <w:tcW w:w="1736" w:type="dxa"/>
            <w:tcBorders>
              <w:top w:val="nil"/>
              <w:left w:val="nil"/>
              <w:bottom w:val="single" w:sz="4" w:space="0" w:color="auto"/>
              <w:right w:val="single" w:sz="4" w:space="0" w:color="auto"/>
            </w:tcBorders>
            <w:shd w:val="clear" w:color="auto" w:fill="auto"/>
            <w:noWrap/>
            <w:vAlign w:val="center"/>
            <w:hideMark/>
          </w:tcPr>
          <w:p w14:paraId="244FBFB3"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0.86 ± 0.09</w:t>
            </w:r>
          </w:p>
        </w:tc>
        <w:tc>
          <w:tcPr>
            <w:tcW w:w="1718" w:type="dxa"/>
            <w:tcBorders>
              <w:top w:val="nil"/>
              <w:left w:val="nil"/>
              <w:bottom w:val="single" w:sz="4" w:space="0" w:color="auto"/>
              <w:right w:val="single" w:sz="4" w:space="0" w:color="auto"/>
            </w:tcBorders>
            <w:shd w:val="clear" w:color="auto" w:fill="auto"/>
            <w:noWrap/>
            <w:vAlign w:val="center"/>
            <w:hideMark/>
          </w:tcPr>
          <w:p w14:paraId="2279FD23"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0.76 ± 0.13</w:t>
            </w:r>
          </w:p>
        </w:tc>
        <w:tc>
          <w:tcPr>
            <w:tcW w:w="1591" w:type="dxa"/>
            <w:tcBorders>
              <w:top w:val="nil"/>
              <w:left w:val="nil"/>
              <w:bottom w:val="single" w:sz="4" w:space="0" w:color="auto"/>
              <w:right w:val="single" w:sz="4" w:space="0" w:color="auto"/>
            </w:tcBorders>
            <w:shd w:val="clear" w:color="auto" w:fill="auto"/>
            <w:noWrap/>
            <w:vAlign w:val="center"/>
            <w:hideMark/>
          </w:tcPr>
          <w:p w14:paraId="3CF0E9A7"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0.81 ± 0.06</w:t>
            </w:r>
          </w:p>
        </w:tc>
        <w:tc>
          <w:tcPr>
            <w:tcW w:w="1663" w:type="dxa"/>
            <w:tcBorders>
              <w:top w:val="nil"/>
              <w:left w:val="nil"/>
              <w:bottom w:val="single" w:sz="4" w:space="0" w:color="auto"/>
              <w:right w:val="single" w:sz="4" w:space="0" w:color="auto"/>
            </w:tcBorders>
            <w:shd w:val="clear" w:color="auto" w:fill="auto"/>
            <w:noWrap/>
            <w:vAlign w:val="center"/>
            <w:hideMark/>
          </w:tcPr>
          <w:p w14:paraId="01407F84"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0.81 ± 0.08</w:t>
            </w:r>
          </w:p>
        </w:tc>
        <w:tc>
          <w:tcPr>
            <w:tcW w:w="1826" w:type="dxa"/>
            <w:tcBorders>
              <w:top w:val="nil"/>
              <w:left w:val="nil"/>
              <w:bottom w:val="single" w:sz="4" w:space="0" w:color="auto"/>
              <w:right w:val="single" w:sz="4" w:space="0" w:color="auto"/>
            </w:tcBorders>
            <w:shd w:val="clear" w:color="auto" w:fill="auto"/>
            <w:noWrap/>
            <w:vAlign w:val="center"/>
            <w:hideMark/>
          </w:tcPr>
          <w:p w14:paraId="2268A83F"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0.63 ± 0.13</w:t>
            </w:r>
          </w:p>
        </w:tc>
      </w:tr>
      <w:tr w:rsidR="00E47341" w:rsidRPr="006E57C9" w14:paraId="05923242" w14:textId="77777777" w:rsidTr="00D326DF">
        <w:trPr>
          <w:trHeight w:val="314"/>
        </w:trPr>
        <w:tc>
          <w:tcPr>
            <w:tcW w:w="1428" w:type="dxa"/>
            <w:tcBorders>
              <w:top w:val="nil"/>
              <w:left w:val="single" w:sz="4" w:space="0" w:color="auto"/>
              <w:bottom w:val="single" w:sz="4" w:space="0" w:color="auto"/>
              <w:right w:val="single" w:sz="4" w:space="0" w:color="auto"/>
            </w:tcBorders>
            <w:shd w:val="clear" w:color="auto" w:fill="auto"/>
            <w:noWrap/>
            <w:vAlign w:val="center"/>
            <w:hideMark/>
          </w:tcPr>
          <w:p w14:paraId="5F0A626B"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57</w:t>
            </w:r>
          </w:p>
        </w:tc>
        <w:tc>
          <w:tcPr>
            <w:tcW w:w="1736" w:type="dxa"/>
            <w:tcBorders>
              <w:top w:val="nil"/>
              <w:left w:val="nil"/>
              <w:bottom w:val="single" w:sz="4" w:space="0" w:color="auto"/>
              <w:right w:val="single" w:sz="4" w:space="0" w:color="auto"/>
            </w:tcBorders>
            <w:shd w:val="clear" w:color="auto" w:fill="auto"/>
            <w:noWrap/>
            <w:vAlign w:val="center"/>
            <w:hideMark/>
          </w:tcPr>
          <w:p w14:paraId="2C6E8A76"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0.83 ± 0.06</w:t>
            </w:r>
          </w:p>
        </w:tc>
        <w:tc>
          <w:tcPr>
            <w:tcW w:w="1718" w:type="dxa"/>
            <w:tcBorders>
              <w:top w:val="nil"/>
              <w:left w:val="nil"/>
              <w:bottom w:val="single" w:sz="4" w:space="0" w:color="auto"/>
              <w:right w:val="single" w:sz="4" w:space="0" w:color="auto"/>
            </w:tcBorders>
            <w:shd w:val="clear" w:color="auto" w:fill="auto"/>
            <w:noWrap/>
            <w:vAlign w:val="center"/>
            <w:hideMark/>
          </w:tcPr>
          <w:p w14:paraId="27C29C19"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0.84 ± 0.13</w:t>
            </w:r>
          </w:p>
        </w:tc>
        <w:tc>
          <w:tcPr>
            <w:tcW w:w="1591" w:type="dxa"/>
            <w:tcBorders>
              <w:top w:val="nil"/>
              <w:left w:val="nil"/>
              <w:bottom w:val="single" w:sz="4" w:space="0" w:color="auto"/>
              <w:right w:val="single" w:sz="4" w:space="0" w:color="auto"/>
            </w:tcBorders>
            <w:shd w:val="clear" w:color="auto" w:fill="auto"/>
            <w:noWrap/>
            <w:vAlign w:val="center"/>
            <w:hideMark/>
          </w:tcPr>
          <w:p w14:paraId="6FEB2CA4"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0.83 ± 0.06</w:t>
            </w:r>
          </w:p>
        </w:tc>
        <w:tc>
          <w:tcPr>
            <w:tcW w:w="1663" w:type="dxa"/>
            <w:tcBorders>
              <w:top w:val="nil"/>
              <w:left w:val="nil"/>
              <w:bottom w:val="single" w:sz="4" w:space="0" w:color="auto"/>
              <w:right w:val="single" w:sz="4" w:space="0" w:color="auto"/>
            </w:tcBorders>
            <w:shd w:val="clear" w:color="auto" w:fill="auto"/>
            <w:noWrap/>
            <w:vAlign w:val="center"/>
            <w:hideMark/>
          </w:tcPr>
          <w:p w14:paraId="2C1C8D4F"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0.85 ± 0.06</w:t>
            </w:r>
          </w:p>
        </w:tc>
        <w:tc>
          <w:tcPr>
            <w:tcW w:w="1826" w:type="dxa"/>
            <w:tcBorders>
              <w:top w:val="nil"/>
              <w:left w:val="nil"/>
              <w:bottom w:val="single" w:sz="4" w:space="0" w:color="auto"/>
              <w:right w:val="single" w:sz="4" w:space="0" w:color="auto"/>
            </w:tcBorders>
            <w:shd w:val="clear" w:color="auto" w:fill="auto"/>
            <w:noWrap/>
            <w:vAlign w:val="center"/>
            <w:hideMark/>
          </w:tcPr>
          <w:p w14:paraId="5E65E1BF"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0.66 ± 0.12</w:t>
            </w:r>
          </w:p>
        </w:tc>
      </w:tr>
      <w:tr w:rsidR="00E47341" w:rsidRPr="006E57C9" w14:paraId="4A6E992F" w14:textId="77777777" w:rsidTr="00D326DF">
        <w:trPr>
          <w:trHeight w:val="314"/>
        </w:trPr>
        <w:tc>
          <w:tcPr>
            <w:tcW w:w="1428" w:type="dxa"/>
            <w:tcBorders>
              <w:top w:val="nil"/>
              <w:left w:val="single" w:sz="4" w:space="0" w:color="auto"/>
              <w:bottom w:val="single" w:sz="4" w:space="0" w:color="auto"/>
              <w:right w:val="single" w:sz="4" w:space="0" w:color="auto"/>
            </w:tcBorders>
            <w:shd w:val="clear" w:color="auto" w:fill="auto"/>
            <w:noWrap/>
            <w:vAlign w:val="center"/>
            <w:hideMark/>
          </w:tcPr>
          <w:p w14:paraId="549EC798"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53</w:t>
            </w:r>
          </w:p>
        </w:tc>
        <w:tc>
          <w:tcPr>
            <w:tcW w:w="1736" w:type="dxa"/>
            <w:tcBorders>
              <w:top w:val="nil"/>
              <w:left w:val="nil"/>
              <w:bottom w:val="single" w:sz="4" w:space="0" w:color="auto"/>
              <w:right w:val="single" w:sz="4" w:space="0" w:color="auto"/>
            </w:tcBorders>
            <w:shd w:val="clear" w:color="auto" w:fill="auto"/>
            <w:noWrap/>
            <w:vAlign w:val="center"/>
            <w:hideMark/>
          </w:tcPr>
          <w:p w14:paraId="6A5C0635"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0.82 ± 0.17</w:t>
            </w:r>
          </w:p>
        </w:tc>
        <w:tc>
          <w:tcPr>
            <w:tcW w:w="1718" w:type="dxa"/>
            <w:tcBorders>
              <w:top w:val="nil"/>
              <w:left w:val="nil"/>
              <w:bottom w:val="single" w:sz="4" w:space="0" w:color="auto"/>
              <w:right w:val="single" w:sz="4" w:space="0" w:color="auto"/>
            </w:tcBorders>
            <w:shd w:val="clear" w:color="auto" w:fill="auto"/>
            <w:noWrap/>
            <w:vAlign w:val="center"/>
            <w:hideMark/>
          </w:tcPr>
          <w:p w14:paraId="6766FFFC"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0.80 ± 0.12</w:t>
            </w:r>
          </w:p>
        </w:tc>
        <w:tc>
          <w:tcPr>
            <w:tcW w:w="1591" w:type="dxa"/>
            <w:tcBorders>
              <w:top w:val="nil"/>
              <w:left w:val="nil"/>
              <w:bottom w:val="single" w:sz="4" w:space="0" w:color="auto"/>
              <w:right w:val="single" w:sz="4" w:space="0" w:color="auto"/>
            </w:tcBorders>
            <w:shd w:val="clear" w:color="auto" w:fill="auto"/>
            <w:noWrap/>
            <w:vAlign w:val="center"/>
            <w:hideMark/>
          </w:tcPr>
          <w:p w14:paraId="7577537D"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0.82 ± 0.07</w:t>
            </w:r>
          </w:p>
        </w:tc>
        <w:tc>
          <w:tcPr>
            <w:tcW w:w="1663" w:type="dxa"/>
            <w:tcBorders>
              <w:top w:val="nil"/>
              <w:left w:val="nil"/>
              <w:bottom w:val="single" w:sz="4" w:space="0" w:color="auto"/>
              <w:right w:val="single" w:sz="4" w:space="0" w:color="auto"/>
            </w:tcBorders>
            <w:shd w:val="clear" w:color="auto" w:fill="auto"/>
            <w:noWrap/>
            <w:vAlign w:val="center"/>
            <w:hideMark/>
          </w:tcPr>
          <w:p w14:paraId="7DCAE6A8"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0.83 ± 0.06</w:t>
            </w:r>
          </w:p>
        </w:tc>
        <w:tc>
          <w:tcPr>
            <w:tcW w:w="1826" w:type="dxa"/>
            <w:tcBorders>
              <w:top w:val="nil"/>
              <w:left w:val="nil"/>
              <w:bottom w:val="single" w:sz="4" w:space="0" w:color="auto"/>
              <w:right w:val="single" w:sz="4" w:space="0" w:color="auto"/>
            </w:tcBorders>
            <w:shd w:val="clear" w:color="auto" w:fill="auto"/>
            <w:noWrap/>
            <w:vAlign w:val="center"/>
            <w:hideMark/>
          </w:tcPr>
          <w:p w14:paraId="6BFFABCC"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0.64 ± 0.13</w:t>
            </w:r>
          </w:p>
        </w:tc>
      </w:tr>
      <w:tr w:rsidR="00E47341" w:rsidRPr="006E57C9" w14:paraId="03A95B8A" w14:textId="77777777" w:rsidTr="00D326DF">
        <w:trPr>
          <w:trHeight w:val="314"/>
        </w:trPr>
        <w:tc>
          <w:tcPr>
            <w:tcW w:w="1428" w:type="dxa"/>
            <w:tcBorders>
              <w:top w:val="nil"/>
              <w:left w:val="single" w:sz="4" w:space="0" w:color="auto"/>
              <w:bottom w:val="single" w:sz="4" w:space="0" w:color="auto"/>
              <w:right w:val="single" w:sz="4" w:space="0" w:color="auto"/>
            </w:tcBorders>
            <w:shd w:val="clear" w:color="auto" w:fill="auto"/>
            <w:noWrap/>
            <w:vAlign w:val="center"/>
            <w:hideMark/>
          </w:tcPr>
          <w:p w14:paraId="0FF78575"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49</w:t>
            </w:r>
          </w:p>
        </w:tc>
        <w:tc>
          <w:tcPr>
            <w:tcW w:w="1736" w:type="dxa"/>
            <w:tcBorders>
              <w:top w:val="nil"/>
              <w:left w:val="nil"/>
              <w:bottom w:val="single" w:sz="4" w:space="0" w:color="auto"/>
              <w:right w:val="single" w:sz="4" w:space="0" w:color="auto"/>
            </w:tcBorders>
            <w:shd w:val="clear" w:color="auto" w:fill="auto"/>
            <w:noWrap/>
            <w:vAlign w:val="center"/>
            <w:hideMark/>
          </w:tcPr>
          <w:p w14:paraId="25C783C4"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0.87 ± 0.08</w:t>
            </w:r>
          </w:p>
        </w:tc>
        <w:tc>
          <w:tcPr>
            <w:tcW w:w="1718" w:type="dxa"/>
            <w:tcBorders>
              <w:top w:val="nil"/>
              <w:left w:val="nil"/>
              <w:bottom w:val="single" w:sz="4" w:space="0" w:color="auto"/>
              <w:right w:val="single" w:sz="4" w:space="0" w:color="auto"/>
            </w:tcBorders>
            <w:shd w:val="clear" w:color="auto" w:fill="auto"/>
            <w:noWrap/>
            <w:vAlign w:val="center"/>
            <w:hideMark/>
          </w:tcPr>
          <w:p w14:paraId="7216BAC3"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0.77 ± 0.16</w:t>
            </w:r>
          </w:p>
        </w:tc>
        <w:tc>
          <w:tcPr>
            <w:tcW w:w="1591" w:type="dxa"/>
            <w:tcBorders>
              <w:top w:val="nil"/>
              <w:left w:val="nil"/>
              <w:bottom w:val="single" w:sz="4" w:space="0" w:color="auto"/>
              <w:right w:val="single" w:sz="4" w:space="0" w:color="auto"/>
            </w:tcBorders>
            <w:shd w:val="clear" w:color="auto" w:fill="auto"/>
            <w:noWrap/>
            <w:vAlign w:val="center"/>
            <w:hideMark/>
          </w:tcPr>
          <w:p w14:paraId="6D07AC65"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0.83 ± 0.07</w:t>
            </w:r>
          </w:p>
        </w:tc>
        <w:tc>
          <w:tcPr>
            <w:tcW w:w="1663" w:type="dxa"/>
            <w:tcBorders>
              <w:top w:val="nil"/>
              <w:left w:val="nil"/>
              <w:bottom w:val="single" w:sz="4" w:space="0" w:color="auto"/>
              <w:right w:val="single" w:sz="4" w:space="0" w:color="auto"/>
            </w:tcBorders>
            <w:shd w:val="clear" w:color="auto" w:fill="auto"/>
            <w:noWrap/>
            <w:vAlign w:val="center"/>
            <w:hideMark/>
          </w:tcPr>
          <w:p w14:paraId="5A6D8BB6"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0.84 ± 0.13</w:t>
            </w:r>
          </w:p>
        </w:tc>
        <w:tc>
          <w:tcPr>
            <w:tcW w:w="1826" w:type="dxa"/>
            <w:tcBorders>
              <w:top w:val="nil"/>
              <w:left w:val="nil"/>
              <w:bottom w:val="single" w:sz="4" w:space="0" w:color="auto"/>
              <w:right w:val="single" w:sz="4" w:space="0" w:color="auto"/>
            </w:tcBorders>
            <w:shd w:val="clear" w:color="auto" w:fill="auto"/>
            <w:noWrap/>
            <w:vAlign w:val="center"/>
            <w:hideMark/>
          </w:tcPr>
          <w:p w14:paraId="3795AA0C"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0.66 ± 0.14</w:t>
            </w:r>
          </w:p>
        </w:tc>
      </w:tr>
      <w:tr w:rsidR="00E47341" w:rsidRPr="006E57C9" w14:paraId="25244E96" w14:textId="77777777" w:rsidTr="00D326DF">
        <w:trPr>
          <w:trHeight w:val="314"/>
        </w:trPr>
        <w:tc>
          <w:tcPr>
            <w:tcW w:w="1428" w:type="dxa"/>
            <w:tcBorders>
              <w:top w:val="nil"/>
              <w:left w:val="single" w:sz="4" w:space="0" w:color="auto"/>
              <w:bottom w:val="single" w:sz="4" w:space="0" w:color="auto"/>
              <w:right w:val="single" w:sz="4" w:space="0" w:color="auto"/>
            </w:tcBorders>
            <w:shd w:val="clear" w:color="auto" w:fill="auto"/>
            <w:noWrap/>
            <w:vAlign w:val="center"/>
            <w:hideMark/>
          </w:tcPr>
          <w:p w14:paraId="1329740F"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45</w:t>
            </w:r>
          </w:p>
        </w:tc>
        <w:tc>
          <w:tcPr>
            <w:tcW w:w="1736" w:type="dxa"/>
            <w:tcBorders>
              <w:top w:val="nil"/>
              <w:left w:val="nil"/>
              <w:bottom w:val="single" w:sz="4" w:space="0" w:color="auto"/>
              <w:right w:val="single" w:sz="4" w:space="0" w:color="auto"/>
            </w:tcBorders>
            <w:shd w:val="clear" w:color="auto" w:fill="auto"/>
            <w:noWrap/>
            <w:vAlign w:val="center"/>
            <w:hideMark/>
          </w:tcPr>
          <w:p w14:paraId="38561C65"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0.84 ± 0.10</w:t>
            </w:r>
          </w:p>
        </w:tc>
        <w:tc>
          <w:tcPr>
            <w:tcW w:w="1718" w:type="dxa"/>
            <w:tcBorders>
              <w:top w:val="nil"/>
              <w:left w:val="nil"/>
              <w:bottom w:val="single" w:sz="4" w:space="0" w:color="auto"/>
              <w:right w:val="single" w:sz="4" w:space="0" w:color="auto"/>
            </w:tcBorders>
            <w:shd w:val="clear" w:color="auto" w:fill="auto"/>
            <w:noWrap/>
            <w:vAlign w:val="center"/>
            <w:hideMark/>
          </w:tcPr>
          <w:p w14:paraId="5A8C2A54"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0.74 ± 0.19</w:t>
            </w:r>
          </w:p>
        </w:tc>
        <w:tc>
          <w:tcPr>
            <w:tcW w:w="1591" w:type="dxa"/>
            <w:tcBorders>
              <w:top w:val="nil"/>
              <w:left w:val="nil"/>
              <w:bottom w:val="single" w:sz="4" w:space="0" w:color="auto"/>
              <w:right w:val="single" w:sz="4" w:space="0" w:color="auto"/>
            </w:tcBorders>
            <w:shd w:val="clear" w:color="auto" w:fill="auto"/>
            <w:noWrap/>
            <w:vAlign w:val="center"/>
            <w:hideMark/>
          </w:tcPr>
          <w:p w14:paraId="4E40B7F9"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0.79 ± 0.08</w:t>
            </w:r>
          </w:p>
        </w:tc>
        <w:tc>
          <w:tcPr>
            <w:tcW w:w="1663" w:type="dxa"/>
            <w:tcBorders>
              <w:top w:val="nil"/>
              <w:left w:val="nil"/>
              <w:bottom w:val="single" w:sz="4" w:space="0" w:color="auto"/>
              <w:right w:val="single" w:sz="4" w:space="0" w:color="auto"/>
            </w:tcBorders>
            <w:shd w:val="clear" w:color="auto" w:fill="auto"/>
            <w:noWrap/>
            <w:vAlign w:val="center"/>
            <w:hideMark/>
          </w:tcPr>
          <w:p w14:paraId="23DEB508"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0.82 ± 0.08</w:t>
            </w:r>
          </w:p>
        </w:tc>
        <w:tc>
          <w:tcPr>
            <w:tcW w:w="1826" w:type="dxa"/>
            <w:tcBorders>
              <w:top w:val="nil"/>
              <w:left w:val="nil"/>
              <w:bottom w:val="single" w:sz="4" w:space="0" w:color="auto"/>
              <w:right w:val="single" w:sz="4" w:space="0" w:color="auto"/>
            </w:tcBorders>
            <w:shd w:val="clear" w:color="auto" w:fill="auto"/>
            <w:noWrap/>
            <w:vAlign w:val="center"/>
            <w:hideMark/>
          </w:tcPr>
          <w:p w14:paraId="31D3CB20"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0.60 ± 0.16</w:t>
            </w:r>
          </w:p>
        </w:tc>
      </w:tr>
      <w:tr w:rsidR="00E47341" w:rsidRPr="006E57C9" w14:paraId="542F9DDC" w14:textId="77777777" w:rsidTr="00D326DF">
        <w:trPr>
          <w:trHeight w:val="314"/>
        </w:trPr>
        <w:tc>
          <w:tcPr>
            <w:tcW w:w="1428" w:type="dxa"/>
            <w:tcBorders>
              <w:top w:val="nil"/>
              <w:left w:val="single" w:sz="4" w:space="0" w:color="auto"/>
              <w:bottom w:val="single" w:sz="4" w:space="0" w:color="auto"/>
              <w:right w:val="single" w:sz="4" w:space="0" w:color="auto"/>
            </w:tcBorders>
            <w:shd w:val="clear" w:color="auto" w:fill="auto"/>
            <w:noWrap/>
            <w:vAlign w:val="center"/>
            <w:hideMark/>
          </w:tcPr>
          <w:p w14:paraId="7CE7A0A9"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33</w:t>
            </w:r>
          </w:p>
        </w:tc>
        <w:tc>
          <w:tcPr>
            <w:tcW w:w="1736" w:type="dxa"/>
            <w:tcBorders>
              <w:top w:val="nil"/>
              <w:left w:val="nil"/>
              <w:bottom w:val="single" w:sz="4" w:space="0" w:color="auto"/>
              <w:right w:val="single" w:sz="4" w:space="0" w:color="auto"/>
            </w:tcBorders>
            <w:shd w:val="clear" w:color="auto" w:fill="auto"/>
            <w:noWrap/>
            <w:vAlign w:val="center"/>
            <w:hideMark/>
          </w:tcPr>
          <w:p w14:paraId="5D0B813B"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0.83 ± 0.04</w:t>
            </w:r>
          </w:p>
        </w:tc>
        <w:tc>
          <w:tcPr>
            <w:tcW w:w="1718" w:type="dxa"/>
            <w:tcBorders>
              <w:top w:val="nil"/>
              <w:left w:val="nil"/>
              <w:bottom w:val="single" w:sz="4" w:space="0" w:color="auto"/>
              <w:right w:val="single" w:sz="4" w:space="0" w:color="auto"/>
            </w:tcBorders>
            <w:shd w:val="clear" w:color="auto" w:fill="auto"/>
            <w:noWrap/>
            <w:vAlign w:val="center"/>
            <w:hideMark/>
          </w:tcPr>
          <w:p w14:paraId="1D69AECB"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0.77 ± 0.12</w:t>
            </w:r>
          </w:p>
        </w:tc>
        <w:tc>
          <w:tcPr>
            <w:tcW w:w="1591" w:type="dxa"/>
            <w:tcBorders>
              <w:top w:val="nil"/>
              <w:left w:val="nil"/>
              <w:bottom w:val="single" w:sz="4" w:space="0" w:color="auto"/>
              <w:right w:val="single" w:sz="4" w:space="0" w:color="auto"/>
            </w:tcBorders>
            <w:shd w:val="clear" w:color="auto" w:fill="auto"/>
            <w:noWrap/>
            <w:vAlign w:val="center"/>
            <w:hideMark/>
          </w:tcPr>
          <w:p w14:paraId="7A636CF9"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0.81 ± 0.06</w:t>
            </w:r>
          </w:p>
        </w:tc>
        <w:tc>
          <w:tcPr>
            <w:tcW w:w="1663" w:type="dxa"/>
            <w:tcBorders>
              <w:top w:val="nil"/>
              <w:left w:val="nil"/>
              <w:bottom w:val="single" w:sz="4" w:space="0" w:color="auto"/>
              <w:right w:val="single" w:sz="4" w:space="0" w:color="auto"/>
            </w:tcBorders>
            <w:shd w:val="clear" w:color="auto" w:fill="auto"/>
            <w:noWrap/>
            <w:vAlign w:val="center"/>
            <w:hideMark/>
          </w:tcPr>
          <w:p w14:paraId="53587462"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0.83 ± 0.07</w:t>
            </w:r>
          </w:p>
        </w:tc>
        <w:tc>
          <w:tcPr>
            <w:tcW w:w="1826" w:type="dxa"/>
            <w:tcBorders>
              <w:top w:val="nil"/>
              <w:left w:val="nil"/>
              <w:bottom w:val="single" w:sz="4" w:space="0" w:color="auto"/>
              <w:right w:val="single" w:sz="4" w:space="0" w:color="auto"/>
            </w:tcBorders>
            <w:shd w:val="clear" w:color="auto" w:fill="auto"/>
            <w:noWrap/>
            <w:vAlign w:val="center"/>
            <w:hideMark/>
          </w:tcPr>
          <w:p w14:paraId="0375AB0C"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0.61 ± 0.13</w:t>
            </w:r>
          </w:p>
        </w:tc>
      </w:tr>
      <w:tr w:rsidR="00E47341" w:rsidRPr="006E57C9" w14:paraId="319D4ABE" w14:textId="77777777" w:rsidTr="00D326DF">
        <w:trPr>
          <w:trHeight w:val="314"/>
        </w:trPr>
        <w:tc>
          <w:tcPr>
            <w:tcW w:w="1428" w:type="dxa"/>
            <w:tcBorders>
              <w:top w:val="nil"/>
              <w:left w:val="single" w:sz="4" w:space="0" w:color="auto"/>
              <w:bottom w:val="single" w:sz="4" w:space="0" w:color="auto"/>
              <w:right w:val="single" w:sz="4" w:space="0" w:color="auto"/>
            </w:tcBorders>
            <w:shd w:val="clear" w:color="auto" w:fill="auto"/>
            <w:noWrap/>
            <w:vAlign w:val="center"/>
            <w:hideMark/>
          </w:tcPr>
          <w:p w14:paraId="41C7EB18"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21</w:t>
            </w:r>
          </w:p>
        </w:tc>
        <w:tc>
          <w:tcPr>
            <w:tcW w:w="1736" w:type="dxa"/>
            <w:tcBorders>
              <w:top w:val="nil"/>
              <w:left w:val="nil"/>
              <w:bottom w:val="single" w:sz="4" w:space="0" w:color="auto"/>
              <w:right w:val="single" w:sz="4" w:space="0" w:color="auto"/>
            </w:tcBorders>
            <w:shd w:val="clear" w:color="auto" w:fill="auto"/>
            <w:noWrap/>
            <w:vAlign w:val="center"/>
            <w:hideMark/>
          </w:tcPr>
          <w:p w14:paraId="2D92E052"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0.80 ± 0.08</w:t>
            </w:r>
          </w:p>
        </w:tc>
        <w:tc>
          <w:tcPr>
            <w:tcW w:w="1718" w:type="dxa"/>
            <w:tcBorders>
              <w:top w:val="nil"/>
              <w:left w:val="nil"/>
              <w:bottom w:val="single" w:sz="4" w:space="0" w:color="auto"/>
              <w:right w:val="single" w:sz="4" w:space="0" w:color="auto"/>
            </w:tcBorders>
            <w:shd w:val="clear" w:color="auto" w:fill="auto"/>
            <w:noWrap/>
            <w:vAlign w:val="center"/>
            <w:hideMark/>
          </w:tcPr>
          <w:p w14:paraId="76B47324"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0.76 ± 0.16</w:t>
            </w:r>
          </w:p>
        </w:tc>
        <w:tc>
          <w:tcPr>
            <w:tcW w:w="1591" w:type="dxa"/>
            <w:tcBorders>
              <w:top w:val="nil"/>
              <w:left w:val="nil"/>
              <w:bottom w:val="single" w:sz="4" w:space="0" w:color="auto"/>
              <w:right w:val="single" w:sz="4" w:space="0" w:color="auto"/>
            </w:tcBorders>
            <w:shd w:val="clear" w:color="auto" w:fill="auto"/>
            <w:noWrap/>
            <w:vAlign w:val="center"/>
            <w:hideMark/>
          </w:tcPr>
          <w:p w14:paraId="03B2259E"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0.79 ± 0.05</w:t>
            </w:r>
          </w:p>
        </w:tc>
        <w:tc>
          <w:tcPr>
            <w:tcW w:w="1663" w:type="dxa"/>
            <w:tcBorders>
              <w:top w:val="nil"/>
              <w:left w:val="nil"/>
              <w:bottom w:val="single" w:sz="4" w:space="0" w:color="auto"/>
              <w:right w:val="single" w:sz="4" w:space="0" w:color="auto"/>
            </w:tcBorders>
            <w:shd w:val="clear" w:color="auto" w:fill="auto"/>
            <w:noWrap/>
            <w:vAlign w:val="center"/>
            <w:hideMark/>
          </w:tcPr>
          <w:p w14:paraId="6459C37C"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0.80 ± 0.08</w:t>
            </w:r>
          </w:p>
        </w:tc>
        <w:tc>
          <w:tcPr>
            <w:tcW w:w="1826" w:type="dxa"/>
            <w:tcBorders>
              <w:top w:val="nil"/>
              <w:left w:val="nil"/>
              <w:bottom w:val="single" w:sz="4" w:space="0" w:color="auto"/>
              <w:right w:val="single" w:sz="4" w:space="0" w:color="auto"/>
            </w:tcBorders>
            <w:shd w:val="clear" w:color="auto" w:fill="auto"/>
            <w:noWrap/>
            <w:vAlign w:val="center"/>
            <w:hideMark/>
          </w:tcPr>
          <w:p w14:paraId="62AD68E0"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0.57 ± 0.10</w:t>
            </w:r>
          </w:p>
        </w:tc>
      </w:tr>
      <w:tr w:rsidR="00E47341" w:rsidRPr="006E57C9" w14:paraId="4D8B1EEC" w14:textId="77777777" w:rsidTr="00D326DF">
        <w:trPr>
          <w:trHeight w:val="314"/>
        </w:trPr>
        <w:tc>
          <w:tcPr>
            <w:tcW w:w="1428" w:type="dxa"/>
            <w:tcBorders>
              <w:top w:val="nil"/>
              <w:left w:val="single" w:sz="4" w:space="0" w:color="auto"/>
              <w:bottom w:val="single" w:sz="4" w:space="0" w:color="auto"/>
              <w:right w:val="single" w:sz="4" w:space="0" w:color="auto"/>
            </w:tcBorders>
            <w:shd w:val="clear" w:color="auto" w:fill="auto"/>
            <w:noWrap/>
            <w:vAlign w:val="center"/>
            <w:hideMark/>
          </w:tcPr>
          <w:p w14:paraId="7A492E0A"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9</w:t>
            </w:r>
          </w:p>
        </w:tc>
        <w:tc>
          <w:tcPr>
            <w:tcW w:w="1736" w:type="dxa"/>
            <w:tcBorders>
              <w:top w:val="nil"/>
              <w:left w:val="nil"/>
              <w:bottom w:val="single" w:sz="4" w:space="0" w:color="auto"/>
              <w:right w:val="single" w:sz="4" w:space="0" w:color="auto"/>
            </w:tcBorders>
            <w:shd w:val="clear" w:color="auto" w:fill="auto"/>
            <w:noWrap/>
            <w:vAlign w:val="center"/>
            <w:hideMark/>
          </w:tcPr>
          <w:p w14:paraId="64783FB9"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0.89 ± 0.09</w:t>
            </w:r>
          </w:p>
        </w:tc>
        <w:tc>
          <w:tcPr>
            <w:tcW w:w="1718" w:type="dxa"/>
            <w:tcBorders>
              <w:top w:val="nil"/>
              <w:left w:val="nil"/>
              <w:bottom w:val="single" w:sz="4" w:space="0" w:color="auto"/>
              <w:right w:val="single" w:sz="4" w:space="0" w:color="auto"/>
            </w:tcBorders>
            <w:shd w:val="clear" w:color="auto" w:fill="auto"/>
            <w:noWrap/>
            <w:vAlign w:val="center"/>
            <w:hideMark/>
          </w:tcPr>
          <w:p w14:paraId="7431936A"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0.70 ± 0.19</w:t>
            </w:r>
          </w:p>
        </w:tc>
        <w:tc>
          <w:tcPr>
            <w:tcW w:w="1591" w:type="dxa"/>
            <w:tcBorders>
              <w:top w:val="nil"/>
              <w:left w:val="nil"/>
              <w:bottom w:val="single" w:sz="4" w:space="0" w:color="auto"/>
              <w:right w:val="single" w:sz="4" w:space="0" w:color="auto"/>
            </w:tcBorders>
            <w:shd w:val="clear" w:color="auto" w:fill="auto"/>
            <w:noWrap/>
            <w:vAlign w:val="center"/>
            <w:hideMark/>
          </w:tcPr>
          <w:p w14:paraId="2CF14956"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0.80 ± 0.05</w:t>
            </w:r>
          </w:p>
        </w:tc>
        <w:tc>
          <w:tcPr>
            <w:tcW w:w="1663" w:type="dxa"/>
            <w:tcBorders>
              <w:top w:val="nil"/>
              <w:left w:val="nil"/>
              <w:bottom w:val="single" w:sz="4" w:space="0" w:color="auto"/>
              <w:right w:val="single" w:sz="4" w:space="0" w:color="auto"/>
            </w:tcBorders>
            <w:shd w:val="clear" w:color="auto" w:fill="auto"/>
            <w:noWrap/>
            <w:vAlign w:val="center"/>
            <w:hideMark/>
          </w:tcPr>
          <w:p w14:paraId="3F973D96"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0.83 ± 0.08</w:t>
            </w:r>
          </w:p>
        </w:tc>
        <w:tc>
          <w:tcPr>
            <w:tcW w:w="1826" w:type="dxa"/>
            <w:tcBorders>
              <w:top w:val="nil"/>
              <w:left w:val="nil"/>
              <w:bottom w:val="single" w:sz="4" w:space="0" w:color="auto"/>
              <w:right w:val="single" w:sz="4" w:space="0" w:color="auto"/>
            </w:tcBorders>
            <w:shd w:val="clear" w:color="auto" w:fill="auto"/>
            <w:noWrap/>
            <w:vAlign w:val="center"/>
            <w:hideMark/>
          </w:tcPr>
          <w:p w14:paraId="28227910" w14:textId="77777777" w:rsidR="00E47341" w:rsidRPr="006E57C9" w:rsidRDefault="00E47341" w:rsidP="00D326DF">
            <w:pPr>
              <w:spacing w:after="0" w:line="240" w:lineRule="auto"/>
              <w:jc w:val="both"/>
              <w:rPr>
                <w:rFonts w:ascii="Times New Roman" w:eastAsia="Times New Roman" w:hAnsi="Times New Roman" w:cs="Times New Roman"/>
              </w:rPr>
            </w:pPr>
            <w:r w:rsidRPr="006E57C9">
              <w:rPr>
                <w:rFonts w:ascii="Times New Roman" w:eastAsia="Times New Roman" w:hAnsi="Times New Roman" w:cs="Times New Roman"/>
              </w:rPr>
              <w:t>0.61 ± 0.10</w:t>
            </w:r>
          </w:p>
        </w:tc>
      </w:tr>
    </w:tbl>
    <w:p w14:paraId="3BA88B47" w14:textId="77777777" w:rsidR="00E47341" w:rsidRDefault="00E47341" w:rsidP="00FB285C">
      <w:pPr>
        <w:jc w:val="both"/>
        <w:rPr>
          <w:rFonts w:ascii="Times New Roman" w:hAnsi="Times New Roman" w:cs="Times New Roman"/>
          <w:b/>
          <w:bCs/>
        </w:rPr>
      </w:pPr>
    </w:p>
    <w:p w14:paraId="6A2FA485" w14:textId="7A7B3B88" w:rsidR="00E47341" w:rsidRDefault="00E47341" w:rsidP="00FB285C">
      <w:pPr>
        <w:jc w:val="both"/>
        <w:rPr>
          <w:rFonts w:ascii="Times New Roman" w:hAnsi="Times New Roman" w:cs="Times New Roman"/>
          <w:b/>
          <w:bCs/>
        </w:rPr>
      </w:pPr>
    </w:p>
    <w:p w14:paraId="64A7B6FB" w14:textId="77777777" w:rsidR="003D313F" w:rsidRDefault="003D313F" w:rsidP="00FB285C">
      <w:pPr>
        <w:jc w:val="both"/>
        <w:rPr>
          <w:rFonts w:ascii="Times New Roman" w:hAnsi="Times New Roman" w:cs="Times New Roman"/>
          <w:b/>
          <w:bCs/>
        </w:rPr>
      </w:pPr>
    </w:p>
    <w:p w14:paraId="52532AE9" w14:textId="77777777" w:rsidR="00ED33BD" w:rsidRPr="00ED33BD" w:rsidRDefault="00ED33BD">
      <w:pPr>
        <w:rPr>
          <w:rFonts w:ascii="Times New Roman" w:hAnsi="Times New Roman" w:cs="Times New Roman"/>
          <w:sz w:val="24"/>
          <w:szCs w:val="24"/>
        </w:rPr>
      </w:pPr>
    </w:p>
    <w:sectPr w:rsidR="00ED33BD" w:rsidRPr="00ED33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AzM7M0MzO2MDY0MDNW0lEKTi0uzszPAykwqgUAfUgPICwAAAA="/>
  </w:docVars>
  <w:rsids>
    <w:rsidRoot w:val="00DF7286"/>
    <w:rsid w:val="00287A59"/>
    <w:rsid w:val="003323D6"/>
    <w:rsid w:val="003D313F"/>
    <w:rsid w:val="00511E6B"/>
    <w:rsid w:val="00557C30"/>
    <w:rsid w:val="00631726"/>
    <w:rsid w:val="00686D91"/>
    <w:rsid w:val="00750CB1"/>
    <w:rsid w:val="00813361"/>
    <w:rsid w:val="0084712E"/>
    <w:rsid w:val="009034C2"/>
    <w:rsid w:val="00B64CA9"/>
    <w:rsid w:val="00CA1A81"/>
    <w:rsid w:val="00D002BB"/>
    <w:rsid w:val="00D33188"/>
    <w:rsid w:val="00DF3ADD"/>
    <w:rsid w:val="00DF7286"/>
    <w:rsid w:val="00E47341"/>
    <w:rsid w:val="00ED33BD"/>
    <w:rsid w:val="00FB2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14BEE"/>
  <w15:chartTrackingRefBased/>
  <w15:docId w15:val="{50DEAE4D-4A2D-4F36-93E5-54A819CEC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3BD"/>
  </w:style>
  <w:style w:type="paragraph" w:styleId="Heading1">
    <w:name w:val="heading 1"/>
    <w:basedOn w:val="Normal"/>
    <w:next w:val="Normal"/>
    <w:link w:val="Heading1Char"/>
    <w:uiPriority w:val="9"/>
    <w:qFormat/>
    <w:rsid w:val="00B64CA9"/>
    <w:pPr>
      <w:keepNext/>
      <w:keepLines/>
      <w:spacing w:before="240" w:after="0" w:line="48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64CA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ED33BD"/>
    <w:pPr>
      <w:spacing w:after="200" w:line="240" w:lineRule="auto"/>
    </w:pPr>
    <w:rPr>
      <w:i/>
      <w:iCs/>
      <w:color w:val="44546A" w:themeColor="text2"/>
      <w:sz w:val="18"/>
      <w:szCs w:val="18"/>
    </w:rPr>
  </w:style>
  <w:style w:type="paragraph" w:styleId="CommentText">
    <w:name w:val="annotation text"/>
    <w:basedOn w:val="Normal"/>
    <w:link w:val="CommentTextChar"/>
    <w:uiPriority w:val="99"/>
    <w:unhideWhenUsed/>
    <w:rsid w:val="00ED33BD"/>
    <w:pPr>
      <w:spacing w:line="240" w:lineRule="auto"/>
    </w:pPr>
    <w:rPr>
      <w:sz w:val="20"/>
      <w:szCs w:val="20"/>
    </w:rPr>
  </w:style>
  <w:style w:type="character" w:customStyle="1" w:styleId="CommentTextChar">
    <w:name w:val="Comment Text Char"/>
    <w:basedOn w:val="DefaultParagraphFont"/>
    <w:link w:val="CommentText"/>
    <w:uiPriority w:val="99"/>
    <w:rsid w:val="00ED33BD"/>
    <w:rPr>
      <w:sz w:val="20"/>
      <w:szCs w:val="20"/>
    </w:rPr>
  </w:style>
  <w:style w:type="character" w:styleId="CommentReference">
    <w:name w:val="annotation reference"/>
    <w:basedOn w:val="DefaultParagraphFont"/>
    <w:uiPriority w:val="99"/>
    <w:unhideWhenUsed/>
    <w:rsid w:val="00ED33BD"/>
    <w:rPr>
      <w:sz w:val="18"/>
      <w:szCs w:val="18"/>
    </w:rPr>
  </w:style>
  <w:style w:type="paragraph" w:styleId="BalloonText">
    <w:name w:val="Balloon Text"/>
    <w:basedOn w:val="Normal"/>
    <w:link w:val="BalloonTextChar"/>
    <w:uiPriority w:val="99"/>
    <w:semiHidden/>
    <w:unhideWhenUsed/>
    <w:rsid w:val="00ED33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33BD"/>
    <w:rPr>
      <w:rFonts w:ascii="Segoe UI" w:hAnsi="Segoe UI" w:cs="Segoe UI"/>
      <w:sz w:val="18"/>
      <w:szCs w:val="18"/>
    </w:rPr>
  </w:style>
  <w:style w:type="character" w:styleId="Hyperlink">
    <w:name w:val="Hyperlink"/>
    <w:basedOn w:val="DefaultParagraphFont"/>
    <w:uiPriority w:val="99"/>
    <w:unhideWhenUsed/>
    <w:rsid w:val="00FB285C"/>
    <w:rPr>
      <w:color w:val="0563C1" w:themeColor="hyperlink"/>
      <w:u w:val="single"/>
    </w:rPr>
  </w:style>
  <w:style w:type="character" w:customStyle="1" w:styleId="identifier">
    <w:name w:val="identifier"/>
    <w:basedOn w:val="DefaultParagraphFont"/>
    <w:rsid w:val="00FB285C"/>
  </w:style>
  <w:style w:type="character" w:customStyle="1" w:styleId="Heading1Char">
    <w:name w:val="Heading 1 Char"/>
    <w:basedOn w:val="DefaultParagraphFont"/>
    <w:link w:val="Heading1"/>
    <w:uiPriority w:val="9"/>
    <w:rsid w:val="00B64CA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64CA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865</Words>
  <Characters>4933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Niraj Thapa</dc:creator>
  <cp:keywords/>
  <dc:description/>
  <cp:lastModifiedBy>Kc, Dukka</cp:lastModifiedBy>
  <cp:revision>17</cp:revision>
  <dcterms:created xsi:type="dcterms:W3CDTF">2021-02-24T19:02:00Z</dcterms:created>
  <dcterms:modified xsi:type="dcterms:W3CDTF">2021-03-03T13:20:00Z</dcterms:modified>
</cp:coreProperties>
</file>