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17" w:type="pct"/>
        <w:tblInd w:w="-3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left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Supplemental 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Table 1.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Abbreviation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Abbreviation</w:t>
            </w:r>
          </w:p>
        </w:tc>
        <w:tc>
          <w:tcPr>
            <w:tcW w:w="38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hint="default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>Full name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METTL3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begin"/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instrText xml:space="preserve"> HYPERLINK "https://www.ncbi.nlm.nih.gov/gene/56339" </w:instrTex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separate"/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methyltransferase 3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METTL14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begin"/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instrText xml:space="preserve"> HYPERLINK "https://www.ncbi.nlm.nih.gov/gene/56339" </w:instrTex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separate"/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methyltransferase 1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end"/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WTAP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Wilms Tumor 1 associated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ALKBH5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begin"/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instrText xml:space="preserve"> HYPERLINK "https://www.ncbi.nlm.nih.gov/gene/54890" </w:instrTex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separate"/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alkB homolog 5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FTO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 xml:space="preserve">fat mass and obesity associated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RBP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RNA-Binding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YTHDF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YTH domain family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IGF2BPs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insulin-like growth factor 2 mRNA binding proteins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TUG1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taurine upregulated gene 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DMEM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dulbecco’s modified eagle’s medium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FBS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 xml:space="preserve">Fetal bovine serum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>L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ncRNA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long non-coding RNA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PBS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phosphate buffer solution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 xml:space="preserve">RT-qPCR 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Real Time Quantitative polymerase chain reaction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ATCC</w:t>
            </w:r>
          </w:p>
        </w:tc>
        <w:tc>
          <w:tcPr>
            <w:tcW w:w="3858" w:type="pct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American type culture collection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RIP</w:t>
            </w:r>
          </w:p>
        </w:tc>
        <w:tc>
          <w:tcPr>
            <w:tcW w:w="3858" w:type="pct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RNA immunoprecipitation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Act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D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 xml:space="preserve">actinomycin 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PGC-1α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peroxisome proliferators-activatedreceptor γcoactivator 1 alpha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ROS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reactive oxygen species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Nrf1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Nuclear Respiratory Factor 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Nrf2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Nuclear Respiratory Factor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TFAM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Mitochondrial transcription factor 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KW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Kidney Weight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ALB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Albumin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CRE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Creatinine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BUN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Blood Urea Nitrogen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TEM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Transmission electron microscope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>r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AAV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ecombinant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Adeno-Associated virus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MTF3212/R3319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mitochondrial forward primer from nucleotide 3212 and reverse primer from nucleotide 3319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MT-ND1</w:t>
            </w:r>
          </w:p>
        </w:tc>
        <w:tc>
          <w:tcPr>
            <w:tcW w:w="3858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mito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softHyphen/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chondrial encoded NADH dehydrogenase 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pct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RPLP0</w:t>
            </w:r>
          </w:p>
        </w:tc>
        <w:tc>
          <w:tcPr>
            <w:tcW w:w="3858" w:type="pct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acidic ribosomal phosphoprotein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380" w:firstLineChars="200"/>
        <w:jc w:val="center"/>
        <w:textAlignment w:val="auto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WarnockPro-Regular" w:cs="Times New Roman"/>
          <w:color w:val="000000"/>
          <w:kern w:val="0"/>
          <w:sz w:val="19"/>
          <w:szCs w:val="19"/>
        </w:rPr>
        <w:br w:type="page"/>
      </w:r>
    </w:p>
    <w:tbl>
      <w:tblPr>
        <w:tblStyle w:val="3"/>
        <w:tblpPr w:leftFromText="180" w:rightFromText="180" w:vertAnchor="text" w:horzAnchor="page" w:tblpX="1071" w:tblpY="128"/>
        <w:tblOverlap w:val="never"/>
        <w:tblW w:w="10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3657"/>
        <w:gridCol w:w="3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left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Supplemental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>2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. Primer sequences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>Gene</w:t>
            </w:r>
          </w:p>
        </w:tc>
        <w:tc>
          <w:tcPr>
            <w:tcW w:w="3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Forward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(5'-&gt;3')</w:t>
            </w:r>
          </w:p>
        </w:tc>
        <w:tc>
          <w:tcPr>
            <w:tcW w:w="38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Reverse (5'-&gt;3')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β-actin（Human）</w:t>
            </w:r>
          </w:p>
        </w:tc>
        <w:tc>
          <w:tcPr>
            <w:tcW w:w="365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CATGTACGTTGCTATCCAGGC</w:t>
            </w:r>
          </w:p>
        </w:tc>
        <w:tc>
          <w:tcPr>
            <w:tcW w:w="38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CTCCTTAATGTCACGCACGAT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METTL3（Human）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AGATGGGGTAGAAAGCCTCCT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TGGTCAGCATAGGTTACAAGAGT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METTL14（Human）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AGTGCCGACAGCATTGGTG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GGAGCAGAGGTATCATAGGAAGC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FTO（Human）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ACTTGGCTCCCTTATCTGACC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TGTGCAGTGTGAGAAAGGCTT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YTHDF1（Human）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ATACCTCACCACCTACGGACA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GTGCTGATAGATGTTGTTCCCC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YTHDF2（Human）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AGCCCCACTTCCTACCAGATG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TGAGAACTGTTATTTCCCCATGC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IGF2BP2（Human）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AGTGGAATTGCATGGGAAAATCA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CAACGGCGGTTTCTGTGTC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(Human)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TAGCAGTTCCCCAATCCTTG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380" w:firstLineChars="200"/>
              <w:jc w:val="center"/>
              <w:textAlignment w:val="auto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CACAAATTCCCATCATTCC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PGC-1α(Human)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TCTGAGTCTGTATGGAGTGACAT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CCAAGTCGTTCACATCTAGTTCA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Nrf1(Human)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AAACGGCCTCATGTATTTGAGT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TAACGTGGCTCGAAGTTTCCG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Nrf2(Human)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TTCCCGGTCACATCGAGAG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TCCTGTTGCATACCGTCTAAATC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TFAM(Human)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ATGGCGTTTCTCCGAAGCAT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TCCGCCTATAAGCATCTTGA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MTF3212/R3319(Human)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CACCCAAGAACAGGGTTTGT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TGGCCATGGGTATGTTGTTAA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MT-ND1(Human)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ATGGCCAACCTCCTACTCCT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CTACAACGTTGGGGCCTTT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RPLP0(Human)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CAGCAAGTGGGAAGGTGTAATCC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CCCATTCTATCATCAACGGGTACAA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β-actin(Mouse)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GGCTGTATTCCCCTCCATCG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CCAGTTGGTAACAATGCCATGT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METTL3(Mouse)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CTGGGCACTTGGATTTAAGGA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TGAGAGGTGGTGTAGCAACTT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IGF2BP2(Mouse)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GTCCTACTCAAGTCCGGCTAC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CATATTCAGCCAACAGCCCAT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CTCTGGAGGTGGACGTTTTGT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GTGAGTCGTGTCTCTCTTTTCTC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PGC-1α(Mouse)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TATGGAGTGACATAGAGTGCT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CCACTTCAATCCACCCAGAAAG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Nrf1(Mouse)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AGCACGGAGTGACCCAAAC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TGTACGTGGCTACATGGACCT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Nrf2(Mouse)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CTTTAGTCAGCGACAGAAGGAC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AGGCATCTTGTTTGGGAATGTG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TFAM(Mouse)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ATTCCGAAGTGTTTTTCCAGCA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TCTGAAAGTTTTGCATCTGGGT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MT-CytB(Mouse)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GTGAACGATTGCTAGGGCC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CGATTCTTCGCTTTCCACTTCAT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MT-ND1(Mouse)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CTCTTATCCACGCTTCCGTTACG</w:t>
            </w:r>
          </w:p>
        </w:tc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GATGGTGGTACTCCCGCTGTA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MT-H19(Mouse)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GTACCCACCTGTCGTCC</w:t>
            </w:r>
          </w:p>
        </w:tc>
        <w:tc>
          <w:tcPr>
            <w:tcW w:w="38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GTCCACGAGACCAATGACTG</w:t>
            </w:r>
          </w:p>
        </w:tc>
      </w:tr>
    </w:tbl>
    <w:p>
      <w:pPr>
        <w:widowControl/>
        <w:ind w:firstLine="380" w:firstLineChars="200"/>
        <w:jc w:val="center"/>
        <w:rPr>
          <w:rFonts w:ascii="Times New Roman" w:hAnsi="Times New Roman" w:eastAsia="WarnockPro-Regular" w:cs="Times New Roman"/>
          <w:color w:val="000000"/>
          <w:kern w:val="0"/>
          <w:sz w:val="19"/>
          <w:szCs w:val="19"/>
        </w:rPr>
      </w:pPr>
    </w:p>
    <w:tbl>
      <w:tblPr>
        <w:tblStyle w:val="2"/>
        <w:tblW w:w="10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4045"/>
        <w:gridCol w:w="2653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009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ind w:firstLine="380" w:firstLineChars="200"/>
              <w:jc w:val="left"/>
              <w:rPr>
                <w:rFonts w:hint="default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Supplemental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>3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.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RNase Mazf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PCR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>Primers 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>Gene</w:t>
            </w:r>
          </w:p>
        </w:tc>
        <w:tc>
          <w:tcPr>
            <w:tcW w:w="40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>Primer sequence</w:t>
            </w:r>
          </w:p>
        </w:tc>
        <w:tc>
          <w:tcPr>
            <w:tcW w:w="265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nnealing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>Tempreture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(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℃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)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>Product Length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(bp)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-2047</w:t>
            </w:r>
          </w:p>
        </w:tc>
        <w:tc>
          <w:tcPr>
            <w:tcW w:w="404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F:5’GATTAGATGTTAGCCAGTTATGC3’</w:t>
            </w:r>
          </w:p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R:5’AAGTCTTTTGAGGTACATCCG3’</w:t>
            </w:r>
          </w:p>
        </w:tc>
        <w:tc>
          <w:tcPr>
            <w:tcW w:w="265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60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-2391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F:5’CTGGAACCCGAAAGAGCTTG3’</w:t>
            </w:r>
          </w:p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R:5’CTGGTGGTAGTGCTTGCTCA3’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60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-4944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F:5’GCAGGAAGGATTCAGTTTAT3’</w:t>
            </w:r>
          </w:p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R:5’TTCATTCGAGTAGCTCAGGAT3’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60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-5628</w:t>
            </w:r>
          </w:p>
        </w:tc>
        <w:tc>
          <w:tcPr>
            <w:tcW w:w="404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F:5’GATTACCAAAGAAAGTAGGGC3’</w:t>
            </w:r>
          </w:p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R:5’AGTCTATGCTACATCTGGGAGT3’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60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77</w:t>
            </w:r>
          </w:p>
        </w:tc>
      </w:tr>
    </w:tbl>
    <w:p>
      <w:pPr>
        <w:widowControl/>
        <w:jc w:val="both"/>
        <w:rPr>
          <w:rFonts w:hint="default" w:ascii="Times New Roman" w:hAnsi="Times New Roman" w:eastAsia="WarnockPro-Regular" w:cs="Times New Roman"/>
          <w:color w:val="000000"/>
          <w:kern w:val="0"/>
          <w:sz w:val="19"/>
          <w:szCs w:val="19"/>
          <w:lang w:val="en-US" w:eastAsia="zh-CN"/>
        </w:rPr>
      </w:pPr>
    </w:p>
    <w:p>
      <w:pPr>
        <w:widowControl/>
        <w:jc w:val="both"/>
        <w:rPr>
          <w:rFonts w:hint="default" w:ascii="Times New Roman" w:hAnsi="Times New Roman" w:eastAsia="WarnockPro-Regular" w:cs="Times New Roman"/>
          <w:color w:val="000000"/>
          <w:kern w:val="0"/>
          <w:sz w:val="19"/>
          <w:szCs w:val="19"/>
          <w:lang w:val="en-US" w:eastAsia="zh-CN"/>
        </w:rPr>
      </w:pPr>
    </w:p>
    <w:p>
      <w:pPr>
        <w:widowControl/>
        <w:jc w:val="both"/>
        <w:rPr>
          <w:rFonts w:hint="default" w:ascii="Times New Roman" w:hAnsi="Times New Roman" w:eastAsia="WarnockPro-Regular" w:cs="Times New Roman"/>
          <w:color w:val="000000"/>
          <w:kern w:val="0"/>
          <w:sz w:val="19"/>
          <w:szCs w:val="19"/>
          <w:lang w:val="en-US" w:eastAsia="zh-CN"/>
        </w:rPr>
      </w:pPr>
    </w:p>
    <w:tbl>
      <w:tblPr>
        <w:tblStyle w:val="2"/>
        <w:tblW w:w="369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3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000" w:type="pct"/>
            <w:gridSpan w:val="2"/>
            <w:tcBorders>
              <w:bottom w:val="single" w:color="auto" w:sz="4" w:space="0"/>
            </w:tcBorders>
          </w:tcPr>
          <w:p>
            <w:pPr>
              <w:widowControl/>
              <w:ind w:firstLine="380" w:firstLineChars="200"/>
              <w:jc w:val="left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Supplemental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>4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. RIP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Primer 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005" w:type="pct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</w:p>
        </w:tc>
        <w:tc>
          <w:tcPr>
            <w:tcW w:w="2994" w:type="pct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ind w:firstLine="380" w:firstLineChars="200"/>
              <w:jc w:val="center"/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>Primer 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005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Primer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2994" w:type="pct"/>
            <w:tcBorders>
              <w:top w:val="single" w:color="auto" w:sz="4" w:space="0"/>
            </w:tcBorders>
            <w:vAlign w:val="bottom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F:5’TAGCAGTTCCCCAATCCTTG3’</w:t>
            </w:r>
          </w:p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R:5’CACAAATTCCCATCATTCC3’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005" w:type="pct"/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Primer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2994" w:type="pct"/>
            <w:vAlign w:val="bottom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F:5’CTGACCCTCTCCGCCATTTA3’</w:t>
            </w:r>
          </w:p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R:5’TCGATTTAGGGGCCTGACTC3’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005" w:type="pct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lncRNA TUG1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WarnockPro-Regular" w:cs="Times New Roman"/>
                <w:color w:val="000000"/>
                <w:kern w:val="0"/>
                <w:sz w:val="19"/>
                <w:szCs w:val="19"/>
                <w:lang w:val="en-US" w:eastAsia="zh-CN"/>
              </w:rPr>
              <w:t xml:space="preserve">Primer </w:t>
            </w: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2994" w:type="pct"/>
            <w:tcBorders>
              <w:bottom w:val="single" w:color="auto" w:sz="4" w:space="0"/>
            </w:tcBorders>
            <w:vAlign w:val="bottom"/>
          </w:tcPr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F:5’TGGTGACACCTAAGGGGACT3’</w:t>
            </w:r>
          </w:p>
          <w:p>
            <w:pPr>
              <w:widowControl/>
              <w:ind w:firstLine="380" w:firstLineChars="200"/>
              <w:jc w:val="center"/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</w:pPr>
            <w:r>
              <w:rPr>
                <w:rFonts w:ascii="Times New Roman" w:hAnsi="Times New Roman" w:eastAsia="WarnockPro-Regular" w:cs="Times New Roman"/>
                <w:color w:val="000000"/>
                <w:kern w:val="0"/>
                <w:sz w:val="19"/>
                <w:szCs w:val="19"/>
              </w:rPr>
              <w:t>R:5’TGAACTGTGCTGAGTGGAGG3’</w:t>
            </w:r>
          </w:p>
        </w:tc>
      </w:tr>
    </w:tbl>
    <w:p>
      <w:pPr>
        <w:widowControl/>
        <w:rPr>
          <w:rFonts w:ascii="Times New Roman" w:hAnsi="Times New Roman" w:eastAsia="WarnockPro-Regular" w:cs="Times New Roman"/>
          <w:color w:val="000000"/>
          <w:kern w:val="0"/>
          <w:sz w:val="19"/>
          <w:szCs w:val="19"/>
        </w:rPr>
      </w:pPr>
    </w:p>
    <w:p>
      <w:pPr>
        <w:widowControl/>
        <w:rPr>
          <w:rFonts w:ascii="Times New Roman" w:hAnsi="Times New Roman" w:cs="Times New Roman"/>
        </w:rPr>
      </w:pPr>
      <w:bookmarkStart w:id="0" w:name="_GoBack"/>
      <w:bookmarkEnd w:id="0"/>
      <w:r>
        <w:drawing>
          <wp:inline distT="0" distB="0" distL="114300" distR="114300">
            <wp:extent cx="3996690" cy="2700020"/>
            <wp:effectExtent l="0" t="0" r="3810" b="5080"/>
            <wp:docPr id="9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9669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6"/>
          <w:szCs w:val="16"/>
          <w:lang w:val="en-US" w:eastAsia="zh-CN"/>
        </w:rPr>
        <w:t xml:space="preserve">Supplemental </w:t>
      </w:r>
      <w:r>
        <w:rPr>
          <w:rFonts w:ascii="Times New Roman" w:hAnsi="Times New Roman" w:eastAsia="WarnockPro-Regular" w:cs="Times New Roman"/>
          <w:b/>
          <w:bCs/>
          <w:color w:val="000000"/>
          <w:kern w:val="0"/>
          <w:sz w:val="16"/>
          <w:szCs w:val="16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6"/>
          <w:szCs w:val="16"/>
          <w:lang w:val="en-US" w:eastAsia="zh-CN"/>
        </w:rPr>
        <w:t>1</w:t>
      </w:r>
      <w:r>
        <w:rPr>
          <w:rFonts w:hint="eastAsia" w:ascii="Times New Roman" w:hAnsi="Times New Roman" w:eastAsia="WarnockPro-Regular" w:cs="Times New Roman"/>
          <w:b/>
          <w:bCs/>
          <w:color w:val="000000"/>
          <w:kern w:val="0"/>
          <w:sz w:val="16"/>
          <w:szCs w:val="16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6"/>
          <w:szCs w:val="16"/>
          <w:lang w:val="en-US" w:eastAsia="zh-CN"/>
        </w:rPr>
        <w:t xml:space="preserve"> </w:t>
      </w:r>
      <w:r>
        <w:rPr>
          <w:rFonts w:ascii="Times New Roman" w:hAnsi="Times New Roman" w:eastAsia="MyriadPro-Semibold" w:cs="Times New Roman"/>
          <w:color w:val="000000"/>
          <w:kern w:val="0"/>
          <w:sz w:val="16"/>
          <w:szCs w:val="16"/>
        </w:rPr>
        <w:t xml:space="preserve">RNA clustering analysis of single-alkali and alkaline-based </w:t>
      </w:r>
      <w:r>
        <w:rPr>
          <w:rFonts w:hint="eastAsia" w:ascii="Times New Roman" w:hAnsi="Times New Roman" w:eastAsia="MyriadPro-Semibold" w:cs="Times New Roman"/>
          <w:color w:val="000000"/>
          <w:kern w:val="0"/>
          <w:sz w:val="16"/>
          <w:szCs w:val="16"/>
        </w:rPr>
        <w:t>m</w:t>
      </w:r>
      <w:r>
        <w:rPr>
          <w:rFonts w:ascii="Times New Roman" w:hAnsi="Times New Roman" w:eastAsia="MyriadPro-Semibold" w:cs="Times New Roman"/>
          <w:color w:val="000000"/>
          <w:kern w:val="0"/>
          <w:sz w:val="16"/>
          <w:szCs w:val="16"/>
          <w:vertAlign w:val="superscript"/>
        </w:rPr>
        <w:t>6</w:t>
      </w:r>
      <w:r>
        <w:rPr>
          <w:rFonts w:ascii="Times New Roman" w:hAnsi="Times New Roman" w:eastAsia="MyriadPro-Semibold" w:cs="Times New Roman"/>
          <w:color w:val="000000"/>
          <w:kern w:val="0"/>
          <w:sz w:val="16"/>
          <w:szCs w:val="16"/>
        </w:rPr>
        <w:t xml:space="preserve">A modification. </w:t>
      </w:r>
      <w:r>
        <w:rPr>
          <w:rFonts w:hint="eastAsia" w:ascii="Times New Roman" w:hAnsi="Times New Roman" w:eastAsia="MyriadPro-Semibold" w:cs="Times New Roman"/>
          <w:b/>
          <w:bCs/>
          <w:color w:val="000000"/>
          <w:kern w:val="0"/>
          <w:sz w:val="16"/>
          <w:szCs w:val="16"/>
        </w:rPr>
        <w:t>(</w:t>
      </w:r>
      <w:r>
        <w:rPr>
          <w:rFonts w:ascii="Times New Roman" w:hAnsi="Times New Roman" w:eastAsia="MyriadPro-Semibold" w:cs="Times New Roman"/>
          <w:b/>
          <w:bCs/>
          <w:color w:val="000000"/>
          <w:kern w:val="0"/>
          <w:sz w:val="16"/>
          <w:szCs w:val="16"/>
        </w:rPr>
        <w:t>B</w:t>
      </w:r>
      <w:r>
        <w:rPr>
          <w:rFonts w:hint="eastAsia" w:ascii="Times New Roman" w:hAnsi="Times New Roman" w:eastAsia="MyriadPro-Semibold" w:cs="Times New Roman"/>
          <w:b/>
          <w:bCs/>
          <w:color w:val="000000"/>
          <w:kern w:val="0"/>
          <w:sz w:val="16"/>
          <w:szCs w:val="16"/>
        </w:rPr>
        <w:t>)</w:t>
      </w:r>
      <w:r>
        <w:rPr>
          <w:rFonts w:hint="eastAsia" w:ascii="Times New Roman" w:hAnsi="Times New Roman" w:eastAsia="MyriadPro-Semibold" w:cs="Times New Roman"/>
          <w:color w:val="000000"/>
          <w:kern w:val="0"/>
          <w:sz w:val="16"/>
          <w:szCs w:val="16"/>
        </w:rPr>
        <w:t>S</w:t>
      </w:r>
      <w:r>
        <w:rPr>
          <w:rFonts w:ascii="Times New Roman" w:hAnsi="Times New Roman" w:eastAsia="MyriadPro-Semibold" w:cs="Times New Roman"/>
          <w:color w:val="000000"/>
          <w:kern w:val="0"/>
          <w:sz w:val="16"/>
          <w:szCs w:val="16"/>
        </w:rPr>
        <w:t xml:space="preserve">econdary structure of TUG1( using RNAfold webserver predict </w:t>
      </w:r>
      <w:r>
        <w:fldChar w:fldCharType="begin"/>
      </w:r>
      <w:r>
        <w:instrText xml:space="preserve"> HYPERLINK "http://rna.tbi.univie.ac.AT/)." </w:instrText>
      </w:r>
      <w:r>
        <w:fldChar w:fldCharType="separate"/>
      </w:r>
      <w:r>
        <w:rPr>
          <w:rFonts w:ascii="Times New Roman" w:hAnsi="Times New Roman" w:eastAsia="MyriadPro-Semibold" w:cs="Times New Roman"/>
          <w:color w:val="000000"/>
          <w:kern w:val="0"/>
          <w:sz w:val="16"/>
          <w:szCs w:val="16"/>
        </w:rPr>
        <w:t>http://rna.tbi.univie.ac.AT/).</w:t>
      </w:r>
      <w:r>
        <w:rPr>
          <w:rFonts w:ascii="Times New Roman" w:hAnsi="Times New Roman" w:eastAsia="MyriadPro-Semibold" w:cs="Times New Roman"/>
          <w:color w:val="000000"/>
          <w:kern w:val="0"/>
          <w:sz w:val="16"/>
          <w:szCs w:val="16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arnockPr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yriadPr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ZTRhMDY0NTE0MGNhYzU2YjAzMjE3Y2MzNTg4YWYifQ=="/>
  </w:docVars>
  <w:rsids>
    <w:rsidRoot w:val="55544C91"/>
    <w:rsid w:val="05737D65"/>
    <w:rsid w:val="06856B57"/>
    <w:rsid w:val="3026014B"/>
    <w:rsid w:val="370C5E5F"/>
    <w:rsid w:val="3D785FFC"/>
    <w:rsid w:val="4CDD6A0A"/>
    <w:rsid w:val="55544C91"/>
    <w:rsid w:val="58762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349</Words>
  <Characters>3344</Characters>
  <Lines>0</Lines>
  <Paragraphs>0</Paragraphs>
  <TotalTime>8</TotalTime>
  <ScaleCrop>false</ScaleCrop>
  <LinksUpToDate>false</LinksUpToDate>
  <CharactersWithSpaces>3489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2022-10-09T13:51:00Z</dcterms:created>
  <dc:creator>铮铮日上</dc:creator>
  <cp:lastModifiedBy>铮铮日上</cp:lastModifiedBy>
  <dcterms:modified xsi:type="dcterms:W3CDTF">2022-10-19T12:30:30Z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B7AF5A50D25A4C0AB6CA08CADF9DBA4B</vt:lpwstr>
  </property>
</Properties>
</file>