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Supplementary materials</w:t>
      </w:r>
    </w:p>
    <w:p>
      <w:pPr>
        <w:spacing w:line="360" w:lineRule="auto"/>
        <w:ind w:firstLine="480"/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Hlk100177011"/>
      <w:bookmarkEnd w:id="0"/>
      <w:bookmarkStart w:id="1" w:name="_Hlk110779392"/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Rosmarinic acid ameliorated oxidative stress, neuronal injuries, and mitochondrial dysfunctions mediated by polyglutamine and </w:t>
      </w: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ɑ-sy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nuclein in </w:t>
      </w:r>
      <w:r>
        <w:rPr>
          <w:rFonts w:hint="eastAsia"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Caenorhabditis elegans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models</w:t>
      </w:r>
    </w:p>
    <w:p>
      <w:pPr>
        <w:spacing w:line="360" w:lineRule="auto"/>
        <w:ind w:firstLine="480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Yun Chen 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a,b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,1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, Ruina Xu 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a,b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,1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, </w:t>
      </w:r>
      <w:bookmarkStart w:id="2" w:name="OLE_LINK104"/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Qiaoxing Liu 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a,b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 Yanting Zeng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 xml:space="preserve"> a,b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Weitian Chen 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a,b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 Yongfa Lui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 xml:space="preserve"> a,b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, </w:t>
      </w:r>
      <w:bookmarkEnd w:id="2"/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Yong Cao 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a,b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 Guo Liu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 xml:space="preserve"> a,b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*, Yunjiao Chen 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a,b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*</w:t>
      </w:r>
    </w:p>
    <w:bookmarkEnd w:id="1"/>
    <w:p>
      <w:pPr>
        <w:spacing w:line="480" w:lineRule="auto"/>
        <w:ind w:firstLine="480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480" w:lineRule="auto"/>
        <w:ind w:firstLine="480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Guangdong Provincial Key Laboratory of Nutraceuticals and Functional Foods, College of Food Science, </w:t>
      </w:r>
      <w:bookmarkStart w:id="3" w:name="OLE_LINK562"/>
      <w:bookmarkStart w:id="4" w:name="OLE_LINK563"/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South China Agricultural University,</w:t>
      </w:r>
      <w:bookmarkEnd w:id="3"/>
      <w:bookmarkEnd w:id="4"/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Guangzhou 510640, Guangdong, China.</w:t>
      </w:r>
    </w:p>
    <w:p>
      <w:pPr>
        <w:spacing w:line="480" w:lineRule="auto"/>
        <w:ind w:firstLine="480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 xml:space="preserve">b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Guangdong Laboratory for Lingnan Modern Agriculture, Guangzhou 510640, Guangdong, China.</w:t>
      </w:r>
      <w:bookmarkStart w:id="8" w:name="_GoBack"/>
      <w:bookmarkEnd w:id="8"/>
    </w:p>
    <w:p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Yun Chen and Ruina Xu should be considered joint first author.</w:t>
      </w:r>
    </w:p>
    <w:p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*Corresponding authors. Telephone: +86-20-85286234*Email: </w:t>
      </w:r>
      <w:r>
        <w:fldChar w:fldCharType="begin"/>
      </w:r>
      <w:r>
        <w:instrText xml:space="preserve"> HYPERLINK "mailto:liuguo@scau.edu.cn" </w:instrText>
      </w:r>
      <w:r>
        <w:fldChar w:fldCharType="separate"/>
      </w:r>
      <w:r>
        <w:rPr>
          <w:rStyle w:val="8"/>
          <w:rFonts w:ascii="Times New Roman" w:hAnsi="Times New Roman" w:cs="Times New Roman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liuguo@scau.edu.cn</w:t>
      </w:r>
      <w:r>
        <w:rPr>
          <w:rStyle w:val="8"/>
          <w:rFonts w:ascii="Times New Roman" w:hAnsi="Times New Roman" w:cs="Times New Roman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(Guo Liu), yunjiaochen@scau.edu.cn (Yunjiao Chen). </w:t>
      </w:r>
    </w:p>
    <w:p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480" w:lineRule="auto"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page"/>
      </w:r>
    </w:p>
    <w:p>
      <w:pPr>
        <w:spacing w:line="360" w:lineRule="auto"/>
        <w:jc w:val="left"/>
        <w:rPr>
          <w:rFonts w:ascii="Times New Roman" w:hAnsi="Times New Roman" w:eastAsia="宋体" w:cs="Times New Roman"/>
          <w:b/>
          <w:bCs/>
          <w:color w:val="000000" w:themeColor="text1"/>
          <w:sz w:val="24"/>
          <w:szCs w:val="24"/>
          <w:lang w:val="e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bCs/>
          <w:color w:val="000000" w:themeColor="text1"/>
          <w:sz w:val="24"/>
          <w:szCs w:val="24"/>
          <w:lang w:val="en"/>
          <w14:textFill>
            <w14:solidFill>
              <w14:schemeClr w14:val="tx1"/>
            </w14:solidFill>
          </w14:textFill>
        </w:rPr>
        <w:t>Figure caption</w:t>
      </w:r>
    </w:p>
    <w:p>
      <w:pPr>
        <w:widowControl/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Fig. S1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Cultivation patterns of NDs transgenic nematodes. (A) Culture patterns of transgenic strains AM140, HA759 and NL5901. Transgenic worms AM140, HA759 and NL5901 were propagated at 20°C for 3 days starting from eggs. (B) Nematodes PD4251, CB7272, DLM14 and BZ555 were firstly cultured at 20°C for 2 days and then transfer to NGM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containing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0.4 mM paraquat for 3 days to establish a model of NDs.</w:t>
      </w:r>
    </w:p>
    <w:p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page"/>
      </w:r>
    </w:p>
    <w:p>
      <w:pPr>
        <w:widowControl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86910" cy="251206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86910" cy="2512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Figure. S1</w:t>
      </w:r>
    </w:p>
    <w:p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page"/>
      </w:r>
    </w:p>
    <w:p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Table S1 Statistical analysis of the paralysis of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C. elegans</w:t>
      </w:r>
    </w:p>
    <w:tbl>
      <w:tblPr>
        <w:tblStyle w:val="4"/>
        <w:tblW w:w="9167" w:type="dxa"/>
        <w:tblInd w:w="-547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1205"/>
        <w:gridCol w:w="1544"/>
        <w:gridCol w:w="1424"/>
        <w:gridCol w:w="1424"/>
        <w:gridCol w:w="1236"/>
        <w:gridCol w:w="1549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auto" w:sz="12" w:space="0"/>
              <w:bottom w:val="single" w:color="auto" w:sz="6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Strains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6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Treatment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6" w:space="0"/>
            </w:tcBorders>
            <w:noWrap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Mean </w:t>
            </w:r>
          </w:p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paralysis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6" w:space="0"/>
            </w:tcBorders>
            <w:noWrap/>
          </w:tcPr>
          <w:p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Medium </w:t>
            </w:r>
          </w:p>
          <w:p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paralysis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6" w:space="0"/>
            </w:tcBorders>
            <w:noWrap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Maximum </w:t>
            </w:r>
          </w:p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paralysis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6" w:space="0"/>
            </w:tcBorders>
            <w:noWrap/>
          </w:tcPr>
          <w:p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Mean fold </w:t>
            </w:r>
          </w:p>
          <w:p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increase%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6" w:space="0"/>
            </w:tcBorders>
          </w:tcPr>
          <w:p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Uncensored/n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" w:hRule="atLeast"/>
        </w:trPr>
        <w:tc>
          <w:tcPr>
            <w:tcW w:w="0" w:type="auto"/>
            <w:vMerge w:val="restart"/>
            <w:tcBorders>
              <w:top w:val="single" w:color="auto" w:sz="6" w:space="0"/>
            </w:tcBorders>
          </w:tcPr>
          <w:p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HA759</w:t>
            </w:r>
          </w:p>
        </w:tc>
        <w:tc>
          <w:tcPr>
            <w:tcW w:w="0" w:type="auto"/>
            <w:tcBorders>
              <w:top w:val="single" w:color="auto" w:sz="6" w:space="0"/>
            </w:tcBorders>
          </w:tcPr>
          <w:p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OP50</w:t>
            </w:r>
          </w:p>
        </w:tc>
        <w:tc>
          <w:tcPr>
            <w:tcW w:w="0" w:type="auto"/>
            <w:tcBorders>
              <w:top w:val="single" w:color="auto" w:sz="6" w:space="0"/>
            </w:tcBorders>
            <w:noWrap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8.66±0.47 </w:t>
            </w: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0" w:type="auto"/>
            <w:tcBorders>
              <w:top w:val="single" w:color="auto" w:sz="6" w:space="0"/>
            </w:tcBorders>
            <w:noWrap/>
          </w:tcPr>
          <w:p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10.07±0.31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0" w:type="auto"/>
            <w:tcBorders>
              <w:top w:val="single" w:color="auto" w:sz="6" w:space="0"/>
            </w:tcBorders>
            <w:noWrap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19.66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±0.47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0" w:type="auto"/>
            <w:tcBorders>
              <w:top w:val="single" w:color="auto" w:sz="6" w:space="0"/>
            </w:tcBorders>
            <w:noWrap/>
          </w:tcPr>
          <w:p>
            <w:pPr>
              <w:widowControl/>
              <w:spacing w:line="360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0" w:type="auto"/>
            <w:tcBorders>
              <w:top w:val="single" w:color="auto" w:sz="6" w:space="0"/>
            </w:tcBorders>
          </w:tcPr>
          <w:p>
            <w:pPr>
              <w:widowControl/>
              <w:spacing w:line="360" w:lineRule="auto"/>
              <w:ind w:firstLine="199" w:firstLineChars="8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173/204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" w:hRule="atLeast"/>
        </w:trPr>
        <w:tc>
          <w:tcPr>
            <w:tcW w:w="0" w:type="auto"/>
            <w:vMerge w:val="continue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RA</w:t>
            </w:r>
          </w:p>
        </w:tc>
        <w:tc>
          <w:tcPr>
            <w:tcW w:w="0" w:type="auto"/>
            <w:noWrap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12.00</w:t>
            </w: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±0.00</w:t>
            </w: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0" w:type="auto"/>
            <w:noWrap/>
          </w:tcPr>
          <w:p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11.94±0.43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0" w:type="auto"/>
            <w:noWrap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24.00±0.82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0" w:type="auto"/>
            <w:noWrap/>
          </w:tcPr>
          <w:p>
            <w:pPr>
              <w:widowControl/>
              <w:spacing w:line="360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20.44</w:t>
            </w:r>
          </w:p>
        </w:tc>
        <w:tc>
          <w:tcPr>
            <w:tcW w:w="0" w:type="auto"/>
          </w:tcPr>
          <w:p>
            <w:pPr>
              <w:widowControl/>
              <w:spacing w:line="360" w:lineRule="auto"/>
              <w:ind w:firstLine="199" w:firstLineChars="8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154/201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" w:hRule="atLeast"/>
        </w:trPr>
        <w:tc>
          <w:tcPr>
            <w:tcW w:w="0" w:type="auto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NL5901</w:t>
            </w:r>
          </w:p>
        </w:tc>
        <w:tc>
          <w:tcPr>
            <w:tcW w:w="0" w:type="auto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OP50</w:t>
            </w:r>
          </w:p>
        </w:tc>
        <w:tc>
          <w:tcPr>
            <w:tcW w:w="0" w:type="auto"/>
            <w:noWrap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13.48</w:t>
            </w: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±0.57</w:t>
            </w: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 xml:space="preserve"> a</w:t>
            </w:r>
          </w:p>
        </w:tc>
        <w:tc>
          <w:tcPr>
            <w:tcW w:w="0" w:type="auto"/>
            <w:noWrap/>
          </w:tcPr>
          <w:p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13.67</w:t>
            </w: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±0.33</w:t>
            </w: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 xml:space="preserve"> a</w:t>
            </w:r>
          </w:p>
        </w:tc>
        <w:tc>
          <w:tcPr>
            <w:tcW w:w="0" w:type="auto"/>
            <w:noWrap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21.67</w:t>
            </w: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±0.57</w:t>
            </w: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 xml:space="preserve"> a</w:t>
            </w:r>
          </w:p>
        </w:tc>
        <w:tc>
          <w:tcPr>
            <w:tcW w:w="0" w:type="auto"/>
            <w:noWrap/>
          </w:tcPr>
          <w:p>
            <w:pPr>
              <w:widowControl/>
              <w:spacing w:line="360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0" w:type="auto"/>
          </w:tcPr>
          <w:p>
            <w:pPr>
              <w:widowControl/>
              <w:spacing w:line="360" w:lineRule="auto"/>
              <w:ind w:firstLine="199" w:firstLineChars="8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155/180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" w:hRule="atLeast"/>
        </w:trPr>
        <w:tc>
          <w:tcPr>
            <w:tcW w:w="0" w:type="auto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RA</w:t>
            </w:r>
          </w:p>
        </w:tc>
        <w:tc>
          <w:tcPr>
            <w:tcW w:w="0" w:type="auto"/>
            <w:noWrap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17.07</w:t>
            </w: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±0.34</w:t>
            </w:r>
          </w:p>
        </w:tc>
        <w:tc>
          <w:tcPr>
            <w:tcW w:w="0" w:type="auto"/>
            <w:noWrap/>
          </w:tcPr>
          <w:p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16.96</w:t>
            </w: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±0.49</w:t>
            </w:r>
          </w:p>
        </w:tc>
        <w:tc>
          <w:tcPr>
            <w:tcW w:w="0" w:type="auto"/>
            <w:noWrap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24.33</w:t>
            </w: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±0.35</w:t>
            </w:r>
          </w:p>
        </w:tc>
        <w:tc>
          <w:tcPr>
            <w:tcW w:w="0" w:type="auto"/>
            <w:noWrap/>
          </w:tcPr>
          <w:p>
            <w:pPr>
              <w:widowControl/>
              <w:spacing w:line="360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21.03</w:t>
            </w:r>
          </w:p>
        </w:tc>
        <w:tc>
          <w:tcPr>
            <w:tcW w:w="0" w:type="auto"/>
          </w:tcPr>
          <w:p>
            <w:pPr>
              <w:widowControl/>
              <w:spacing w:line="360" w:lineRule="auto"/>
              <w:ind w:firstLine="199" w:firstLineChars="8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148/185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" w:hRule="atLeast"/>
        </w:trPr>
        <w:tc>
          <w:tcPr>
            <w:tcW w:w="0" w:type="auto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BZ555</w:t>
            </w:r>
          </w:p>
        </w:tc>
        <w:tc>
          <w:tcPr>
            <w:tcW w:w="0" w:type="auto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OP50</w:t>
            </w:r>
          </w:p>
        </w:tc>
        <w:tc>
          <w:tcPr>
            <w:tcW w:w="0" w:type="auto"/>
            <w:noWrap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10.58</w:t>
            </w: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±0.45</w:t>
            </w: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 xml:space="preserve"> b</w:t>
            </w:r>
          </w:p>
        </w:tc>
        <w:tc>
          <w:tcPr>
            <w:tcW w:w="0" w:type="auto"/>
            <w:noWrap/>
          </w:tcPr>
          <w:p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10.67</w:t>
            </w: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±0.33</w:t>
            </w: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 xml:space="preserve"> b</w:t>
            </w:r>
          </w:p>
        </w:tc>
        <w:tc>
          <w:tcPr>
            <w:tcW w:w="0" w:type="auto"/>
            <w:noWrap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19.00</w:t>
            </w: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±0.00</w:t>
            </w: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 xml:space="preserve"> b</w:t>
            </w:r>
          </w:p>
        </w:tc>
        <w:tc>
          <w:tcPr>
            <w:tcW w:w="0" w:type="auto"/>
            <w:noWrap/>
          </w:tcPr>
          <w:p>
            <w:pPr>
              <w:widowControl/>
              <w:spacing w:line="360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0" w:type="auto"/>
          </w:tcPr>
          <w:p>
            <w:pPr>
              <w:widowControl/>
              <w:spacing w:line="360" w:lineRule="auto"/>
              <w:ind w:firstLine="199" w:firstLineChars="8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168/183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" w:hRule="atLeast"/>
        </w:trPr>
        <w:tc>
          <w:tcPr>
            <w:tcW w:w="0" w:type="auto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OP50+PQ</w:t>
            </w:r>
          </w:p>
        </w:tc>
        <w:tc>
          <w:tcPr>
            <w:tcW w:w="0" w:type="auto"/>
            <w:noWrap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8.75</w:t>
            </w: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±0.42</w:t>
            </w: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 xml:space="preserve"> a</w:t>
            </w:r>
          </w:p>
        </w:tc>
        <w:tc>
          <w:tcPr>
            <w:tcW w:w="0" w:type="auto"/>
            <w:noWrap/>
          </w:tcPr>
          <w:p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8.33</w:t>
            </w: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±0.35</w:t>
            </w: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 xml:space="preserve"> a</w:t>
            </w:r>
          </w:p>
        </w:tc>
        <w:tc>
          <w:tcPr>
            <w:tcW w:w="0" w:type="auto"/>
            <w:noWrap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16.67</w:t>
            </w: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±0.57</w:t>
            </w: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 xml:space="preserve"> a</w:t>
            </w:r>
          </w:p>
        </w:tc>
        <w:tc>
          <w:tcPr>
            <w:tcW w:w="0" w:type="auto"/>
            <w:noWrap/>
          </w:tcPr>
          <w:p>
            <w:pPr>
              <w:widowControl/>
              <w:spacing w:line="360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0" w:type="auto"/>
          </w:tcPr>
          <w:p>
            <w:pPr>
              <w:widowControl/>
              <w:spacing w:line="360" w:lineRule="auto"/>
              <w:ind w:firstLine="199" w:firstLineChars="8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145/189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" w:hRule="atLeast"/>
        </w:trPr>
        <w:tc>
          <w:tcPr>
            <w:tcW w:w="0" w:type="auto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RA+PQ</w:t>
            </w:r>
          </w:p>
        </w:tc>
        <w:tc>
          <w:tcPr>
            <w:tcW w:w="0" w:type="auto"/>
            <w:noWrap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10.67</w:t>
            </w: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±00.49</w:t>
            </w: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 xml:space="preserve"> b</w:t>
            </w:r>
          </w:p>
        </w:tc>
        <w:tc>
          <w:tcPr>
            <w:tcW w:w="0" w:type="auto"/>
            <w:noWrap/>
          </w:tcPr>
          <w:p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10.06</w:t>
            </w: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±0.39</w:t>
            </w: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 xml:space="preserve"> b</w:t>
            </w:r>
          </w:p>
        </w:tc>
        <w:tc>
          <w:tcPr>
            <w:tcW w:w="0" w:type="auto"/>
            <w:noWrap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19.33</w:t>
            </w: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±0.36</w:t>
            </w:r>
            <w:r>
              <w:rPr>
                <w:rFonts w:ascii="Times New Roman" w:hAnsi="Times New Roman" w:eastAsia="等线" w:cs="Times New Roman"/>
                <w:color w:val="000000" w:themeColor="text1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 xml:space="preserve"> b</w:t>
            </w:r>
          </w:p>
        </w:tc>
        <w:tc>
          <w:tcPr>
            <w:tcW w:w="0" w:type="auto"/>
            <w:noWrap/>
          </w:tcPr>
          <w:p>
            <w:pPr>
              <w:widowControl/>
              <w:spacing w:line="360" w:lineRule="auto"/>
              <w:ind w:firstLine="4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17.99</w:t>
            </w:r>
          </w:p>
        </w:tc>
        <w:tc>
          <w:tcPr>
            <w:tcW w:w="0" w:type="auto"/>
          </w:tcPr>
          <w:p>
            <w:pPr>
              <w:widowControl/>
              <w:spacing w:line="360" w:lineRule="auto"/>
              <w:ind w:firstLine="199" w:firstLineChars="8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158/190</w:t>
            </w:r>
          </w:p>
        </w:tc>
      </w:tr>
    </w:tbl>
    <w:p>
      <w:pPr>
        <w:widowControl/>
        <w:spacing w:line="360" w:lineRule="auto"/>
        <w:ind w:firstLine="240" w:firstLineChars="100"/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5" w:name="OLE_LINK108"/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The data were analyzed by one-way ANOVA (SPSS 23), and different letters in a column denote values that are significantly different (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&lt; 0.05). The mean fold increase was calculated by (T-C)/C*100, where T is the mean paralysis time of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C. elegans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treated with RA and C is the mean survive time of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Escherichia coli</w:t>
      </w:r>
      <w:r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OP50 (</w:t>
      </w:r>
      <w:r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E. coli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OP50) treatment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. In BZ555 strains, T is the mean paralysis time of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C. elegans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treated with (RA+PQ) RA and PQ (paraquat) and C is the mean survive time of (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OP50+PQ)</w:t>
      </w:r>
      <w:r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E. coli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OP50 and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PQ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treatment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</w:p>
    <w:bookmarkEnd w:id="5"/>
    <w:p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page"/>
      </w:r>
    </w:p>
    <w:p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Table. S</w:t>
      </w:r>
      <w:bookmarkStart w:id="6" w:name="_Hlk68691180"/>
      <w:bookmarkStart w:id="7" w:name="OLE_LINK910"/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 Primer sequences used for qRT-PCR</w:t>
      </w:r>
      <w:bookmarkEnd w:id="6"/>
      <w:bookmarkEnd w:id="7"/>
    </w:p>
    <w:tbl>
      <w:tblPr>
        <w:tblStyle w:val="5"/>
        <w:tblpPr w:leftFromText="180" w:rightFromText="180" w:vertAnchor="page" w:horzAnchor="margin" w:tblpY="2532"/>
        <w:tblW w:w="9299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4116"/>
        <w:gridCol w:w="411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067" w:type="dxa"/>
            <w:tcBorders>
              <w:top w:val="single" w:color="auto" w:sz="12" w:space="0"/>
              <w:bottom w:val="single" w:color="auto" w:sz="6" w:space="0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Gene</w:t>
            </w:r>
          </w:p>
        </w:tc>
        <w:tc>
          <w:tcPr>
            <w:tcW w:w="4116" w:type="dxa"/>
            <w:tcBorders>
              <w:top w:val="single" w:color="auto" w:sz="12" w:space="0"/>
              <w:bottom w:val="single" w:color="auto" w:sz="6" w:space="0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Forward primer</w:t>
            </w:r>
          </w:p>
        </w:tc>
        <w:tc>
          <w:tcPr>
            <w:tcW w:w="4116" w:type="dxa"/>
            <w:tcBorders>
              <w:top w:val="single" w:color="auto" w:sz="12" w:space="0"/>
              <w:bottom w:val="single" w:color="auto" w:sz="6" w:space="0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Reverse primer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067" w:type="dxa"/>
            <w:tcBorders>
              <w:top w:val="single" w:color="auto" w:sz="6" w:space="0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act-1</w:t>
            </w:r>
          </w:p>
        </w:tc>
        <w:tc>
          <w:tcPr>
            <w:tcW w:w="4116" w:type="dxa"/>
            <w:tcBorders>
              <w:top w:val="single" w:color="auto" w:sz="6" w:space="0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CAAGGAGTCATGGTCGGTATG</w:t>
            </w:r>
          </w:p>
        </w:tc>
        <w:tc>
          <w:tcPr>
            <w:tcW w:w="4116" w:type="dxa"/>
            <w:tcBorders>
              <w:top w:val="single" w:color="auto" w:sz="6" w:space="0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TCAATTGGGTACTTGAGGGTAAG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0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ace-1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AATGCGACAACTCCACCGAACAG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GGGTCCACTTTTCCAGGCACATAC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0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ace-2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TGATTCGGCGTTTCCACAGTTCC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TTGCGAGACCCACGAGAGAGC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cho-1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GGTGATGTTAGCTGGGAGAAA</w:t>
            </w:r>
          </w:p>
        </w:tc>
        <w:tc>
          <w:tcPr>
            <w:tcW w:w="4116" w:type="dxa"/>
          </w:tcPr>
          <w:p>
            <w:pPr>
              <w:widowControl/>
              <w:wordWrap w:val="0"/>
              <w:spacing w:line="360" w:lineRule="auto"/>
              <w:jc w:val="left"/>
              <w:rPr>
                <w:rFonts w:ascii="Times New Roman" w:hAnsi="Times New Roman" w:eastAsia="微软雅黑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TCGGCGGTTCCATTGATATAAG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unc-17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GGCTTGAGCAGCAGGATAA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TTGGGACAATGACCATGTAGAG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0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cha-1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GAGCATTTCCGAGAAGGAGAAG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CGCATCATACCACCGATTGA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fis-1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CTCGACTTTCATACCGAACAGG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eastAsia="微软雅黑" w:cs="Times New Roman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CTCCGATCCTCTGATCCAACTA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mmf-1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GACAGGTGCCGACCTTATG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eastAsia="微软雅黑" w:cs="Times New Roman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CTCTGGAACGCTCATTCTTTCT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0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phb-1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GGAGGTCAACGAGCAGTCATCTTC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eastAsia="微软雅黑" w:cs="Times New Roman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AGTGATGGTGGTGACGGCTCTC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phb-2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GGAGGATTGTCGACGGATTT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eastAsia="微软雅黑" w:cs="Times New Roman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GTTTGGTCTGGCACGGATA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0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drp-1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GCCAATCGGATCTTGTTGCATTCG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GCACCTCCGCATAGCTCAGTTG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eat-3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CCGTCATTCTCGCCTCATT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AAGCTTCTGTATCCGCTCTTC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0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sod-1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TCGGAGACAAGGCAGAAGAGTCC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GGAGCAGCGAGAGCAATGACAC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0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sod-3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TCACTATTGCGGTTCAAGGCTCTG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TTGCACAGGTGGCGATCTTCAAG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0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daf-16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GCTCTGCTGAAAGTCCCATCCTG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CCGTGAATCCGTTCCAACCGTAG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0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atp-2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ACATGGGAAGTATGCAAGAGAG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CTGGAGCTGGATCAGTCAAAT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0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anc-1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CGGTTCACAAAGGACGAGTAT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CCGAGTACGATACGTGGATTTC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lin-44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CCGAGAGTCTTCTCTGATTTGG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GTTACACGCACAATCGTCAATC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lin-17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ACTCGCCACAGGATCAATTT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GTAGTTGTAGGGCAGGTCTTTG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bar-1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GTGGATATGTGGCGGAATCA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GATGCGATGACGGATGTAGAG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0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sek-1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CGAGTCCGAAGAGATTGAGATTG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TCTGCCTGTGCTGCATTT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0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skn-1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CATCCACCAGCATCTCCATT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GAAGGCGAACTGTACTCGTATC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0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unc-43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CGACGGAATGGTACTCGAATTA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CTGCTGCATTGCTGTATCTAATC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0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lin-2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GGAGACGACTGTAAGACACAAG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CTCGATTTCCAGCTCCAATACA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0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glp-1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GAGGTACTTGTGAAGGTGTGAA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CATGGATGTCTGGAGCATAACT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daf-2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GGAGCTTGCGAAGAGGATAAA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GGTGTTCGACCAACAACTCT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0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hsf-16.1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CACTATTTCCGTCCAGCTCAA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GCCTCTGCAAACTGGAGTAA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0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hsf-16.2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CAGAATCTCTCCATCTGAGTCTTC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AGCGTACGACCATCCAAATTA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hsf-1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GGACGTCCCGAATTACTATCAC</w:t>
            </w:r>
          </w:p>
        </w:tc>
        <w:tc>
          <w:tcPr>
            <w:tcW w:w="411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CACGCATCTCTGCCATTACTA</w:t>
            </w:r>
          </w:p>
        </w:tc>
      </w:tr>
    </w:tbl>
    <w:p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instrText xml:space="preserve"> ADDIN EN.REFLIST </w:instrTex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end"/>
      </w:r>
    </w:p>
    <w:sectPr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hlMDUwNWM3MDJhYjU1ZWY3M2UwZmNkNTViMzQ0NTc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Agri Food Chem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w02pvasd00t03e0d2opss9gdafv9pep2vew&quot;&gt;My EndNote Library&lt;record-ids&gt;&lt;item&gt;747&lt;/item&gt;&lt;/record-ids&gt;&lt;/item&gt;&lt;/Libraries&gt;"/>
  </w:docVars>
  <w:rsids>
    <w:rsidRoot w:val="002B670D"/>
    <w:rsid w:val="00024650"/>
    <w:rsid w:val="00041EB8"/>
    <w:rsid w:val="000640F1"/>
    <w:rsid w:val="00076ECC"/>
    <w:rsid w:val="000A2FFC"/>
    <w:rsid w:val="000D41AB"/>
    <w:rsid w:val="000D6A2E"/>
    <w:rsid w:val="00110C68"/>
    <w:rsid w:val="00145761"/>
    <w:rsid w:val="001D4A6F"/>
    <w:rsid w:val="001F3993"/>
    <w:rsid w:val="001F47C9"/>
    <w:rsid w:val="00202B2A"/>
    <w:rsid w:val="00253F36"/>
    <w:rsid w:val="0028583E"/>
    <w:rsid w:val="002939CC"/>
    <w:rsid w:val="002A2429"/>
    <w:rsid w:val="002B670D"/>
    <w:rsid w:val="002E4B32"/>
    <w:rsid w:val="0030242A"/>
    <w:rsid w:val="00376CBE"/>
    <w:rsid w:val="00377434"/>
    <w:rsid w:val="00391EBD"/>
    <w:rsid w:val="00396CE9"/>
    <w:rsid w:val="003A192F"/>
    <w:rsid w:val="00417E1D"/>
    <w:rsid w:val="004226AB"/>
    <w:rsid w:val="0043310A"/>
    <w:rsid w:val="00475F69"/>
    <w:rsid w:val="004A55DF"/>
    <w:rsid w:val="004A629C"/>
    <w:rsid w:val="004C6C3C"/>
    <w:rsid w:val="00504F4C"/>
    <w:rsid w:val="0052225F"/>
    <w:rsid w:val="0052521B"/>
    <w:rsid w:val="00533570"/>
    <w:rsid w:val="005430CE"/>
    <w:rsid w:val="005441C3"/>
    <w:rsid w:val="00550E4C"/>
    <w:rsid w:val="005575C2"/>
    <w:rsid w:val="005650E9"/>
    <w:rsid w:val="005717E9"/>
    <w:rsid w:val="00573574"/>
    <w:rsid w:val="0057739F"/>
    <w:rsid w:val="005874C9"/>
    <w:rsid w:val="00593B34"/>
    <w:rsid w:val="005D31C1"/>
    <w:rsid w:val="005F1545"/>
    <w:rsid w:val="00607B75"/>
    <w:rsid w:val="00670FE9"/>
    <w:rsid w:val="006A408E"/>
    <w:rsid w:val="006B1B12"/>
    <w:rsid w:val="006E4628"/>
    <w:rsid w:val="0071023F"/>
    <w:rsid w:val="00715200"/>
    <w:rsid w:val="0071574B"/>
    <w:rsid w:val="00760E8D"/>
    <w:rsid w:val="00762992"/>
    <w:rsid w:val="00775E9E"/>
    <w:rsid w:val="007B1C6D"/>
    <w:rsid w:val="007C6FB6"/>
    <w:rsid w:val="008258FC"/>
    <w:rsid w:val="00836464"/>
    <w:rsid w:val="008417F7"/>
    <w:rsid w:val="00862A81"/>
    <w:rsid w:val="00864BAB"/>
    <w:rsid w:val="00887D77"/>
    <w:rsid w:val="0089065F"/>
    <w:rsid w:val="008B71C0"/>
    <w:rsid w:val="008D7E6C"/>
    <w:rsid w:val="009140D0"/>
    <w:rsid w:val="009424C7"/>
    <w:rsid w:val="00944C11"/>
    <w:rsid w:val="00996741"/>
    <w:rsid w:val="009B04D2"/>
    <w:rsid w:val="009C2250"/>
    <w:rsid w:val="009E78F6"/>
    <w:rsid w:val="009F4B40"/>
    <w:rsid w:val="00A07AD6"/>
    <w:rsid w:val="00A15D12"/>
    <w:rsid w:val="00A27394"/>
    <w:rsid w:val="00A309D9"/>
    <w:rsid w:val="00A8260E"/>
    <w:rsid w:val="00AF038B"/>
    <w:rsid w:val="00AF0983"/>
    <w:rsid w:val="00B1578F"/>
    <w:rsid w:val="00B16726"/>
    <w:rsid w:val="00B444A3"/>
    <w:rsid w:val="00B90D97"/>
    <w:rsid w:val="00BB3065"/>
    <w:rsid w:val="00BC16D1"/>
    <w:rsid w:val="00BC4DDD"/>
    <w:rsid w:val="00BE3DA7"/>
    <w:rsid w:val="00C25BC6"/>
    <w:rsid w:val="00C57A2F"/>
    <w:rsid w:val="00C92738"/>
    <w:rsid w:val="00CD457B"/>
    <w:rsid w:val="00CE14B7"/>
    <w:rsid w:val="00CF071F"/>
    <w:rsid w:val="00D33FC3"/>
    <w:rsid w:val="00D34AB7"/>
    <w:rsid w:val="00D530FC"/>
    <w:rsid w:val="00DA79F8"/>
    <w:rsid w:val="00DD09DF"/>
    <w:rsid w:val="00DF3378"/>
    <w:rsid w:val="00E05985"/>
    <w:rsid w:val="00E11ADD"/>
    <w:rsid w:val="00E146DD"/>
    <w:rsid w:val="00E23D38"/>
    <w:rsid w:val="00E35A3A"/>
    <w:rsid w:val="00E365F5"/>
    <w:rsid w:val="00E4301E"/>
    <w:rsid w:val="00E45FEB"/>
    <w:rsid w:val="00E6214E"/>
    <w:rsid w:val="00E85071"/>
    <w:rsid w:val="00E910FA"/>
    <w:rsid w:val="00EC2525"/>
    <w:rsid w:val="00EF2B98"/>
    <w:rsid w:val="00F26D88"/>
    <w:rsid w:val="00F31ED9"/>
    <w:rsid w:val="00F4241C"/>
    <w:rsid w:val="00F47B39"/>
    <w:rsid w:val="00F92B2B"/>
    <w:rsid w:val="00FB4E56"/>
    <w:rsid w:val="00FC571A"/>
    <w:rsid w:val="00FE1FB9"/>
    <w:rsid w:val="0A6417B5"/>
    <w:rsid w:val="177524CE"/>
    <w:rsid w:val="30BF4EE5"/>
    <w:rsid w:val="3A350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line number"/>
    <w:basedOn w:val="6"/>
    <w:semiHidden/>
    <w:unhideWhenUsed/>
    <w:qFormat/>
    <w:uiPriority w:val="99"/>
  </w:style>
  <w:style w:type="character" w:styleId="8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1">
    <w:name w:val="未处理的提及1"/>
    <w:basedOn w:val="6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">
    <w:name w:val="EndNote Bibliography Title"/>
    <w:basedOn w:val="1"/>
    <w:link w:val="13"/>
    <w:qFormat/>
    <w:uiPriority w:val="0"/>
    <w:pPr>
      <w:jc w:val="center"/>
    </w:pPr>
    <w:rPr>
      <w:rFonts w:ascii="等线" w:hAnsi="等线" w:eastAsia="等线"/>
      <w:sz w:val="20"/>
    </w:rPr>
  </w:style>
  <w:style w:type="character" w:customStyle="1" w:styleId="13">
    <w:name w:val="EndNote Bibliography Title 字符"/>
    <w:basedOn w:val="6"/>
    <w:link w:val="12"/>
    <w:qFormat/>
    <w:uiPriority w:val="0"/>
    <w:rPr>
      <w:rFonts w:ascii="等线" w:hAnsi="等线" w:eastAsia="等线"/>
      <w:kern w:val="2"/>
      <w:szCs w:val="22"/>
    </w:rPr>
  </w:style>
  <w:style w:type="paragraph" w:customStyle="1" w:styleId="14">
    <w:name w:val="EndNote Bibliography"/>
    <w:basedOn w:val="1"/>
    <w:link w:val="15"/>
    <w:qFormat/>
    <w:uiPriority w:val="0"/>
    <w:pPr>
      <w:jc w:val="center"/>
    </w:pPr>
    <w:rPr>
      <w:rFonts w:ascii="等线" w:hAnsi="等线" w:eastAsia="等线"/>
      <w:sz w:val="20"/>
    </w:rPr>
  </w:style>
  <w:style w:type="character" w:customStyle="1" w:styleId="15">
    <w:name w:val="EndNote Bibliography 字符"/>
    <w:basedOn w:val="6"/>
    <w:link w:val="14"/>
    <w:qFormat/>
    <w:uiPriority w:val="0"/>
    <w:rPr>
      <w:rFonts w:ascii="等线" w:hAnsi="等线" w:eastAsia="等线"/>
      <w:kern w:val="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B52729-5A78-48B2-AC80-71969CA79EE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435</Words>
  <Characters>3383</Characters>
  <Lines>205</Lines>
  <Paragraphs>179</Paragraphs>
  <TotalTime>2</TotalTime>
  <ScaleCrop>false</ScaleCrop>
  <LinksUpToDate>false</LinksUpToDate>
  <CharactersWithSpaces>3666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2022-04-17T16:32:00Z</dcterms:created>
  <dc:creator>蔡 雨婷</dc:creator>
  <cp:lastModifiedBy>doubl</cp:lastModifiedBy>
  <dcterms:modified xsi:type="dcterms:W3CDTF">2023-03-21T03:15:00Z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GrammarlyDocumentId">
    <vt:lpwstr>87242c846e2d0e84206ecaf10a2c146ea64f1f8560299c21dfe7a13421d075e7</vt:lpwstr>
  </property>
  <property fmtid="{D5CDD505-2E9C-101B-9397-08002B2CF9AE}" pid="4" name="ICV">
    <vt:lpwstr>4C9E9A6D34234377895A9C8A7CD4953E</vt:lpwstr>
  </property>
</Properties>
</file>