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3C514" w14:textId="77777777" w:rsidR="00636EEE" w:rsidRPr="00CA7D91" w:rsidRDefault="00636EEE" w:rsidP="00636EE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</w:t>
      </w:r>
    </w:p>
    <w:p w14:paraId="642C39B3" w14:textId="77777777" w:rsidR="00636EEE" w:rsidRPr="00CA7D91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FAE7307" w14:textId="77777777" w:rsidR="00636EEE" w:rsidRPr="00AD4781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1.</w:t>
      </w:r>
      <w:r w:rsidRPr="00CA7D91">
        <w:rPr>
          <w:rFonts w:ascii="Times New Roman" w:hAnsi="Times New Roman" w:cs="Times New Roman"/>
          <w:sz w:val="24"/>
          <w:szCs w:val="24"/>
        </w:rPr>
        <w:t xml:space="preserve"> Study design and data sources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27F95B5" w14:textId="77777777" w:rsidR="00636EEE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2.</w:t>
      </w:r>
      <w:r w:rsidRPr="00CA7D91">
        <w:rPr>
          <w:rFonts w:ascii="Times New Roman" w:hAnsi="Times New Roman" w:cs="Times New Roman"/>
          <w:sz w:val="24"/>
          <w:szCs w:val="24"/>
        </w:rPr>
        <w:t xml:space="preserve"> </w:t>
      </w:r>
      <w:r w:rsidRPr="003A1B6E">
        <w:rPr>
          <w:rFonts w:ascii="Times New Roman" w:hAnsi="Times New Roman" w:cs="Times New Roman"/>
          <w:sz w:val="24"/>
          <w:szCs w:val="24"/>
        </w:rPr>
        <w:t xml:space="preserve">Spearman's rank correlation </w:t>
      </w:r>
      <w:r>
        <w:rPr>
          <w:rFonts w:ascii="Times New Roman" w:hAnsi="Times New Roman" w:cs="Times New Roman"/>
          <w:sz w:val="24"/>
          <w:szCs w:val="24"/>
        </w:rPr>
        <w:t>between the P-</w:t>
      </w:r>
      <w:proofErr w:type="spellStart"/>
      <w:r>
        <w:rPr>
          <w:rFonts w:ascii="Times New Roman" w:hAnsi="Times New Roman" w:cs="Times New Roman"/>
          <w:sz w:val="24"/>
          <w:szCs w:val="24"/>
        </w:rPr>
        <w:t>CaSE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M-</w:t>
      </w:r>
      <w:proofErr w:type="spellStart"/>
      <w:r>
        <w:rPr>
          <w:rFonts w:ascii="Times New Roman" w:hAnsi="Times New Roman" w:cs="Times New Roman"/>
          <w:sz w:val="24"/>
          <w:szCs w:val="24"/>
        </w:rPr>
        <w:t>CaSE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scores.</w:t>
      </w:r>
    </w:p>
    <w:p w14:paraId="639F0323" w14:textId="77777777" w:rsidR="00636EEE" w:rsidRPr="00AD4781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3. </w:t>
      </w:r>
      <w:r w:rsidRPr="00307B9E">
        <w:rPr>
          <w:rFonts w:ascii="Times New Roman" w:hAnsi="Times New Roman" w:cs="Times New Roman"/>
          <w:sz w:val="24"/>
          <w:szCs w:val="24"/>
        </w:rPr>
        <w:t>Susceptibility of organ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07B9E">
        <w:rPr>
          <w:rFonts w:ascii="Times New Roman" w:hAnsi="Times New Roman" w:cs="Times New Roman"/>
          <w:sz w:val="24"/>
          <w:szCs w:val="24"/>
        </w:rPr>
        <w:t xml:space="preserve"> to primary cancer or metastases is associated with the organ-specific cell composition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48535E" w14:textId="77777777" w:rsidR="00636EEE" w:rsidRPr="00AD4781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4. </w:t>
      </w:r>
      <w:r w:rsidRPr="00307B9E">
        <w:rPr>
          <w:rFonts w:ascii="Times New Roman" w:hAnsi="Times New Roman" w:cs="Times New Roman"/>
          <w:sz w:val="24"/>
          <w:szCs w:val="24"/>
        </w:rPr>
        <w:t>Susceptibility of organ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07B9E">
        <w:rPr>
          <w:rFonts w:ascii="Times New Roman" w:hAnsi="Times New Roman" w:cs="Times New Roman"/>
          <w:sz w:val="24"/>
          <w:szCs w:val="24"/>
        </w:rPr>
        <w:t xml:space="preserve"> to metastases is associated with high percentage of overexpressed immune genes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B32E70" w14:textId="77777777" w:rsidR="00636EEE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5.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07B9E">
        <w:rPr>
          <w:rFonts w:ascii="Times New Roman" w:hAnsi="Times New Roman" w:cs="Times New Roman"/>
          <w:sz w:val="24"/>
          <w:szCs w:val="24"/>
        </w:rPr>
        <w:t>usceptibility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307B9E">
        <w:rPr>
          <w:rFonts w:ascii="Times New Roman" w:hAnsi="Times New Roman" w:cs="Times New Roman"/>
          <w:sz w:val="24"/>
          <w:szCs w:val="24"/>
        </w:rPr>
        <w:t>organ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07B9E">
        <w:rPr>
          <w:rFonts w:ascii="Times New Roman" w:hAnsi="Times New Roman" w:cs="Times New Roman"/>
          <w:sz w:val="24"/>
          <w:szCs w:val="24"/>
        </w:rPr>
        <w:t xml:space="preserve"> to metastas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07B9E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is associated with h</w:t>
      </w:r>
      <w:r w:rsidRPr="00307B9E">
        <w:rPr>
          <w:rFonts w:ascii="Times New Roman" w:hAnsi="Times New Roman" w:cs="Times New Roman"/>
          <w:sz w:val="24"/>
          <w:szCs w:val="24"/>
        </w:rPr>
        <w:t>igh percentage of overexpressed specific immune gene sets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C86239A" w14:textId="77777777" w:rsidR="001777A1" w:rsidRDefault="001777A1"/>
    <w:p w14:paraId="15792DBC" w14:textId="772230E6" w:rsidR="00636EEE" w:rsidRPr="000C6072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7E357DD3" wp14:editId="47287BCD">
            <wp:extent cx="5730240" cy="3406140"/>
            <wp:effectExtent l="0" t="0" r="3810" b="3810"/>
            <wp:docPr id="5" name="Picture 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4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C461C" w14:textId="77777777" w:rsidR="00636EEE" w:rsidRPr="00AD4781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1.</w:t>
      </w:r>
      <w:r w:rsidRPr="00CA7D91">
        <w:rPr>
          <w:rFonts w:ascii="Times New Roman" w:hAnsi="Times New Roman" w:cs="Times New Roman"/>
          <w:sz w:val="24"/>
          <w:szCs w:val="24"/>
        </w:rPr>
        <w:t xml:space="preserve"> 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>Study design and data sources.</w:t>
      </w:r>
      <w:r w:rsidRPr="00CA7D91">
        <w:rPr>
          <w:rFonts w:ascii="Times New Roman" w:hAnsi="Times New Roman" w:cs="Times New Roman"/>
          <w:sz w:val="24"/>
          <w:szCs w:val="24"/>
        </w:rPr>
        <w:t xml:space="preserve"> A – Organs are ranked based on their 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scores. B – Correlation is determined between the intrinsic features of healthy organs (organ-specific cell composition and gene expression pattern) and the 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scores. C – Cancer data sources used to determine 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scores with the number of primary cancer and metastasis </w:t>
      </w:r>
      <w:r w:rsidRPr="00CA7D91">
        <w:rPr>
          <w:rFonts w:ascii="Times New Roman" w:hAnsi="Times New Roman" w:cs="Times New Roman"/>
          <w:sz w:val="24"/>
          <w:szCs w:val="24"/>
        </w:rPr>
        <w:lastRenderedPageBreak/>
        <w:t xml:space="preserve">samples. D – Data sources used to determine the organ-specific cell composition; Tabula Sapiens: empirical data; 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xCell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: inferred from the gene expression data. E – Gene expression data; 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GTEx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>: collection of post-mortem samples; HPA: collection of samples from living donors.  F – Specific gene sets used to group gene expression data.</w:t>
      </w:r>
    </w:p>
    <w:p w14:paraId="717A7E94" w14:textId="77777777" w:rsidR="00636EEE" w:rsidRPr="00CA7D91" w:rsidRDefault="00636EEE" w:rsidP="00636EEE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356EEE0" w14:textId="77777777" w:rsidR="00636EEE" w:rsidRPr="00CA7D91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636EEE" w:rsidRPr="00CA7D91" w:rsidSect="00B2595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916CBA3" w14:textId="491EA395" w:rsidR="00636EEE" w:rsidRPr="00CA7D91" w:rsidRDefault="00636EEE" w:rsidP="00636EEE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28F7AB" wp14:editId="54C29D70">
            <wp:extent cx="5731510" cy="2868295"/>
            <wp:effectExtent l="0" t="0" r="2540" b="8255"/>
            <wp:docPr id="4" name="Picture 4" descr="A graph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aph of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EF1E6" w14:textId="2865608C" w:rsidR="00636EEE" w:rsidRPr="00CA7D91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2. </w:t>
      </w:r>
      <w:r w:rsidRPr="003A1B6E">
        <w:rPr>
          <w:rFonts w:ascii="Times New Roman" w:hAnsi="Times New Roman" w:cs="Times New Roman"/>
          <w:b/>
          <w:bCs/>
          <w:sz w:val="24"/>
          <w:szCs w:val="24"/>
        </w:rPr>
        <w:t>Spearman's rank correlation between the P-</w:t>
      </w:r>
      <w:proofErr w:type="spellStart"/>
      <w:r w:rsidRPr="003A1B6E">
        <w:rPr>
          <w:rFonts w:ascii="Times New Roman" w:hAnsi="Times New Roman" w:cs="Times New Roman"/>
          <w:b/>
          <w:bCs/>
          <w:sz w:val="24"/>
          <w:szCs w:val="24"/>
        </w:rPr>
        <w:t>CaSE</w:t>
      </w:r>
      <w:proofErr w:type="spellEnd"/>
      <w:r w:rsidRPr="003A1B6E">
        <w:rPr>
          <w:rFonts w:ascii="Times New Roman" w:hAnsi="Times New Roman" w:cs="Times New Roman"/>
          <w:b/>
          <w:bCs/>
          <w:sz w:val="24"/>
          <w:szCs w:val="24"/>
        </w:rPr>
        <w:t xml:space="preserve"> and M-</w:t>
      </w:r>
      <w:proofErr w:type="spellStart"/>
      <w:r w:rsidRPr="003A1B6E">
        <w:rPr>
          <w:rFonts w:ascii="Times New Roman" w:hAnsi="Times New Roman" w:cs="Times New Roman"/>
          <w:b/>
          <w:bCs/>
          <w:sz w:val="24"/>
          <w:szCs w:val="24"/>
        </w:rPr>
        <w:t>CaSE</w:t>
      </w:r>
      <w:proofErr w:type="spellEnd"/>
      <w:r w:rsidRPr="003A1B6E">
        <w:rPr>
          <w:rFonts w:ascii="Times New Roman" w:hAnsi="Times New Roman" w:cs="Times New Roman"/>
          <w:b/>
          <w:bCs/>
          <w:sz w:val="24"/>
          <w:szCs w:val="24"/>
        </w:rPr>
        <w:t xml:space="preserve"> scores.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A7D91">
        <w:rPr>
          <w:rFonts w:ascii="Times New Roman" w:hAnsi="Times New Roman" w:cs="Times New Roman"/>
          <w:sz w:val="24"/>
          <w:szCs w:val="24"/>
        </w:rPr>
        <w:t>Scatterplots showing lack of correlation between the P-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(X-axis) and M-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(Y-axis) scores for four different sources of the cancer data. Dots represent individual organs. Cancer datasets (A1950, A2008, MSK-IMPACT, MSK-MET) are described in Materials and methods section on data acquisition.</w:t>
      </w:r>
      <w:r w:rsidRPr="00CA7D91">
        <w:rPr>
          <w:rFonts w:ascii="Times New Roman" w:hAnsi="Times New Roman" w:cs="Times New Roman"/>
          <w:sz w:val="24"/>
          <w:szCs w:val="24"/>
        </w:rPr>
        <w:br w:type="page"/>
      </w:r>
      <w:r>
        <w:rPr>
          <w:noProof/>
        </w:rPr>
        <w:lastRenderedPageBreak/>
        <w:drawing>
          <wp:inline distT="0" distB="0" distL="0" distR="0" wp14:anchorId="6FB24A3D" wp14:editId="23344C71">
            <wp:extent cx="5731510" cy="2743200"/>
            <wp:effectExtent l="0" t="0" r="2540" b="0"/>
            <wp:docPr id="3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2DB8D" w14:textId="77777777" w:rsidR="00636EEE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3. </w:t>
      </w:r>
      <w:r w:rsidRPr="00324FA4">
        <w:rPr>
          <w:rFonts w:ascii="Times New Roman" w:hAnsi="Times New Roman" w:cs="Times New Roman"/>
          <w:b/>
          <w:bCs/>
          <w:sz w:val="24"/>
          <w:szCs w:val="24"/>
        </w:rPr>
        <w:t>Susceptibility of organs to primary cancer or metastases is associated with the organ-specific cell composition.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A7D91">
        <w:rPr>
          <w:rFonts w:ascii="Times New Roman" w:hAnsi="Times New Roman" w:cs="Times New Roman"/>
          <w:sz w:val="24"/>
          <w:szCs w:val="24"/>
        </w:rPr>
        <w:t xml:space="preserve">Scatterplots showing correlations between the 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scores (X-axis) and the immune and stromal enrichment scores (Y-axis; A – HPA data; B – 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GTEx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data). Arbitrary criteria for a positive or a negative correlation trend were: 1) the same direction in at least three out of five cancer data </w:t>
      </w:r>
      <w:proofErr w:type="gramStart"/>
      <w:r w:rsidRPr="00CA7D91">
        <w:rPr>
          <w:rFonts w:ascii="Times New Roman" w:hAnsi="Times New Roman" w:cs="Times New Roman"/>
          <w:sz w:val="24"/>
          <w:szCs w:val="24"/>
        </w:rPr>
        <w:t>sets  for</w:t>
      </w:r>
      <w:proofErr w:type="gramEnd"/>
      <w:r w:rsidRPr="00CA7D91">
        <w:rPr>
          <w:rFonts w:ascii="Times New Roman" w:hAnsi="Times New Roman" w:cs="Times New Roman"/>
          <w:sz w:val="24"/>
          <w:szCs w:val="24"/>
        </w:rPr>
        <w:t xml:space="preserve"> the P-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scores and in at least three out of four cancer datasets for M-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scores; 2) Spearman’s rho (R) higher than 0.2 for positive correlation or lower than -0.2 for negative correlation. Red rectangle: positive correlation trend; blue rectangle: negative correlation trend. Dots represent individual organs. Cancer datasets (A1950, A2008, GLOBOCAN, MSK-IMPACT, MSK-MET) are described in Materials and methods section on data acquisition.</w:t>
      </w:r>
    </w:p>
    <w:p w14:paraId="520D5F47" w14:textId="77777777" w:rsidR="00636EEE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636EEE" w:rsidSect="00B2595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60D0354" w14:textId="2718623D" w:rsidR="00636EEE" w:rsidRPr="00CA7D91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D6EE50" wp14:editId="7DCFC729">
            <wp:extent cx="5707380" cy="3025140"/>
            <wp:effectExtent l="0" t="0" r="7620" b="3810"/>
            <wp:docPr id="2" name="Picture 2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593DF" w14:textId="77777777" w:rsidR="00636EEE" w:rsidRPr="00CA7D91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4.</w:t>
      </w:r>
      <w:r w:rsidRPr="00CA7D91">
        <w:rPr>
          <w:rFonts w:ascii="Times New Roman" w:hAnsi="Times New Roman" w:cs="Times New Roman"/>
          <w:sz w:val="24"/>
          <w:szCs w:val="24"/>
        </w:rPr>
        <w:t xml:space="preserve"> </w:t>
      </w:r>
      <w:r w:rsidRPr="00324FA4">
        <w:rPr>
          <w:rFonts w:ascii="Times New Roman" w:hAnsi="Times New Roman" w:cs="Times New Roman"/>
          <w:b/>
          <w:bCs/>
          <w:sz w:val="24"/>
          <w:szCs w:val="24"/>
        </w:rPr>
        <w:t>Susceptibility of organs to metastases is associated with high percentage of overexpressed immune genes.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A7D91">
        <w:rPr>
          <w:rFonts w:ascii="Times New Roman" w:hAnsi="Times New Roman" w:cs="Times New Roman"/>
          <w:sz w:val="24"/>
          <w:szCs w:val="24"/>
        </w:rPr>
        <w:t xml:space="preserve">Scatterplots showing correlations between the 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scores (X-axis) and the portion of average organ-specific immunity-related overexpressed gene pattern (Y-axis; A – HPA data; B – 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GTEx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data). Arbitrary criteria for a positive or a negative correlation trend were: 1) the same direction in at least three out of five cancer data </w:t>
      </w:r>
      <w:proofErr w:type="gramStart"/>
      <w:r w:rsidRPr="00CA7D91">
        <w:rPr>
          <w:rFonts w:ascii="Times New Roman" w:hAnsi="Times New Roman" w:cs="Times New Roman"/>
          <w:sz w:val="24"/>
          <w:szCs w:val="24"/>
        </w:rPr>
        <w:t>sets  for</w:t>
      </w:r>
      <w:proofErr w:type="gramEnd"/>
      <w:r w:rsidRPr="00CA7D91">
        <w:rPr>
          <w:rFonts w:ascii="Times New Roman" w:hAnsi="Times New Roman" w:cs="Times New Roman"/>
          <w:sz w:val="24"/>
          <w:szCs w:val="24"/>
        </w:rPr>
        <w:t xml:space="preserve"> the P-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scores and in at least three out of four cancer datasets for M-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scores; 2) Spearman’s rho (R) higher than 0.2 for positive correlation or lower than -0.2 for negative correlation. Red rectangle: positive correlation trend; blue rectangle: negative correlation trend. Dots represent individual organs. Cancer datasets (A1950, A2008, MSK-IMPACT, MSK-MET) are described in Materials and methods section on data acquisition.</w:t>
      </w:r>
    </w:p>
    <w:p w14:paraId="34468A22" w14:textId="77777777" w:rsidR="00636EEE" w:rsidRPr="00CA7D91" w:rsidRDefault="00636EEE" w:rsidP="00636EEE">
      <w:pPr>
        <w:spacing w:after="0" w:line="480" w:lineRule="auto"/>
        <w:contextualSpacing/>
        <w:rPr>
          <w:rFonts w:ascii="Times New Roman" w:hAnsi="Times New Roman" w:cs="Times New Roman"/>
          <w:noProof/>
          <w:sz w:val="24"/>
          <w:szCs w:val="24"/>
        </w:rPr>
      </w:pPr>
    </w:p>
    <w:p w14:paraId="112E1611" w14:textId="583694E4" w:rsidR="00636EEE" w:rsidRPr="00CA7D91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inline distT="0" distB="0" distL="0" distR="0" wp14:anchorId="4181391F" wp14:editId="58232B07">
            <wp:extent cx="5730240" cy="2865120"/>
            <wp:effectExtent l="0" t="0" r="3810" b="0"/>
            <wp:docPr id="1" name="Picture 1" descr="Chart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art, 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14A3E" w14:textId="77777777" w:rsidR="00636EEE" w:rsidRPr="00947B0C" w:rsidRDefault="00636EEE" w:rsidP="00636EEE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CA7D91">
        <w:rPr>
          <w:rFonts w:ascii="Times New Roman" w:hAnsi="Times New Roman" w:cs="Times New Roman"/>
          <w:b/>
          <w:bCs/>
          <w:sz w:val="24"/>
          <w:szCs w:val="24"/>
        </w:rPr>
        <w:t xml:space="preserve"> 5. </w:t>
      </w:r>
      <w:r w:rsidRPr="00324FA4">
        <w:rPr>
          <w:rFonts w:ascii="Times New Roman" w:hAnsi="Times New Roman" w:cs="Times New Roman"/>
          <w:b/>
          <w:bCs/>
          <w:sz w:val="24"/>
          <w:szCs w:val="24"/>
        </w:rPr>
        <w:t>Susceptibility of organs to metastases is associated with high percentage of overexpressed specific immune gene sets.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A7D91">
        <w:rPr>
          <w:rFonts w:ascii="Times New Roman" w:hAnsi="Times New Roman" w:cs="Times New Roman"/>
          <w:sz w:val="24"/>
          <w:szCs w:val="24"/>
        </w:rPr>
        <w:t xml:space="preserve">Heatmap showing correlations between the subsets of overexpressed genes from each individual immunity-related gene set and 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scores. Arbitrary criteria for robust correlation were: 1) the same direction and 2) significant correlation (p &lt; 0.05), in at least three out of four cancer datasets for M-</w:t>
      </w:r>
      <w:proofErr w:type="spellStart"/>
      <w:r w:rsidRPr="00CA7D9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CA7D91">
        <w:rPr>
          <w:rFonts w:ascii="Times New Roman" w:hAnsi="Times New Roman" w:cs="Times New Roman"/>
          <w:sz w:val="24"/>
          <w:szCs w:val="24"/>
        </w:rPr>
        <w:t xml:space="preserve"> scores. Asterisks depict significant correlation. Cancer datasets (A1950, A2008, MSK-IMPACT, MSK-MET) are described in Materials and methods section on data acquisition.</w:t>
      </w:r>
    </w:p>
    <w:p w14:paraId="49021E27" w14:textId="77777777" w:rsidR="00636EEE" w:rsidRDefault="00636EEE"/>
    <w:sectPr w:rsidR="00636E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EEE"/>
    <w:rsid w:val="001777A1"/>
    <w:rsid w:val="00636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2572C"/>
  <w15:chartTrackingRefBased/>
  <w15:docId w15:val="{9FE2A315-4271-4A6B-B09A-35901175B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EEE"/>
    <w:rPr>
      <w:rFonts w:ascii="Calibri" w:eastAsia="Calibri" w:hAnsi="Calibri" w:cs="Calibri"/>
      <w:kern w:val="0"/>
      <w:lang w:val="en-GB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605</Words>
  <Characters>3451</Characters>
  <Application>Microsoft Office Word</Application>
  <DocSecurity>0</DocSecurity>
  <Lines>28</Lines>
  <Paragraphs>8</Paragraphs>
  <ScaleCrop>false</ScaleCrop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2023-08-03T17:59:00Z</dcterms:created>
  <dcterms:modified xsi:type="dcterms:W3CDTF">2023-08-03T18:00:00Z</dcterms:modified>
</cp:coreProperties>
</file>