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A7ADB8" w14:textId="77777777" w:rsidR="009C23F2" w:rsidRDefault="009C23F2" w:rsidP="009C23F2">
      <w:r>
        <w:t>Extended data</w:t>
      </w:r>
    </w:p>
    <w:p w14:paraId="5BC023F7" w14:textId="77777777" w:rsidR="009C23F2" w:rsidRPr="003E4EAE" w:rsidRDefault="009C23F2" w:rsidP="009C23F2">
      <w:pPr>
        <w:rPr>
          <w:b/>
        </w:rPr>
      </w:pPr>
      <w:r w:rsidRPr="003E4EAE">
        <w:rPr>
          <w:b/>
        </w:rPr>
        <w:t xml:space="preserve">Extended Data Figure 1. </w:t>
      </w:r>
    </w:p>
    <w:p w14:paraId="75309671" w14:textId="77777777" w:rsidR="009C23F2" w:rsidRDefault="009C23F2" w:rsidP="009C23F2">
      <w:r>
        <w:rPr>
          <w:noProof/>
          <w:lang w:val="fr-FR" w:eastAsia="fr-FR"/>
        </w:rPr>
        <w:drawing>
          <wp:inline distT="0" distB="0" distL="0" distR="0" wp14:anchorId="16BC3B02" wp14:editId="4E306829">
            <wp:extent cx="5762625" cy="4933950"/>
            <wp:effectExtent l="0" t="0" r="9525" b="0"/>
            <wp:docPr id="16" name="Image 16" descr="VAC2025_Publi-Fig Sup I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AC2025_Publi-Fig Sup Ig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8537A" w14:textId="77777777" w:rsidR="009C23F2" w:rsidRPr="00915B03" w:rsidRDefault="009C23F2" w:rsidP="009C23F2">
      <w:r w:rsidRPr="003E4EAE">
        <w:rPr>
          <w:b/>
          <w:bCs/>
        </w:rPr>
        <w:t>Figure S1. Antibody responses in cynomolgus macaques.</w:t>
      </w:r>
      <w:r>
        <w:t xml:space="preserve"> Individual titers </w:t>
      </w:r>
      <w:r w:rsidRPr="003E4EAE">
        <w:t xml:space="preserve">(AU/mL) of IgG binding to SARS-CoV-2 S (upper), RBD (center) and N (lower) proteins measured in sera samples. BL: baseline approximatively 3 weeks before first immunization. </w:t>
      </w:r>
      <w:r>
        <w:t>B</w:t>
      </w:r>
      <w:r w:rsidRPr="003E4EAE">
        <w:t>lack dotted</w:t>
      </w:r>
      <w:r>
        <w:t xml:space="preserve"> vertical</w:t>
      </w:r>
      <w:r w:rsidRPr="003E4EAE">
        <w:t xml:space="preserve"> lines represent vaccinations. </w:t>
      </w:r>
      <w:r>
        <w:t>R</w:t>
      </w:r>
      <w:r w:rsidRPr="003E4EAE">
        <w:t>ed dotted</w:t>
      </w:r>
      <w:r>
        <w:t xml:space="preserve"> vertical</w:t>
      </w:r>
      <w:r w:rsidRPr="003E4EAE">
        <w:t xml:space="preserve"> lines represent SARS-CoV-2 exposure. </w:t>
      </w:r>
      <w:r>
        <w:br w:type="page"/>
      </w:r>
    </w:p>
    <w:p w14:paraId="2E7754D9" w14:textId="77777777" w:rsidR="009C23F2" w:rsidRDefault="009C23F2" w:rsidP="009C23F2">
      <w:r w:rsidRPr="0017338E">
        <w:rPr>
          <w:b/>
        </w:rPr>
        <w:lastRenderedPageBreak/>
        <w:t>Extended Data Figure</w:t>
      </w:r>
      <w:r>
        <w:rPr>
          <w:b/>
        </w:rPr>
        <w:t xml:space="preserve"> 2.</w:t>
      </w:r>
      <w:r>
        <w:t xml:space="preserve"> </w:t>
      </w:r>
    </w:p>
    <w:p w14:paraId="32FEE765" w14:textId="77777777" w:rsidR="009C23F2" w:rsidRDefault="009C23F2" w:rsidP="009C23F2">
      <w:r>
        <w:rPr>
          <w:noProof/>
          <w:lang w:val="fr-FR" w:eastAsia="fr-FR"/>
        </w:rPr>
        <w:drawing>
          <wp:inline distT="0" distB="0" distL="0" distR="0" wp14:anchorId="3218BBB8" wp14:editId="79E65EFA">
            <wp:extent cx="5581650" cy="2019300"/>
            <wp:effectExtent l="0" t="0" r="0" b="0"/>
            <wp:docPr id="15" name="Image 15" descr="VAC2025_Publi-Fig Sup Ne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AC2025_Publi-Fig Sup Neu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FCA01" w14:textId="77777777" w:rsidR="009C23F2" w:rsidRDefault="009C23F2" w:rsidP="009C23F2">
      <w:r w:rsidRPr="00F71721">
        <w:rPr>
          <w:b/>
          <w:bCs/>
        </w:rPr>
        <w:t>Figure S2. Neutralizing antibody responses in cynomolgus macaques.</w:t>
      </w:r>
      <w:r w:rsidRPr="00F71721">
        <w:t xml:space="preserve"> Individual </w:t>
      </w:r>
      <w:r>
        <w:t>titers</w:t>
      </w:r>
      <w:r w:rsidRPr="00F71721">
        <w:t xml:space="preserve"> of neutralizing antibody to SARS-CoV-2 (NT</w:t>
      </w:r>
      <w:r w:rsidRPr="00F71721">
        <w:rPr>
          <w:vertAlign w:val="subscript"/>
        </w:rPr>
        <w:t>50</w:t>
      </w:r>
      <w:r w:rsidRPr="00F71721">
        <w:t>: 50</w:t>
      </w:r>
      <w:r>
        <w:t> </w:t>
      </w:r>
      <w:r w:rsidRPr="00F71721">
        <w:t xml:space="preserve">% neutralizing titer) in sera samples. BL: baseline approximatively 3 weeks before first immunization. </w:t>
      </w:r>
      <w:r>
        <w:t>B</w:t>
      </w:r>
      <w:r w:rsidRPr="00F71721">
        <w:t xml:space="preserve">lack </w:t>
      </w:r>
      <w:r>
        <w:t xml:space="preserve">vertical </w:t>
      </w:r>
      <w:r w:rsidRPr="00F71721">
        <w:t xml:space="preserve">dotted lines represent vaccinations. </w:t>
      </w:r>
      <w:r>
        <w:t>R</w:t>
      </w:r>
      <w:r w:rsidRPr="00F71721">
        <w:t xml:space="preserve">ed </w:t>
      </w:r>
      <w:r>
        <w:t xml:space="preserve">vertical </w:t>
      </w:r>
      <w:r w:rsidRPr="00F71721">
        <w:t xml:space="preserve">dotted lines represent SARS-CoV-2 exposure. Graph starts at the limit of quantification at 5. </w:t>
      </w:r>
      <w:r>
        <w:br w:type="page"/>
      </w:r>
    </w:p>
    <w:p w14:paraId="2AF59109" w14:textId="77777777" w:rsidR="009C23F2" w:rsidRPr="00E43DEA" w:rsidRDefault="009C23F2" w:rsidP="009C23F2">
      <w:pPr>
        <w:rPr>
          <w:b/>
        </w:rPr>
      </w:pPr>
      <w:r w:rsidRPr="00E43DEA">
        <w:rPr>
          <w:b/>
        </w:rPr>
        <w:lastRenderedPageBreak/>
        <w:t xml:space="preserve">Extended data Figure 3. </w:t>
      </w:r>
    </w:p>
    <w:p w14:paraId="29C9C5BC" w14:textId="77777777" w:rsidR="009C23F2" w:rsidRDefault="009C23F2" w:rsidP="009C23F2">
      <w:r>
        <w:rPr>
          <w:noProof/>
          <w:sz w:val="16"/>
          <w:szCs w:val="16"/>
          <w:lang w:val="fr-FR" w:eastAsia="fr-FR"/>
        </w:rPr>
        <w:drawing>
          <wp:inline distT="0" distB="0" distL="0" distR="0" wp14:anchorId="15D6948F" wp14:editId="640DEF9D">
            <wp:extent cx="4748794" cy="1905004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gRNA_2023012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8794" cy="1905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3915E" w14:textId="77777777" w:rsidR="009C23F2" w:rsidRDefault="009C23F2" w:rsidP="009C23F2">
      <w:r w:rsidRPr="007B1064">
        <w:rPr>
          <w:b/>
          <w:bCs/>
        </w:rPr>
        <w:t xml:space="preserve">Figure S3. Subgenomic viral quantification (sgRNA) in fluids from respiratory tract following SARS-CoV-2 exposure. </w:t>
      </w:r>
      <w:r>
        <w:rPr>
          <w:b/>
          <w:bCs/>
        </w:rPr>
        <w:t>a</w:t>
      </w:r>
      <w:r w:rsidRPr="00F753F3">
        <w:rPr>
          <w:b/>
          <w:bCs/>
        </w:rPr>
        <w:t>,</w:t>
      </w:r>
      <w:r w:rsidRPr="00F753F3">
        <w:t xml:space="preserve"> Area under the curve (AUC) of </w:t>
      </w:r>
      <w:r>
        <w:t>sub</w:t>
      </w:r>
      <w:r w:rsidRPr="00F753F3">
        <w:t xml:space="preserve">genomic viral </w:t>
      </w:r>
      <w:r>
        <w:t xml:space="preserve">RNA </w:t>
      </w:r>
      <w:r w:rsidRPr="00F753F3">
        <w:t>(</w:t>
      </w:r>
      <w:r>
        <w:t>s</w:t>
      </w:r>
      <w:r w:rsidRPr="00F753F3">
        <w:t>gRNA) quantification from day 0 to day 7 in nasopharyngeal (left) and tracheal (right) fluids collected with swabs. Bars represent the geometric mean with 95</w:t>
      </w:r>
      <w:r>
        <w:t> </w:t>
      </w:r>
      <w:r w:rsidRPr="00F753F3">
        <w:t xml:space="preserve">% CI </w:t>
      </w:r>
      <w:r>
        <w:t>(non-parametric Kruskal-Wallis and Dunn’s multiple comparisons tests; n=8 per group)</w:t>
      </w:r>
      <w:r w:rsidRPr="00F753F3">
        <w:t>.</w:t>
      </w:r>
      <w:r>
        <w:t xml:space="preserve"> </w:t>
      </w:r>
      <w:r w:rsidRPr="00F753F3">
        <w:rPr>
          <w:b/>
          <w:bCs/>
        </w:rPr>
        <w:t>b,</w:t>
      </w:r>
      <w:r w:rsidRPr="00F753F3">
        <w:t xml:space="preserve"> Individual </w:t>
      </w:r>
      <w:r>
        <w:t>sgRNA</w:t>
      </w:r>
      <w:r w:rsidRPr="00F753F3">
        <w:t xml:space="preserve"> quantification in fluids from bronchoalveolar lavages (BAL) performed at day 3 post SARS-CoV-2 exposure. Bars represent the geometric mean with 95</w:t>
      </w:r>
      <w:r>
        <w:t> </w:t>
      </w:r>
      <w:r w:rsidRPr="00F753F3">
        <w:t xml:space="preserve">% CI </w:t>
      </w:r>
      <w:r>
        <w:t>(non-parametric Kruskal-Wallis and Dunn’s multiple comparisons tests; n=8 per group)</w:t>
      </w:r>
      <w:r w:rsidRPr="00F753F3">
        <w:t xml:space="preserve">. </w:t>
      </w:r>
      <w:r>
        <w:t>D</w:t>
      </w:r>
      <w:r w:rsidRPr="00F753F3">
        <w:t>otted</w:t>
      </w:r>
      <w:r w:rsidRPr="00A85FB1">
        <w:t xml:space="preserve"> </w:t>
      </w:r>
      <w:r>
        <w:t>h</w:t>
      </w:r>
      <w:r w:rsidRPr="00F753F3">
        <w:t>orizo</w:t>
      </w:r>
      <w:r>
        <w:t>ntal</w:t>
      </w:r>
      <w:r w:rsidRPr="00F753F3">
        <w:t xml:space="preserve"> line represents the LLOQ at </w:t>
      </w:r>
      <w:r>
        <w:t>3.87 log</w:t>
      </w:r>
      <w:r w:rsidRPr="0028745E">
        <w:rPr>
          <w:vertAlign w:val="subscript"/>
        </w:rPr>
        <w:t>10</w:t>
      </w:r>
      <w:r>
        <w:t> </w:t>
      </w:r>
      <w:r w:rsidRPr="00F753F3">
        <w:t xml:space="preserve">copies/mL. Graph starts at the LLOD at </w:t>
      </w:r>
      <w:r>
        <w:t>2.87 log</w:t>
      </w:r>
      <w:r w:rsidRPr="0028745E">
        <w:rPr>
          <w:vertAlign w:val="subscript"/>
        </w:rPr>
        <w:t>10</w:t>
      </w:r>
      <w:r>
        <w:t> </w:t>
      </w:r>
      <w:r w:rsidRPr="00F753F3">
        <w:t xml:space="preserve">copies/mL. Values below the </w:t>
      </w:r>
      <w:r>
        <w:t>LLOD</w:t>
      </w:r>
      <w:r w:rsidRPr="00F753F3">
        <w:t xml:space="preserve"> were </w:t>
      </w:r>
      <w:r>
        <w:t>plotted at 2.87 log</w:t>
      </w:r>
      <w:r w:rsidRPr="0028745E">
        <w:rPr>
          <w:vertAlign w:val="subscript"/>
        </w:rPr>
        <w:t>10</w:t>
      </w:r>
      <w:r>
        <w:t> copies/mL</w:t>
      </w:r>
      <w:r w:rsidRPr="00F753F3">
        <w:t xml:space="preserve">. </w:t>
      </w:r>
      <w:r>
        <w:br w:type="page"/>
      </w:r>
    </w:p>
    <w:p w14:paraId="4FDC9558" w14:textId="77777777" w:rsidR="009C23F2" w:rsidRPr="00E43DEA" w:rsidRDefault="009C23F2" w:rsidP="009C23F2">
      <w:pPr>
        <w:rPr>
          <w:b/>
        </w:rPr>
      </w:pPr>
      <w:r>
        <w:rPr>
          <w:b/>
        </w:rPr>
        <w:lastRenderedPageBreak/>
        <w:t>Extended data Figure 4</w:t>
      </w:r>
      <w:r w:rsidRPr="00E43DEA">
        <w:rPr>
          <w:b/>
        </w:rPr>
        <w:t xml:space="preserve">. </w:t>
      </w:r>
    </w:p>
    <w:p w14:paraId="5C5A34C6" w14:textId="77777777" w:rsidR="009C23F2" w:rsidRDefault="009C23F2" w:rsidP="009C23F2">
      <w:r>
        <w:rPr>
          <w:noProof/>
          <w:lang w:val="fr-FR" w:eastAsia="fr-FR"/>
        </w:rPr>
        <w:drawing>
          <wp:inline distT="0" distB="0" distL="0" distR="0" wp14:anchorId="05AE46AF" wp14:editId="09DA6997">
            <wp:extent cx="5753100" cy="6581775"/>
            <wp:effectExtent l="0" t="0" r="0" b="9525"/>
            <wp:docPr id="13" name="Image 13" descr="VAC2025_Publi-Fig Sup 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VAC2025_Publi-Fig Sup C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58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767AD" w14:textId="77777777" w:rsidR="009C23F2" w:rsidRPr="00E43DEA" w:rsidRDefault="009C23F2" w:rsidP="009C23F2">
      <w:r w:rsidRPr="00E43DEA">
        <w:rPr>
          <w:b/>
          <w:bCs/>
        </w:rPr>
        <w:t xml:space="preserve">Figure S4. Illustrative images of CT acquisition following SARS-CoV-2 exposure. </w:t>
      </w:r>
      <w:r w:rsidRPr="00E43DEA">
        <w:t xml:space="preserve">Representative transversal slices of chest CT scans performed at baseline (week 5 post first immunization), day 3 and day 10 post SARS-CoV-2 exposure showing typical lung lesions. </w:t>
      </w:r>
    </w:p>
    <w:p w14:paraId="3040FFDC" w14:textId="77777777" w:rsidR="009C23F2" w:rsidRDefault="009C23F2" w:rsidP="009C23F2">
      <w:pPr>
        <w:spacing w:line="259" w:lineRule="auto"/>
        <w:jc w:val="left"/>
      </w:pPr>
      <w:r>
        <w:br w:type="page"/>
      </w:r>
    </w:p>
    <w:p w14:paraId="48A4749C" w14:textId="77777777" w:rsidR="009C23F2" w:rsidRDefault="009C23F2" w:rsidP="009C23F2">
      <w:pPr>
        <w:rPr>
          <w:b/>
        </w:rPr>
      </w:pPr>
      <w:r>
        <w:rPr>
          <w:b/>
        </w:rPr>
        <w:lastRenderedPageBreak/>
        <w:t>Extended data Figure 5</w:t>
      </w:r>
      <w:r w:rsidRPr="00E43DEA">
        <w:rPr>
          <w:b/>
        </w:rPr>
        <w:t xml:space="preserve">. </w:t>
      </w:r>
    </w:p>
    <w:p w14:paraId="681A6EC5" w14:textId="77777777" w:rsidR="009C23F2" w:rsidRPr="00E43DEA" w:rsidRDefault="009C23F2" w:rsidP="009C23F2">
      <w:pPr>
        <w:rPr>
          <w:b/>
        </w:rPr>
      </w:pPr>
      <w:r w:rsidRPr="007A2053">
        <w:rPr>
          <w:b/>
          <w:noProof/>
          <w:lang w:val="fr-FR" w:eastAsia="fr-FR"/>
        </w:rPr>
        <w:drawing>
          <wp:inline distT="0" distB="0" distL="0" distR="0" wp14:anchorId="1B117A4F" wp14:editId="088DE1E0">
            <wp:extent cx="4418211" cy="3914775"/>
            <wp:effectExtent l="0" t="0" r="1905" b="0"/>
            <wp:docPr id="12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0254" cy="3960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85D32" w14:textId="77777777" w:rsidR="009C23F2" w:rsidRDefault="009C23F2" w:rsidP="009C23F2">
      <w:r w:rsidRPr="007A2053">
        <w:rPr>
          <w:b/>
          <w:bCs/>
        </w:rPr>
        <w:t xml:space="preserve">Figure S5. Histopathological score. </w:t>
      </w:r>
      <w:r>
        <w:t xml:space="preserve">Histopathology scoring system used for SARS-CoV-2 induced pulmonary lesions. </w:t>
      </w:r>
    </w:p>
    <w:p w14:paraId="3208A8FB" w14:textId="77777777" w:rsidR="00D10C5B" w:rsidRDefault="00D10C5B"/>
    <w:sectPr w:rsidR="00D10C5B" w:rsidSect="00780201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3F2"/>
    <w:rsid w:val="009C23F2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0D072"/>
  <w15:chartTrackingRefBased/>
  <w15:docId w15:val="{B15D9182-4B23-4FAF-87FF-966F4F56E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3F2"/>
    <w:pPr>
      <w:spacing w:line="360" w:lineRule="auto"/>
      <w:jc w:val="both"/>
    </w:pPr>
    <w:rPr>
      <w:rFonts w:cs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C23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319</Words>
  <Characters>1821</Characters>
  <Application>Microsoft Office Word</Application>
  <DocSecurity>0</DocSecurity>
  <Lines>15</Lines>
  <Paragraphs>4</Paragraphs>
  <ScaleCrop>false</ScaleCrop>
  <Company>Springer Nature</Company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2023-06-02T05:15:00Z</dcterms:created>
  <dcterms:modified xsi:type="dcterms:W3CDTF">2023-06-02T05:16:00Z</dcterms:modified>
</cp:coreProperties>
</file>