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default" w:ascii="Times New Roman" w:hAnsi="Times New Roman" w:cs="Times New Roman"/>
          <w:i w:val="0"/>
          <w:iCs w:val="0"/>
          <w:sz w:val="24"/>
          <w:szCs w:val="24"/>
          <w:lang w:val="en-US" w:eastAsia="zh-CN"/>
        </w:rPr>
      </w:pPr>
      <w:r>
        <w:rPr>
          <w:rFonts w:hint="default" w:ascii="Times New Roman" w:hAnsi="Times New Roman" w:cs="Times New Roman"/>
          <w:sz w:val="24"/>
          <w:szCs w:val="24"/>
          <w:lang w:val="en-US" w:eastAsia="zh-CN"/>
        </w:rPr>
        <w:t xml:space="preserve">By whole exon sequencing, two variants were detected in </w:t>
      </w:r>
      <w:r>
        <w:rPr>
          <w:rFonts w:hint="default" w:ascii="Times New Roman" w:hAnsi="Times New Roman" w:cs="Times New Roman"/>
          <w:i/>
          <w:iCs/>
          <w:sz w:val="24"/>
          <w:szCs w:val="24"/>
          <w:lang w:val="en-US" w:eastAsia="zh-CN"/>
        </w:rPr>
        <w:t xml:space="preserve">ADAR1 </w:t>
      </w:r>
      <w:r>
        <w:rPr>
          <w:rFonts w:hint="default" w:ascii="Times New Roman" w:hAnsi="Times New Roman" w:cs="Times New Roman"/>
          <w:i w:val="0"/>
          <w:iCs w:val="0"/>
          <w:sz w:val="24"/>
          <w:szCs w:val="24"/>
          <w:lang w:val="en-US" w:eastAsia="zh-CN"/>
        </w:rPr>
        <w:t>(NM_001111.5:c.1096_1097del and NM_001111.5:c.518A&gt;G)</w:t>
      </w:r>
      <w:r>
        <w:rPr>
          <w:rFonts w:hint="default" w:ascii="Times New Roman" w:hAnsi="Times New Roman" w:cs="Times New Roman"/>
          <w:sz w:val="24"/>
          <w:szCs w:val="24"/>
          <w:lang w:val="en-US" w:eastAsia="zh-CN"/>
        </w:rPr>
        <w:t xml:space="preserve"> and one in </w:t>
      </w:r>
      <w:r>
        <w:rPr>
          <w:rFonts w:hint="default" w:ascii="Times New Roman" w:hAnsi="Times New Roman" w:cs="Times New Roman"/>
          <w:i/>
          <w:iCs/>
          <w:sz w:val="24"/>
          <w:szCs w:val="24"/>
          <w:lang w:val="en-US" w:eastAsia="zh-CN"/>
        </w:rPr>
        <w:t xml:space="preserve">TSC2 </w:t>
      </w:r>
      <w:r>
        <w:rPr>
          <w:rFonts w:hint="default" w:ascii="Times New Roman" w:hAnsi="Times New Roman" w:cs="Times New Roman"/>
          <w:i w:val="0"/>
          <w:iCs w:val="0"/>
          <w:sz w:val="24"/>
          <w:szCs w:val="24"/>
          <w:lang w:val="en-US" w:eastAsia="zh-CN"/>
        </w:rPr>
        <w:t>(NM_000548.5:c.1864C&gt;T)</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 xml:space="preserve">those </w:t>
      </w:r>
      <w:r>
        <w:rPr>
          <w:rFonts w:hint="default" w:ascii="Times New Roman" w:hAnsi="Times New Roman" w:cs="Times New Roman"/>
          <w:sz w:val="24"/>
          <w:szCs w:val="24"/>
          <w:lang w:val="en-US" w:eastAsia="zh-CN"/>
        </w:rPr>
        <w:t xml:space="preserve">variants interpretion, rating of the classification of genes-diseases association was necessary. According to the genes-diseases associations database GeneCC and DISEASES, it can be definitively considered that </w:t>
      </w:r>
      <w:r>
        <w:rPr>
          <w:rFonts w:hint="default" w:ascii="Times New Roman" w:hAnsi="Times New Roman" w:cs="Times New Roman"/>
          <w:i/>
          <w:iCs/>
          <w:sz w:val="24"/>
          <w:szCs w:val="24"/>
          <w:lang w:val="en-US" w:eastAsia="zh-CN"/>
        </w:rPr>
        <w:t>ADAR1</w:t>
      </w:r>
      <w:r>
        <w:rPr>
          <w:rFonts w:hint="default" w:ascii="Times New Roman" w:hAnsi="Times New Roman" w:cs="Times New Roman"/>
          <w:sz w:val="24"/>
          <w:szCs w:val="24"/>
          <w:lang w:val="en-US" w:eastAsia="zh-CN"/>
        </w:rPr>
        <w:t xml:space="preserve"> was clearly related to AGS6. Inherited from her father, the variant </w:t>
      </w:r>
      <w:r>
        <w:rPr>
          <w:rFonts w:hint="default" w:ascii="Times New Roman" w:hAnsi="Times New Roman" w:cs="Times New Roman"/>
          <w:i w:val="0"/>
          <w:iCs w:val="0"/>
          <w:sz w:val="24"/>
          <w:szCs w:val="24"/>
          <w:lang w:val="en-US" w:eastAsia="zh-CN"/>
        </w:rPr>
        <w:t xml:space="preserve">c.1096_1097del </w:t>
      </w:r>
      <w:r>
        <w:rPr>
          <w:rFonts w:hint="default" w:ascii="Times New Roman" w:hAnsi="Times New Roman" w:cs="Times New Roman"/>
          <w:sz w:val="24"/>
          <w:szCs w:val="24"/>
          <w:lang w:val="en-US" w:eastAsia="zh-CN"/>
        </w:rPr>
        <w:t xml:space="preserve">resulted in frameshift occurring from the 366th lysine of </w:t>
      </w:r>
      <w:r>
        <w:rPr>
          <w:rFonts w:hint="default" w:ascii="Times New Roman" w:hAnsi="Times New Roman" w:cs="Times New Roman"/>
          <w:i/>
          <w:iCs/>
          <w:sz w:val="24"/>
          <w:szCs w:val="24"/>
          <w:lang w:val="en-US" w:eastAsia="zh-CN"/>
        </w:rPr>
        <w:t>ADAR1</w:t>
      </w:r>
      <w:r>
        <w:rPr>
          <w:rFonts w:hint="default" w:ascii="Times New Roman" w:hAnsi="Times New Roman" w:cs="Times New Roman"/>
          <w:sz w:val="24"/>
          <w:szCs w:val="24"/>
          <w:lang w:val="en-US" w:eastAsia="zh-CN"/>
        </w:rPr>
        <w:t xml:space="preserve">. And loss of function were the pathogenic mechanism of </w:t>
      </w:r>
      <w:r>
        <w:rPr>
          <w:rFonts w:hint="default" w:ascii="Times New Roman" w:hAnsi="Times New Roman" w:cs="Times New Roman"/>
          <w:i/>
          <w:iCs/>
          <w:sz w:val="24"/>
          <w:szCs w:val="24"/>
          <w:lang w:val="en-US" w:eastAsia="zh-CN"/>
        </w:rPr>
        <w:t>ADAR1</w:t>
      </w:r>
      <w:r>
        <w:rPr>
          <w:rFonts w:hint="default" w:ascii="Times New Roman" w:hAnsi="Times New Roman" w:cs="Times New Roman"/>
          <w:i/>
          <w:iCs/>
          <w:sz w:val="24"/>
          <w:szCs w:val="24"/>
          <w:lang w:val="en-US" w:eastAsia="zh-CN"/>
        </w:rPr>
        <w:fldChar w:fldCharType="begin"/>
      </w:r>
      <w:r>
        <w:rPr>
          <w:rFonts w:hint="eastAsia" w:ascii="Times New Roman" w:hAnsi="Times New Roman" w:cs="Times New Roman"/>
          <w:i/>
          <w:iCs/>
          <w:sz w:val="24"/>
          <w:szCs w:val="24"/>
          <w:lang w:val="en-US" w:eastAsia="zh-CN"/>
        </w:rPr>
        <w:instrText xml:space="preserve"> ADDIN NE.Ref.{C1C7CC8D-014B-4C45-9E97-C377FB4B7B88}</w:instrText>
      </w:r>
      <w:r>
        <w:rPr>
          <w:rFonts w:hint="default" w:ascii="Times New Roman" w:hAnsi="Times New Roman" w:cs="Times New Roman"/>
          <w:i/>
          <w:iCs/>
          <w:sz w:val="24"/>
          <w:szCs w:val="24"/>
          <w:lang w:val="en-US" w:eastAsia="zh-CN"/>
        </w:rPr>
        <w:fldChar w:fldCharType="separate"/>
      </w:r>
      <w:r>
        <w:rPr>
          <w:rFonts w:hint="default" w:ascii="Times New Roman" w:hAnsi="Times New Roman" w:eastAsia="Times New Roman"/>
          <w:color w:val="080000"/>
          <w:sz w:val="24"/>
          <w:szCs w:val="24"/>
        </w:rPr>
        <w:t>[1]</w:t>
      </w:r>
      <w:r>
        <w:rPr>
          <w:rFonts w:hint="default" w:ascii="Times New Roman" w:hAnsi="Times New Roman" w:cs="Times New Roman"/>
          <w:i/>
          <w:iCs/>
          <w:sz w:val="24"/>
          <w:szCs w:val="24"/>
          <w:lang w:val="en-US" w:eastAsia="zh-CN"/>
        </w:rPr>
        <w:fldChar w:fldCharType="end"/>
      </w:r>
      <w:r>
        <w:rPr>
          <w:rFonts w:hint="default" w:ascii="Times New Roman" w:hAnsi="Times New Roman" w:cs="Times New Roman"/>
          <w:sz w:val="24"/>
          <w:szCs w:val="24"/>
          <w:lang w:val="en-US" w:eastAsia="zh-CN"/>
        </w:rPr>
        <w:t>. The presence of the 3’-most exon-exon junction &gt;50 nt downstream from the termination codon is the feature with strongest predictive value for nonsense-mediated mRNA decay (NMD) susceptibility.</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NE.Ref.{88EDB19A-D874-456F-BEA3-8D8AB318CD15}</w:instrText>
      </w:r>
      <w:r>
        <w:rPr>
          <w:rFonts w:hint="default" w:ascii="Times New Roman" w:hAnsi="Times New Roman" w:cs="Times New Roman"/>
          <w:sz w:val="24"/>
          <w:szCs w:val="24"/>
          <w:lang w:val="en-US" w:eastAsia="zh-CN"/>
        </w:rPr>
        <w:fldChar w:fldCharType="separate"/>
      </w:r>
      <w:r>
        <w:rPr>
          <w:rFonts w:hint="default" w:ascii="Times New Roman" w:hAnsi="Times New Roman" w:eastAsia="Times New Roman"/>
          <w:color w:val="080000"/>
          <w:sz w:val="24"/>
          <w:szCs w:val="24"/>
        </w:rPr>
        <w:t>[2, 3]</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xml:space="preserve"> </w:t>
      </w:r>
      <w:bookmarkStart w:id="0" w:name="OLE_LINK2"/>
      <w:r>
        <w:rPr>
          <w:rFonts w:hint="default" w:ascii="Times New Roman" w:hAnsi="Times New Roman" w:cs="Times New Roman"/>
          <w:sz w:val="24"/>
          <w:szCs w:val="24"/>
          <w:lang w:val="en-US" w:eastAsia="zh-CN"/>
        </w:rPr>
        <w:t>NMD</w:t>
      </w:r>
      <w:r>
        <w:rPr>
          <w:rFonts w:hint="default" w:ascii="Times New Roman" w:hAnsi="Times New Roman" w:cs="Times New Roman"/>
          <w:i w:val="0"/>
          <w:iCs w:val="0"/>
          <w:sz w:val="24"/>
          <w:szCs w:val="24"/>
          <w:lang w:val="en-US" w:eastAsia="zh-CN"/>
        </w:rPr>
        <w:t xml:space="preserve"> was predicted to take place in mRNA with the variant </w:t>
      </w:r>
      <w:bookmarkStart w:id="1" w:name="OLE_LINK3"/>
      <w:r>
        <w:rPr>
          <w:rFonts w:hint="default" w:ascii="Times New Roman" w:hAnsi="Times New Roman" w:cs="Times New Roman"/>
          <w:i w:val="0"/>
          <w:iCs w:val="0"/>
          <w:sz w:val="24"/>
          <w:szCs w:val="24"/>
          <w:lang w:val="en-US" w:eastAsia="zh-CN"/>
        </w:rPr>
        <w:t>c.1096_1097del</w:t>
      </w:r>
      <w:bookmarkEnd w:id="1"/>
      <w:r>
        <w:rPr>
          <w:rFonts w:hint="default" w:ascii="Times New Roman" w:hAnsi="Times New Roman" w:cs="Times New Roman"/>
          <w:i w:val="0"/>
          <w:iCs w:val="0"/>
          <w:sz w:val="24"/>
          <w:szCs w:val="24"/>
          <w:lang w:val="en-US" w:eastAsia="zh-CN"/>
        </w:rPr>
        <w:t>.</w:t>
      </w:r>
      <w:bookmarkEnd w:id="0"/>
      <w:r>
        <w:rPr>
          <w:rFonts w:hint="default" w:ascii="Times New Roman" w:hAnsi="Times New Roman" w:cs="Times New Roman"/>
          <w:i w:val="0"/>
          <w:iCs w:val="0"/>
          <w:sz w:val="24"/>
          <w:szCs w:val="24"/>
          <w:lang w:val="en-US" w:eastAsia="zh-CN"/>
        </w:rPr>
        <w:t xml:space="preserve"> With the addition, the exon2 in which c.1096_1097del located was presented in the biology-relevant transcriptions </w:t>
      </w:r>
      <w:r>
        <w:rPr>
          <w:rFonts w:hint="eastAsia" w:ascii="Times New Roman" w:hAnsi="Times New Roman" w:cs="Times New Roman"/>
          <w:i w:val="0"/>
          <w:iCs w:val="0"/>
          <w:sz w:val="24"/>
          <w:szCs w:val="24"/>
          <w:lang w:val="en-US" w:eastAsia="zh-CN"/>
        </w:rPr>
        <w:t>according to gnomAD</w:t>
      </w:r>
      <w:r>
        <w:rPr>
          <w:rFonts w:hint="default" w:ascii="Times New Roman" w:hAnsi="Times New Roman" w:cs="Times New Roman"/>
          <w:i w:val="0"/>
          <w:iCs w:val="0"/>
          <w:sz w:val="24"/>
          <w:szCs w:val="24"/>
          <w:lang w:val="en-US" w:eastAsia="zh-CN"/>
        </w:rPr>
        <w:t>. In terms of the recommendation criterion of evidence PVS1 used</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NE.Ref.{D0B6944C-6E30-45D0-8752-C4FB9B1017B1}</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[4]</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we considered that the evidence of PVS1 could used. In addition, the variant couldn’t found in the GnomAD database, we used the evidence of PM2_supporting.</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NE.Ref.{F6CD881C-FB68-41F7-A6CE-D934F43540C6}</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[5]</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The phenotype of the proband was highly consistent with AGS6, the evidence of PP4 could be used. To assess the pathogenicity of variant c.1096_1097del, evidence of PVS1, PM2_supporting and PP4 were used. According to Bayesian evidence framework, the variant c.1096_1097del was refined 10 points, at least 99% posterior probability indicated it was pathogenic.</w:t>
      </w:r>
    </w:p>
    <w:p>
      <w:pPr>
        <w:spacing w:beforeLines="0" w:afterLines="0"/>
        <w:jc w:val="left"/>
        <w:rPr>
          <w:rFonts w:hint="default" w:ascii="Times New Roman" w:hAnsi="Times New Roman" w:cs="Times New Roman"/>
          <w:i w:val="0"/>
          <w:iCs w:val="0"/>
          <w:sz w:val="24"/>
          <w:szCs w:val="24"/>
          <w:lang w:val="en-US" w:eastAsia="zh-CN"/>
        </w:rPr>
      </w:pPr>
      <w:r>
        <w:rPr>
          <w:rFonts w:hint="default" w:ascii="Times New Roman" w:hAnsi="Times New Roman" w:cs="Times New Roman"/>
          <w:i w:val="0"/>
          <w:iCs w:val="0"/>
          <w:sz w:val="24"/>
          <w:szCs w:val="24"/>
          <w:lang w:val="en-US" w:eastAsia="zh-CN"/>
        </w:rPr>
        <w:t xml:space="preserve">Located in the </w:t>
      </w:r>
      <w:r>
        <w:rPr>
          <w:rFonts w:hint="default" w:ascii="Times New Roman" w:hAnsi="Times New Roman" w:cs="Times New Roman"/>
          <w:i/>
          <w:iCs/>
          <w:sz w:val="24"/>
          <w:szCs w:val="24"/>
          <w:lang w:val="en-US" w:eastAsia="zh-CN"/>
        </w:rPr>
        <w:t>trans</w:t>
      </w:r>
      <w:r>
        <w:rPr>
          <w:rFonts w:hint="default" w:ascii="Times New Roman" w:hAnsi="Times New Roman" w:cs="Times New Roman"/>
          <w:i w:val="0"/>
          <w:iCs w:val="0"/>
          <w:sz w:val="24"/>
          <w:szCs w:val="24"/>
          <w:lang w:val="en-US" w:eastAsia="zh-CN"/>
        </w:rPr>
        <w:t xml:space="preserve"> position of the pathogenic variant c.1096_1097del, another variant c.518A&gt;G was detected, which was inherited from mother. The evidence PM3 could be used. Another report had reported a c.518A&gt;G variant located in the </w:t>
      </w:r>
      <w:r>
        <w:rPr>
          <w:rFonts w:hint="default" w:ascii="Times New Roman" w:hAnsi="Times New Roman" w:cs="Times New Roman"/>
          <w:i/>
          <w:iCs/>
          <w:sz w:val="24"/>
          <w:szCs w:val="24"/>
          <w:lang w:val="en-US" w:eastAsia="zh-CN"/>
        </w:rPr>
        <w:t>trans</w:t>
      </w:r>
      <w:r>
        <w:rPr>
          <w:rFonts w:hint="default" w:ascii="Times New Roman" w:hAnsi="Times New Roman" w:cs="Times New Roman"/>
          <w:i w:val="0"/>
          <w:iCs w:val="0"/>
          <w:sz w:val="24"/>
          <w:szCs w:val="24"/>
          <w:lang w:val="en-US" w:eastAsia="zh-CN"/>
        </w:rPr>
        <w:t xml:space="preserve"> position of a pathogenic variant (NM_001111.5:c.1552dup)</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NE.Ref.{F568F12D-AC62-4E19-BD45-CBC1BE29D9E6}</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[6]</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Pathogenic assessment was proceeded for both c.518A&gt;G and c.518A&gt;G reported bu Crow et al. In which, c.518A&gt;G was given the evidence of PP3_support, PM2, PM3, PM1, and the evdience of PM2_supporting, PVS1 for c.1552dup. In short, both of which could be classified into likely pathogenic variant. Thus, according to the recommendations of SVI, we considered that the evidence PM3 could be upgraded to PM3_strong using for pathogenic assessment of variant c.518A&gt;G in our study. </w:t>
      </w:r>
      <w:r>
        <w:rPr>
          <w:rFonts w:hint="default" w:ascii="Times New Roman" w:hAnsi="Times New Roman" w:cs="Times New Roman"/>
          <w:i/>
          <w:iCs/>
          <w:color w:val="auto"/>
          <w:sz w:val="24"/>
          <w:szCs w:val="24"/>
          <w:lang w:val="en-US" w:eastAsia="zh-CN"/>
        </w:rPr>
        <w:t>In silico</w:t>
      </w:r>
      <w:r>
        <w:rPr>
          <w:rFonts w:hint="default" w:ascii="Times New Roman" w:hAnsi="Times New Roman" w:cs="Times New Roman"/>
          <w:color w:val="auto"/>
          <w:sz w:val="24"/>
          <w:szCs w:val="24"/>
          <w:lang w:val="en-US" w:eastAsia="zh-CN"/>
        </w:rPr>
        <w:t xml:space="preserve"> missense prediction was proceeded for the variant c.518A&gt;G. Prediction scores of Polyphen-2_HDIV, SIFT were 1.0, 0.0 respectively. By which, PP3_supporting could be used. Referred to the allele frequency in East Asian population data obtained from the Varcards database, </w:t>
      </w:r>
      <w:r>
        <w:rPr>
          <w:rFonts w:hint="default" w:ascii="Times New Roman" w:hAnsi="Times New Roman" w:cs="Times New Roman"/>
          <w:i w:val="0"/>
          <w:iCs w:val="0"/>
          <w:sz w:val="24"/>
          <w:szCs w:val="24"/>
          <w:lang w:val="en-US" w:eastAsia="zh-CN"/>
        </w:rPr>
        <w:t xml:space="preserve">PM2_supporting could be used. Located in a mutational hot spot </w:t>
      </w:r>
      <w:r>
        <w:rPr>
          <w:rFonts w:hint="eastAsia" w:ascii="Times New Roman" w:hAnsi="Times New Roman" w:cs="Times New Roman"/>
          <w:i w:val="0"/>
          <w:iCs w:val="0"/>
          <w:sz w:val="24"/>
          <w:szCs w:val="24"/>
          <w:lang w:val="en-US" w:eastAsia="zh-CN"/>
        </w:rPr>
        <w:t>according to PER viewer</w:t>
      </w:r>
      <w:r>
        <w:rPr>
          <w:rFonts w:hint="default" w:ascii="Times New Roman" w:hAnsi="Times New Roman" w:cs="Times New Roman"/>
          <w:i w:val="0"/>
          <w:iCs w:val="0"/>
          <w:sz w:val="24"/>
          <w:szCs w:val="24"/>
          <w:lang w:val="en-US" w:eastAsia="zh-CN"/>
        </w:rPr>
        <w:t>, evidence PM1 could be used. Superadd</w:t>
      </w:r>
      <w:r>
        <w:rPr>
          <w:rFonts w:hint="eastAsia" w:ascii="Times New Roman" w:hAnsi="Times New Roman" w:cs="Times New Roman"/>
          <w:i w:val="0"/>
          <w:iCs w:val="0"/>
          <w:sz w:val="24"/>
          <w:szCs w:val="24"/>
          <w:lang w:val="en-US" w:eastAsia="zh-CN"/>
        </w:rPr>
        <w:t>ed</w:t>
      </w:r>
      <w:r>
        <w:rPr>
          <w:rFonts w:hint="default" w:ascii="Times New Roman" w:hAnsi="Times New Roman" w:cs="Times New Roman"/>
          <w:i w:val="0"/>
          <w:iCs w:val="0"/>
          <w:sz w:val="24"/>
          <w:szCs w:val="24"/>
          <w:lang w:val="en-US" w:eastAsia="zh-CN"/>
        </w:rPr>
        <w:t xml:space="preserve"> evidence PP4 because of the proband had very typical phenotype, we considered c.518A&gt;G was likely pathogenic.</w:t>
      </w:r>
    </w:p>
    <w:p>
      <w:pPr>
        <w:spacing w:beforeLines="0" w:afterLines="0"/>
        <w:jc w:val="left"/>
        <w:rPr>
          <w:rFonts w:hint="default"/>
          <w:sz w:val="24"/>
          <w:szCs w:val="24"/>
        </w:rPr>
      </w:pPr>
      <w:r>
        <w:rPr>
          <w:rFonts w:hint="default" w:ascii="Times New Roman" w:hAnsi="Times New Roman" w:cs="Times New Roman"/>
          <w:sz w:val="24"/>
          <w:szCs w:val="24"/>
          <w:lang w:val="en-US" w:eastAsia="zh-CN"/>
        </w:rPr>
        <w:t xml:space="preserve">Interpretation of the variant </w:t>
      </w:r>
      <w:r>
        <w:rPr>
          <w:rFonts w:hint="default" w:ascii="Times New Roman" w:hAnsi="Times New Roman" w:cs="Times New Roman"/>
          <w:i w:val="0"/>
          <w:iCs w:val="0"/>
          <w:sz w:val="24"/>
          <w:szCs w:val="24"/>
          <w:lang w:val="en-US" w:eastAsia="zh-CN"/>
        </w:rPr>
        <w:t xml:space="preserve">c.1864C&gt;T in </w:t>
      </w:r>
      <w:r>
        <w:rPr>
          <w:rFonts w:hint="default" w:ascii="Times New Roman" w:hAnsi="Times New Roman" w:cs="Times New Roman"/>
          <w:i/>
          <w:iCs/>
          <w:sz w:val="24"/>
          <w:szCs w:val="24"/>
          <w:lang w:val="en-US" w:eastAsia="zh-CN"/>
        </w:rPr>
        <w:t>TSC2</w:t>
      </w:r>
      <w:r>
        <w:rPr>
          <w:rFonts w:hint="default" w:ascii="Times New Roman" w:hAnsi="Times New Roman" w:cs="Times New Roman"/>
          <w:i w:val="0"/>
          <w:iCs w:val="0"/>
          <w:sz w:val="24"/>
          <w:szCs w:val="24"/>
          <w:lang w:val="en-US" w:eastAsia="zh-CN"/>
        </w:rPr>
        <w:t xml:space="preserve"> was</w:t>
      </w:r>
      <w:r>
        <w:rPr>
          <w:rFonts w:hint="default" w:ascii="Times New Roman" w:hAnsi="Times New Roman" w:cs="Times New Roman"/>
          <w:sz w:val="24"/>
          <w:szCs w:val="24"/>
          <w:lang w:val="en-US" w:eastAsia="zh-CN"/>
        </w:rPr>
        <w:t xml:space="preserve"> similar to the previous assessment. The correlation between </w:t>
      </w:r>
      <w:r>
        <w:rPr>
          <w:rFonts w:hint="default" w:ascii="Times New Roman" w:hAnsi="Times New Roman" w:cs="Times New Roman"/>
          <w:i/>
          <w:iCs/>
          <w:sz w:val="24"/>
          <w:szCs w:val="24"/>
          <w:lang w:val="en-US" w:eastAsia="zh-CN"/>
        </w:rPr>
        <w:t>TSC2</w:t>
      </w:r>
      <w:r>
        <w:rPr>
          <w:rFonts w:hint="default" w:ascii="Times New Roman" w:hAnsi="Times New Roman" w:cs="Times New Roman"/>
          <w:sz w:val="24"/>
          <w:szCs w:val="24"/>
          <w:lang w:val="en-US" w:eastAsia="zh-CN"/>
        </w:rPr>
        <w:t xml:space="preserve"> and TSC was definitive. R</w:t>
      </w:r>
      <w:r>
        <w:rPr>
          <w:rFonts w:hint="default" w:ascii="Times New Roman" w:hAnsi="Times New Roman" w:cs="Times New Roman"/>
          <w:color w:val="auto"/>
          <w:sz w:val="24"/>
          <w:szCs w:val="24"/>
          <w:lang w:val="en-US" w:eastAsia="zh-CN"/>
        </w:rPr>
        <w:t xml:space="preserve">eferred to the allele frequency in population data obtained from the Varcards database, </w:t>
      </w:r>
      <w:r>
        <w:rPr>
          <w:rFonts w:hint="default" w:ascii="Times New Roman" w:hAnsi="Times New Roman" w:cs="Times New Roman"/>
          <w:i w:val="0"/>
          <w:iCs w:val="0"/>
          <w:sz w:val="24"/>
          <w:szCs w:val="24"/>
          <w:lang w:val="en-US" w:eastAsia="zh-CN"/>
        </w:rPr>
        <w:t>PM2_supporting could be used. C</w:t>
      </w:r>
      <w:r>
        <w:rPr>
          <w:rFonts w:hint="default" w:ascii="Times New Roman" w:hAnsi="Times New Roman" w:cs="Times New Roman"/>
          <w:color w:val="auto"/>
          <w:sz w:val="24"/>
          <w:szCs w:val="24"/>
          <w:lang w:val="en-US" w:eastAsia="zh-CN"/>
        </w:rPr>
        <w:t>onsideration of overall functional predictions of CADD, Polyphen-2_HDIV, Polyphen-2_HVAR, REVEL and SIFT with scores of 35, 1.0, 1.0, 0.909 and 0.001 respectively,</w:t>
      </w:r>
      <w:r>
        <w:rPr>
          <w:rFonts w:hint="eastAsia" w:ascii="Times New Roman" w:hAnsi="Times New Roman" w:cs="Times New Roman"/>
          <w:color w:val="auto"/>
          <w:sz w:val="24"/>
          <w:szCs w:val="24"/>
          <w:lang w:val="en-US" w:eastAsia="zh-CN"/>
        </w:rPr>
        <w:t xml:space="preserve"> thus</w:t>
      </w:r>
      <w:r>
        <w:rPr>
          <w:rFonts w:hint="default" w:ascii="Times New Roman" w:hAnsi="Times New Roman" w:cs="Times New Roman"/>
          <w:color w:val="auto"/>
          <w:sz w:val="24"/>
          <w:szCs w:val="24"/>
          <w:lang w:val="en-US" w:eastAsia="zh-CN"/>
        </w:rPr>
        <w:t xml:space="preserve"> we used the PP3_moderate evidence. </w:t>
      </w:r>
      <w:r>
        <w:rPr>
          <w:rFonts w:hint="default" w:ascii="Times New Roman" w:hAnsi="Times New Roman" w:cs="Times New Roman"/>
          <w:i w:val="0"/>
          <w:iCs w:val="0"/>
          <w:sz w:val="24"/>
          <w:szCs w:val="24"/>
          <w:lang w:val="en-US" w:eastAsia="zh-CN"/>
        </w:rPr>
        <w:t xml:space="preserve">Located in a mutational hot spot </w:t>
      </w:r>
      <w:r>
        <w:rPr>
          <w:rFonts w:hint="eastAsia" w:ascii="Times New Roman" w:hAnsi="Times New Roman" w:cs="Times New Roman"/>
          <w:i w:val="0"/>
          <w:iCs w:val="0"/>
          <w:sz w:val="24"/>
          <w:szCs w:val="24"/>
          <w:lang w:val="en-US" w:eastAsia="zh-CN"/>
        </w:rPr>
        <w:t>according to PER viewer</w:t>
      </w:r>
      <w:r>
        <w:rPr>
          <w:rFonts w:hint="default" w:ascii="Times New Roman" w:hAnsi="Times New Roman" w:cs="Times New Roman"/>
          <w:i w:val="0"/>
          <w:iCs w:val="0"/>
          <w:sz w:val="24"/>
          <w:szCs w:val="24"/>
          <w:lang w:val="en-US" w:eastAsia="zh-CN"/>
        </w:rPr>
        <w:t xml:space="preserve">, we used the evidence PM1. </w:t>
      </w:r>
      <w:bookmarkStart w:id="2" w:name="OLE_LINK6"/>
      <w:r>
        <w:rPr>
          <w:rFonts w:hint="default" w:ascii="Times New Roman" w:hAnsi="Times New Roman" w:cs="Times New Roman"/>
          <w:i w:val="0"/>
          <w:iCs w:val="0"/>
          <w:sz w:val="24"/>
          <w:szCs w:val="24"/>
          <w:lang w:val="en-US" w:eastAsia="zh-CN"/>
        </w:rPr>
        <w:t>The same variant had been reported in a genealogy by Farach et al.</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NE.Ref.{54864607-FE7E-4D3A-BB2A-3E5A797FA4C8}</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[7]</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In which, except evidence of PM2_supporting, PM1, PP3_moderate could be used for interpretation of </w:t>
      </w:r>
      <w:r>
        <w:rPr>
          <w:rFonts w:hint="default" w:ascii="Times New Roman" w:hAnsi="Times New Roman" w:cs="Times New Roman"/>
          <w:sz w:val="24"/>
          <w:szCs w:val="24"/>
          <w:lang w:val="en-US" w:eastAsia="zh-CN"/>
        </w:rPr>
        <w:t xml:space="preserve">the variant </w:t>
      </w:r>
      <w:r>
        <w:rPr>
          <w:rFonts w:hint="default" w:ascii="Times New Roman" w:hAnsi="Times New Roman" w:cs="Times New Roman"/>
          <w:i w:val="0"/>
          <w:iCs w:val="0"/>
          <w:sz w:val="24"/>
          <w:szCs w:val="24"/>
          <w:lang w:val="en-US" w:eastAsia="zh-CN"/>
        </w:rPr>
        <w:t>c.1864C&gt;T, we considered used the evidence PP1 and PP4. In the genealogy, 5 affected segregations could be identified, and several family members had typical phenotype which was highly specific for TSC2. Thus, we considered that upgraded PP1_strong</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NE.Ref.{CDCB26BA-D9F4-4750-A1CA-4C6C73B8673C}</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[8]</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and </w:t>
      </w:r>
      <w:bookmarkEnd w:id="2"/>
      <w:r>
        <w:rPr>
          <w:rFonts w:hint="default" w:ascii="Times New Roman" w:hAnsi="Times New Roman" w:cs="Times New Roman"/>
          <w:color w:val="auto"/>
          <w:sz w:val="24"/>
          <w:szCs w:val="24"/>
          <w:lang w:val="en-US" w:eastAsia="zh-CN"/>
        </w:rPr>
        <w:t xml:space="preserve">PP4 could be used. Given that the variant </w:t>
      </w:r>
      <w:r>
        <w:rPr>
          <w:rFonts w:hint="default" w:ascii="Times New Roman" w:hAnsi="Times New Roman" w:cs="Times New Roman"/>
          <w:i w:val="0"/>
          <w:iCs w:val="0"/>
          <w:sz w:val="24"/>
          <w:szCs w:val="24"/>
          <w:lang w:val="en-US" w:eastAsia="zh-CN"/>
        </w:rPr>
        <w:t>c.1864C&gt;T had been reported in a genealogy with 5 affected segregations and the genealogy was met requirement of PP4. The same evidence PP1_strong</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NE.Ref.{679450AA-0E96-4CEC-AFDA-AE6A9D5B1587}</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[8]</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and PS4_supporting</w:t>
      </w:r>
      <w:r>
        <w:rPr>
          <w:rFonts w:hint="default" w:ascii="Times New Roman" w:hAnsi="Times New Roman" w:cs="Times New Roman"/>
          <w:i w:val="0"/>
          <w:iCs w:val="0"/>
          <w:sz w:val="24"/>
          <w:szCs w:val="24"/>
          <w:lang w:val="en-US" w:eastAsia="zh-CN"/>
        </w:rPr>
        <w:fldChar w:fldCharType="begin"/>
      </w:r>
      <w:r>
        <w:rPr>
          <w:rFonts w:hint="eastAsia" w:ascii="Times New Roman" w:hAnsi="Times New Roman" w:cs="Times New Roman"/>
          <w:i w:val="0"/>
          <w:iCs w:val="0"/>
          <w:sz w:val="24"/>
          <w:szCs w:val="24"/>
          <w:lang w:val="en-US" w:eastAsia="zh-CN"/>
        </w:rPr>
        <w:instrText xml:space="preserve"> ADDIN NE.Ref.{1A6E5C7B-D275-4246-BCA9-897668FDDF2E}</w:instrText>
      </w:r>
      <w:r>
        <w:rPr>
          <w:rFonts w:hint="default" w:ascii="Times New Roman" w:hAnsi="Times New Roman" w:cs="Times New Roman"/>
          <w:i w:val="0"/>
          <w:iCs w:val="0"/>
          <w:sz w:val="24"/>
          <w:szCs w:val="24"/>
          <w:lang w:val="en-US" w:eastAsia="zh-CN"/>
        </w:rPr>
        <w:fldChar w:fldCharType="separate"/>
      </w:r>
      <w:r>
        <w:rPr>
          <w:rFonts w:hint="default" w:ascii="Times New Roman" w:hAnsi="Times New Roman" w:eastAsia="Times New Roman"/>
          <w:color w:val="080000"/>
          <w:sz w:val="24"/>
          <w:szCs w:val="24"/>
        </w:rPr>
        <w:t>[9, 10]</w:t>
      </w:r>
      <w:r>
        <w:rPr>
          <w:rFonts w:hint="default" w:ascii="Times New Roman" w:hAnsi="Times New Roman" w:cs="Times New Roman"/>
          <w:i w:val="0"/>
          <w:iCs w:val="0"/>
          <w:sz w:val="24"/>
          <w:szCs w:val="24"/>
          <w:lang w:val="en-US" w:eastAsia="zh-CN"/>
        </w:rPr>
        <w:fldChar w:fldCharType="end"/>
      </w:r>
      <w:r>
        <w:rPr>
          <w:rFonts w:hint="default" w:ascii="Times New Roman" w:hAnsi="Times New Roman" w:cs="Times New Roman"/>
          <w:i w:val="0"/>
          <w:iCs w:val="0"/>
          <w:sz w:val="24"/>
          <w:szCs w:val="24"/>
          <w:lang w:val="en-US" w:eastAsia="zh-CN"/>
        </w:rPr>
        <w:t xml:space="preserve"> could be used. Under the </w:t>
      </w:r>
      <w:r>
        <w:rPr>
          <w:rFonts w:hint="default" w:ascii="Times New Roman" w:hAnsi="Times New Roman" w:cs="Times New Roman"/>
          <w:sz w:val="24"/>
          <w:szCs w:val="24"/>
          <w:lang w:val="en-US" w:eastAsia="zh-CN"/>
        </w:rPr>
        <w:t xml:space="preserve">Bayesian framework, we considered that </w:t>
      </w:r>
      <w:r>
        <w:rPr>
          <w:rFonts w:hint="default" w:ascii="Times New Roman" w:hAnsi="Times New Roman" w:cs="Times New Roman"/>
          <w:color w:val="auto"/>
          <w:sz w:val="24"/>
          <w:szCs w:val="24"/>
          <w:lang w:val="en-US" w:eastAsia="zh-CN"/>
        </w:rPr>
        <w:t xml:space="preserve">the variant </w:t>
      </w:r>
      <w:r>
        <w:rPr>
          <w:rFonts w:hint="default" w:ascii="Times New Roman" w:hAnsi="Times New Roman" w:cs="Times New Roman"/>
          <w:i w:val="0"/>
          <w:iCs w:val="0"/>
          <w:sz w:val="24"/>
          <w:szCs w:val="24"/>
          <w:lang w:val="en-US" w:eastAsia="zh-CN"/>
        </w:rPr>
        <w:t xml:space="preserve">c.1864C&gt;T was pathogenic with 10 points. </w:t>
      </w:r>
      <w:r>
        <w:rPr>
          <w:rFonts w:hint="default" w:ascii="Times New Roman" w:hAnsi="Times New Roman" w:cs="Times New Roman"/>
          <w:sz w:val="24"/>
          <w:szCs w:val="24"/>
          <w:lang w:val="en-US" w:eastAsia="zh-CN"/>
        </w:rPr>
        <w:t xml:space="preserve">Those pathogenic variants in </w:t>
      </w:r>
      <w:r>
        <w:rPr>
          <w:rFonts w:hint="default" w:ascii="Times New Roman" w:hAnsi="Times New Roman" w:cs="Times New Roman"/>
          <w:i/>
          <w:iCs/>
          <w:sz w:val="24"/>
          <w:szCs w:val="24"/>
          <w:lang w:val="en-US" w:eastAsia="zh-CN"/>
        </w:rPr>
        <w:t>TSC2</w:t>
      </w:r>
      <w:r>
        <w:rPr>
          <w:rFonts w:hint="default" w:ascii="Times New Roman" w:hAnsi="Times New Roman" w:cs="Times New Roman"/>
          <w:sz w:val="24"/>
          <w:szCs w:val="24"/>
          <w:lang w:val="en-US" w:eastAsia="zh-CN"/>
        </w:rPr>
        <w:t xml:space="preserve"> should be an independent diagnostic criterion of TSC2. Regardless the clinical findings, patients with pathogenic </w:t>
      </w:r>
      <w:r>
        <w:rPr>
          <w:rFonts w:hint="default" w:ascii="Times New Roman" w:hAnsi="Times New Roman" w:cs="Times New Roman"/>
          <w:i/>
          <w:iCs/>
          <w:sz w:val="24"/>
          <w:szCs w:val="24"/>
          <w:lang w:val="en-US" w:eastAsia="zh-CN"/>
        </w:rPr>
        <w:t>TSC2</w:t>
      </w:r>
      <w:r>
        <w:rPr>
          <w:rFonts w:hint="default" w:ascii="Times New Roman" w:hAnsi="Times New Roman" w:cs="Times New Roman"/>
          <w:sz w:val="24"/>
          <w:szCs w:val="24"/>
          <w:lang w:val="en-US" w:eastAsia="zh-CN"/>
        </w:rPr>
        <w:t xml:space="preserve"> mutations can be diagnosed or predicted as TSC2. And the guidelines of the ACMG were essential basis for evaluation of genetic variants pathogenicity.</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NE.Ref.{57DB3503-B7B5-47BB-999B-0D92FF39D429}</w:instrText>
      </w:r>
      <w:r>
        <w:rPr>
          <w:rFonts w:hint="default" w:ascii="Times New Roman" w:hAnsi="Times New Roman" w:cs="Times New Roman"/>
          <w:sz w:val="24"/>
          <w:szCs w:val="24"/>
          <w:lang w:val="en-US" w:eastAsia="zh-CN"/>
        </w:rPr>
        <w:fldChar w:fldCharType="separate"/>
      </w:r>
      <w:r>
        <w:rPr>
          <w:rFonts w:hint="default" w:ascii="Times New Roman" w:hAnsi="Times New Roman" w:eastAsia="Times New Roman"/>
          <w:color w:val="080000"/>
          <w:sz w:val="24"/>
          <w:szCs w:val="24"/>
        </w:rPr>
        <w:t>[11, 12]</w:t>
      </w:r>
      <w:r>
        <w:rPr>
          <w:rFonts w:hint="default" w:ascii="Times New Roman" w:hAnsi="Times New Roman" w:cs="Times New Roman"/>
          <w:sz w:val="24"/>
          <w:szCs w:val="24"/>
          <w:lang w:val="en-US" w:eastAsia="zh-CN"/>
        </w:rPr>
        <w:fldChar w:fldCharType="end"/>
      </w:r>
      <w:r>
        <w:fldChar w:fldCharType="begin"/>
      </w:r>
      <w:r>
        <w:rPr>
          <w:rFonts w:hint="eastAsia"/>
          <w:lang w:eastAsia="zh-CN"/>
        </w:rPr>
        <w:instrText xml:space="preserve"> ADDIN NE.Bib</w:instrText>
      </w:r>
      <w:r>
        <w:fldChar w:fldCharType="separate"/>
      </w:r>
    </w:p>
    <w:p>
      <w:pPr>
        <w:spacing w:beforeLines="0" w:afterLines="0"/>
        <w:jc w:val="center"/>
        <w:rPr>
          <w:rFonts w:hint="default"/>
          <w:sz w:val="24"/>
          <w:szCs w:val="24"/>
        </w:rPr>
      </w:pPr>
      <w:r>
        <w:rPr>
          <w:rFonts w:hint="default" w:ascii="Times New Roman" w:hAnsi="Times New Roman" w:eastAsia="Times New Roman"/>
          <w:b/>
          <w:color w:val="000000"/>
          <w:sz w:val="40"/>
          <w:szCs w:val="24"/>
        </w:rPr>
        <w:t>References:</w:t>
      </w:r>
    </w:p>
    <w:p>
      <w:pPr>
        <w:spacing w:beforeLines="0" w:afterLines="0"/>
        <w:rPr>
          <w:rFonts w:hint="default"/>
          <w:sz w:val="24"/>
          <w:szCs w:val="24"/>
        </w:rPr>
      </w:pPr>
      <w:r>
        <w:rPr>
          <w:rFonts w:hint="default" w:ascii="Times New Roman" w:hAnsi="Times New Roman" w:eastAsia="Times New Roman"/>
          <w:color w:val="000000"/>
          <w:sz w:val="20"/>
          <w:szCs w:val="24"/>
        </w:rPr>
        <w:t xml:space="preserve"> [1].</w:t>
      </w:r>
      <w:r>
        <w:rPr>
          <w:rFonts w:hint="default" w:ascii="Times New Roman" w:hAnsi="Times New Roman" w:eastAsia="Times New Roman"/>
          <w:color w:val="000000"/>
          <w:sz w:val="20"/>
          <w:szCs w:val="24"/>
        </w:rPr>
        <w:tab/>
      </w:r>
      <w:bookmarkStart w:id="3" w:name="_neb99F33EDF_36F7_442B_A8EC_F0FF2AD4B548"/>
      <w:r>
        <w:rPr>
          <w:rFonts w:hint="default" w:ascii="Times New Roman" w:hAnsi="Times New Roman" w:eastAsia="Times New Roman"/>
          <w:color w:val="000000"/>
          <w:sz w:val="20"/>
          <w:szCs w:val="24"/>
        </w:rPr>
        <w:t>Hayashi, M. and T. Suzuki, Dyschromatosis symmetrica hereditaria. J Dermatol, 2013. 40(5): p. 336-43.</w:t>
      </w:r>
      <w:bookmarkEnd w:id="3"/>
    </w:p>
    <w:p>
      <w:pPr>
        <w:spacing w:beforeLines="0" w:afterLines="0"/>
        <w:rPr>
          <w:rFonts w:hint="default"/>
          <w:sz w:val="24"/>
          <w:szCs w:val="24"/>
        </w:rPr>
      </w:pPr>
      <w:r>
        <w:rPr>
          <w:rFonts w:hint="default" w:ascii="Times New Roman" w:hAnsi="Times New Roman" w:eastAsia="Times New Roman"/>
          <w:color w:val="000000"/>
          <w:sz w:val="20"/>
          <w:szCs w:val="24"/>
        </w:rPr>
        <w:t xml:space="preserve"> [2].</w:t>
      </w:r>
      <w:r>
        <w:rPr>
          <w:rFonts w:hint="default" w:ascii="Times New Roman" w:hAnsi="Times New Roman" w:eastAsia="Times New Roman"/>
          <w:color w:val="000000"/>
          <w:sz w:val="20"/>
          <w:szCs w:val="24"/>
        </w:rPr>
        <w:tab/>
      </w:r>
      <w:bookmarkStart w:id="4" w:name="_nebAB2A7199_A1E1_4DE5_AE25_325D7F349727"/>
      <w:r>
        <w:rPr>
          <w:rFonts w:hint="default" w:ascii="Times New Roman" w:hAnsi="Times New Roman" w:eastAsia="Times New Roman"/>
          <w:color w:val="000000"/>
          <w:sz w:val="20"/>
          <w:szCs w:val="24"/>
        </w:rPr>
        <w:t>Colombo, M., et al., Transcriptome-wide identification of NMD-targeted human mRNAs reveals extensive redundancy between SMG6- and SMG7-mediated degradation pathways. RNA, 2017. 23(2): p. 189-201.</w:t>
      </w:r>
      <w:bookmarkEnd w:id="4"/>
    </w:p>
    <w:p>
      <w:pPr>
        <w:spacing w:beforeLines="0" w:afterLines="0"/>
        <w:rPr>
          <w:rFonts w:hint="default"/>
          <w:sz w:val="24"/>
          <w:szCs w:val="24"/>
        </w:rPr>
      </w:pPr>
      <w:r>
        <w:rPr>
          <w:rFonts w:hint="default" w:ascii="Times New Roman" w:hAnsi="Times New Roman" w:eastAsia="Times New Roman"/>
          <w:color w:val="000000"/>
          <w:sz w:val="20"/>
          <w:szCs w:val="24"/>
        </w:rPr>
        <w:t xml:space="preserve"> [3].</w:t>
      </w:r>
      <w:r>
        <w:rPr>
          <w:rFonts w:hint="default" w:ascii="Times New Roman" w:hAnsi="Times New Roman" w:eastAsia="Times New Roman"/>
          <w:color w:val="000000"/>
          <w:sz w:val="20"/>
          <w:szCs w:val="24"/>
        </w:rPr>
        <w:tab/>
      </w:r>
      <w:bookmarkStart w:id="5" w:name="_neb4CEFB68A_6B4E_419C_A0A9_B964441E2273"/>
      <w:r>
        <w:rPr>
          <w:rFonts w:hint="default" w:ascii="Times New Roman" w:hAnsi="Times New Roman" w:eastAsia="Times New Roman"/>
          <w:color w:val="000000"/>
          <w:sz w:val="20"/>
          <w:szCs w:val="24"/>
        </w:rPr>
        <w:t>Karousis, E.D. and O. Muhlemann, Nonsense-Mediated mRNA Decay Begins Where Translation Ends. Cold Spring Harb Perspect Biol, 2019. 11(2).</w:t>
      </w:r>
      <w:bookmarkEnd w:id="5"/>
    </w:p>
    <w:p>
      <w:pPr>
        <w:spacing w:beforeLines="0" w:afterLines="0"/>
        <w:rPr>
          <w:rFonts w:hint="default"/>
          <w:sz w:val="24"/>
          <w:szCs w:val="24"/>
        </w:rPr>
      </w:pPr>
      <w:r>
        <w:rPr>
          <w:rFonts w:hint="default" w:ascii="Times New Roman" w:hAnsi="Times New Roman" w:eastAsia="Times New Roman"/>
          <w:color w:val="000000"/>
          <w:sz w:val="20"/>
          <w:szCs w:val="24"/>
        </w:rPr>
        <w:t xml:space="preserve"> [4].</w:t>
      </w:r>
      <w:r>
        <w:rPr>
          <w:rFonts w:hint="default" w:ascii="Times New Roman" w:hAnsi="Times New Roman" w:eastAsia="Times New Roman"/>
          <w:color w:val="000000"/>
          <w:sz w:val="20"/>
          <w:szCs w:val="24"/>
        </w:rPr>
        <w:tab/>
      </w:r>
      <w:bookmarkStart w:id="6" w:name="_nebE273AD95_E020_4428_B3F2_EDC1F03D152E"/>
      <w:r>
        <w:rPr>
          <w:rFonts w:hint="default" w:ascii="Times New Roman" w:hAnsi="Times New Roman" w:eastAsia="Times New Roman"/>
          <w:color w:val="000000"/>
          <w:sz w:val="20"/>
          <w:szCs w:val="24"/>
        </w:rPr>
        <w:t>Abou, T.A., et al., Recommendations for interpreting the loss of function PVS1 ACMG/AMP variant criterion. Hum Mutat, 2018. 39(11): p. 1517-1524.</w:t>
      </w:r>
      <w:bookmarkEnd w:id="6"/>
    </w:p>
    <w:p>
      <w:pPr>
        <w:spacing w:beforeLines="0" w:afterLines="0"/>
        <w:rPr>
          <w:rFonts w:hint="default"/>
          <w:sz w:val="24"/>
          <w:szCs w:val="24"/>
        </w:rPr>
      </w:pPr>
      <w:r>
        <w:rPr>
          <w:rFonts w:hint="default" w:ascii="Times New Roman" w:hAnsi="Times New Roman" w:eastAsia="Times New Roman"/>
          <w:color w:val="000000"/>
          <w:sz w:val="20"/>
          <w:szCs w:val="24"/>
        </w:rPr>
        <w:t xml:space="preserve"> [5].</w:t>
      </w:r>
      <w:r>
        <w:rPr>
          <w:rFonts w:hint="default" w:ascii="Times New Roman" w:hAnsi="Times New Roman" w:eastAsia="Times New Roman"/>
          <w:color w:val="000000"/>
          <w:sz w:val="20"/>
          <w:szCs w:val="24"/>
        </w:rPr>
        <w:tab/>
      </w:r>
      <w:bookmarkStart w:id="7" w:name="_neb06B433B4_811A_4524_887B_4FC695DED517"/>
      <w:r>
        <w:rPr>
          <w:rFonts w:hint="default" w:ascii="Times New Roman" w:hAnsi="Times New Roman" w:eastAsia="Times New Roman"/>
          <w:color w:val="000000"/>
          <w:sz w:val="20"/>
          <w:szCs w:val="24"/>
        </w:rPr>
        <w:t>Davieson, C.D., et al., DNA variant classification-reconsidering "allele rarity" and "phenotype" criteria in ACMG/AMP guidelines. Eur J Med Genet, 2021. 64(10): p. 104312.</w:t>
      </w:r>
      <w:bookmarkEnd w:id="7"/>
    </w:p>
    <w:p>
      <w:pPr>
        <w:spacing w:beforeLines="0" w:afterLines="0"/>
        <w:rPr>
          <w:rFonts w:hint="default"/>
          <w:sz w:val="24"/>
          <w:szCs w:val="24"/>
        </w:rPr>
      </w:pPr>
      <w:r>
        <w:rPr>
          <w:rFonts w:hint="default" w:ascii="Times New Roman" w:hAnsi="Times New Roman" w:eastAsia="Times New Roman"/>
          <w:color w:val="000000"/>
          <w:sz w:val="20"/>
          <w:szCs w:val="24"/>
        </w:rPr>
        <w:t xml:space="preserve"> [6].</w:t>
      </w:r>
      <w:r>
        <w:rPr>
          <w:rFonts w:hint="default" w:ascii="Times New Roman" w:hAnsi="Times New Roman" w:eastAsia="Times New Roman"/>
          <w:color w:val="000000"/>
          <w:sz w:val="20"/>
          <w:szCs w:val="24"/>
        </w:rPr>
        <w:tab/>
      </w:r>
      <w:bookmarkStart w:id="8" w:name="_neb6EE49022_BE72_48F5_975C_1F07678911E7"/>
      <w:r>
        <w:rPr>
          <w:rFonts w:hint="default" w:ascii="Times New Roman" w:hAnsi="Times New Roman" w:eastAsia="Times New Roman"/>
          <w:color w:val="000000"/>
          <w:sz w:val="20"/>
          <w:szCs w:val="24"/>
        </w:rPr>
        <w:t>Crow, Y., et al., Cardiac valve involvement in ADAR-related type I interferonopathy. J Med Genet, 2020. 57(7): p. 475-478.</w:t>
      </w:r>
      <w:bookmarkEnd w:id="8"/>
    </w:p>
    <w:p>
      <w:pPr>
        <w:spacing w:beforeLines="0" w:afterLines="0"/>
        <w:rPr>
          <w:rFonts w:hint="default"/>
          <w:sz w:val="24"/>
          <w:szCs w:val="24"/>
        </w:rPr>
      </w:pPr>
      <w:r>
        <w:rPr>
          <w:rFonts w:hint="default" w:ascii="Times New Roman" w:hAnsi="Times New Roman" w:eastAsia="Times New Roman"/>
          <w:color w:val="000000"/>
          <w:sz w:val="20"/>
          <w:szCs w:val="24"/>
        </w:rPr>
        <w:t xml:space="preserve"> [7].</w:t>
      </w:r>
      <w:r>
        <w:rPr>
          <w:rFonts w:hint="default" w:ascii="Times New Roman" w:hAnsi="Times New Roman" w:eastAsia="Times New Roman"/>
          <w:color w:val="000000"/>
          <w:sz w:val="20"/>
          <w:szCs w:val="24"/>
        </w:rPr>
        <w:tab/>
      </w:r>
      <w:bookmarkStart w:id="9" w:name="_neb617D974B_34C7_48E4_A5BD_B65948F71489"/>
      <w:r>
        <w:rPr>
          <w:rFonts w:hint="default" w:ascii="Times New Roman" w:hAnsi="Times New Roman" w:eastAsia="Times New Roman"/>
          <w:color w:val="000000"/>
          <w:sz w:val="20"/>
          <w:szCs w:val="24"/>
        </w:rPr>
        <w:t>Farach, L.S., et al., TSC2 c.1864C&gt;T variant associated with mild cases of tuberous sclerosis complex. Am J Med Genet A, 2017. 173(3): p. 771-775.</w:t>
      </w:r>
      <w:bookmarkEnd w:id="9"/>
    </w:p>
    <w:p>
      <w:pPr>
        <w:spacing w:beforeLines="0" w:afterLines="0"/>
        <w:rPr>
          <w:rFonts w:hint="default"/>
          <w:sz w:val="24"/>
          <w:szCs w:val="24"/>
        </w:rPr>
      </w:pPr>
      <w:r>
        <w:rPr>
          <w:rFonts w:hint="default" w:ascii="Times New Roman" w:hAnsi="Times New Roman" w:eastAsia="Times New Roman"/>
          <w:color w:val="000000"/>
          <w:sz w:val="20"/>
          <w:szCs w:val="24"/>
        </w:rPr>
        <w:t xml:space="preserve"> [8].</w:t>
      </w:r>
      <w:r>
        <w:rPr>
          <w:rFonts w:hint="default" w:ascii="Times New Roman" w:hAnsi="Times New Roman" w:eastAsia="Times New Roman"/>
          <w:color w:val="000000"/>
          <w:sz w:val="20"/>
          <w:szCs w:val="24"/>
        </w:rPr>
        <w:tab/>
      </w:r>
      <w:bookmarkStart w:id="10" w:name="_neb3D80DF32_1B92_4BBA_8E91_393F8E3BE74C"/>
      <w:r>
        <w:rPr>
          <w:rFonts w:hint="default" w:ascii="Times New Roman" w:hAnsi="Times New Roman" w:eastAsia="Times New Roman"/>
          <w:color w:val="000000"/>
          <w:sz w:val="20"/>
          <w:szCs w:val="24"/>
        </w:rPr>
        <w:t>Oza, A.M., et al., Expert specification of the ACMG/AMP variant interpretation guidelines for  genetic hearing loss. Hum Mutat, 2018. 39(11): p. 1593-1613.</w:t>
      </w:r>
      <w:bookmarkEnd w:id="10"/>
    </w:p>
    <w:p>
      <w:pPr>
        <w:spacing w:beforeLines="0" w:afterLines="0"/>
        <w:rPr>
          <w:rFonts w:hint="default"/>
          <w:sz w:val="24"/>
          <w:szCs w:val="24"/>
        </w:rPr>
      </w:pPr>
      <w:r>
        <w:rPr>
          <w:rFonts w:hint="default" w:ascii="Times New Roman" w:hAnsi="Times New Roman" w:eastAsia="Times New Roman"/>
          <w:color w:val="000000"/>
          <w:sz w:val="20"/>
          <w:szCs w:val="24"/>
        </w:rPr>
        <w:t xml:space="preserve"> [9].</w:t>
      </w:r>
      <w:r>
        <w:rPr>
          <w:rFonts w:hint="default" w:ascii="Times New Roman" w:hAnsi="Times New Roman" w:eastAsia="Times New Roman"/>
          <w:color w:val="000000"/>
          <w:sz w:val="20"/>
          <w:szCs w:val="24"/>
        </w:rPr>
        <w:tab/>
      </w:r>
      <w:bookmarkStart w:id="11" w:name="_nebDCF153DA_820D_458C_81DF_E04C693BF749"/>
      <w:r>
        <w:rPr>
          <w:rFonts w:hint="default" w:ascii="Times New Roman" w:hAnsi="Times New Roman" w:eastAsia="Times New Roman"/>
          <w:color w:val="000000"/>
          <w:sz w:val="20"/>
          <w:szCs w:val="24"/>
        </w:rPr>
        <w:t>Zhang, J., et al., Clinical Interpretation of Sequence Variants. Curr Protoc Hum Genet, 2020. 106(1): p. e98.</w:t>
      </w:r>
      <w:bookmarkEnd w:id="11"/>
    </w:p>
    <w:p>
      <w:pPr>
        <w:spacing w:beforeLines="0" w:afterLines="0"/>
        <w:rPr>
          <w:rFonts w:hint="default"/>
          <w:sz w:val="24"/>
          <w:szCs w:val="24"/>
        </w:rPr>
      </w:pPr>
      <w:r>
        <w:rPr>
          <w:rFonts w:hint="default" w:ascii="Times New Roman" w:hAnsi="Times New Roman" w:eastAsia="Times New Roman"/>
          <w:color w:val="000000"/>
          <w:sz w:val="20"/>
          <w:szCs w:val="24"/>
        </w:rPr>
        <w:t>[10].</w:t>
      </w:r>
      <w:r>
        <w:rPr>
          <w:rFonts w:hint="default" w:ascii="Times New Roman" w:hAnsi="Times New Roman" w:eastAsia="Times New Roman"/>
          <w:color w:val="000000"/>
          <w:sz w:val="20"/>
          <w:szCs w:val="24"/>
        </w:rPr>
        <w:tab/>
      </w:r>
      <w:bookmarkStart w:id="12" w:name="_neb9642904F_2DE3_48BC_8F28_7516EE12A836"/>
      <w:r>
        <w:rPr>
          <w:rFonts w:hint="default" w:ascii="Times New Roman" w:hAnsi="Times New Roman" w:eastAsia="Times New Roman"/>
          <w:color w:val="000000"/>
          <w:sz w:val="20"/>
          <w:szCs w:val="24"/>
        </w:rPr>
        <w:t>Lee, K., et al., Specifications of the ACMG/AMP variant curation guidelines for the analysis of  germline CDH1 sequence variants. Hum Mutat, 2018. 39(11): p. 1553-1568.</w:t>
      </w:r>
      <w:bookmarkEnd w:id="12"/>
    </w:p>
    <w:p>
      <w:pPr>
        <w:spacing w:beforeLines="0" w:afterLines="0"/>
        <w:rPr>
          <w:rFonts w:hint="default"/>
          <w:sz w:val="24"/>
          <w:szCs w:val="24"/>
        </w:rPr>
      </w:pPr>
      <w:r>
        <w:rPr>
          <w:rFonts w:hint="default" w:ascii="Times New Roman" w:hAnsi="Times New Roman" w:eastAsia="Times New Roman"/>
          <w:color w:val="000000"/>
          <w:sz w:val="20"/>
          <w:szCs w:val="24"/>
        </w:rPr>
        <w:t>[11].</w:t>
      </w:r>
      <w:r>
        <w:rPr>
          <w:rFonts w:hint="default" w:ascii="Times New Roman" w:hAnsi="Times New Roman" w:eastAsia="Times New Roman"/>
          <w:color w:val="000000"/>
          <w:sz w:val="20"/>
          <w:szCs w:val="24"/>
        </w:rPr>
        <w:tab/>
      </w:r>
      <w:bookmarkStart w:id="13" w:name="_nebF339CBFC_D9DA_45CD_BAEE_8AA2B0E13AB1"/>
      <w:r>
        <w:rPr>
          <w:rFonts w:hint="default" w:ascii="Times New Roman" w:hAnsi="Times New Roman" w:eastAsia="Times New Roman"/>
          <w:color w:val="000000"/>
          <w:sz w:val="20"/>
          <w:szCs w:val="24"/>
        </w:rPr>
        <w:t>Northrup, H. and D.A. Krueger, Tuberous sclerosis complex diagnostic criteria update: recommendations of the 2012 Iinternational Tuberous Sclerosis Complex Consensus Conference. Pediatr Neurol, 2013. 49(4): p. 243-54.</w:t>
      </w:r>
      <w:bookmarkEnd w:id="13"/>
    </w:p>
    <w:p>
      <w:pPr>
        <w:spacing w:beforeLines="0" w:afterLines="0"/>
        <w:rPr>
          <w:rFonts w:hint="default"/>
          <w:sz w:val="24"/>
          <w:szCs w:val="24"/>
        </w:rPr>
      </w:pPr>
      <w:r>
        <w:rPr>
          <w:rFonts w:hint="default" w:ascii="Times New Roman" w:hAnsi="Times New Roman" w:eastAsia="Times New Roman"/>
          <w:color w:val="000000"/>
          <w:sz w:val="20"/>
          <w:szCs w:val="24"/>
        </w:rPr>
        <w:t>[12].</w:t>
      </w:r>
      <w:r>
        <w:rPr>
          <w:rFonts w:hint="default" w:ascii="Times New Roman" w:hAnsi="Times New Roman" w:eastAsia="Times New Roman"/>
          <w:color w:val="000000"/>
          <w:sz w:val="20"/>
          <w:szCs w:val="24"/>
        </w:rPr>
        <w:tab/>
      </w:r>
      <w:bookmarkStart w:id="14" w:name="_neb4341A395_BCB6_4598_AA67_55B7660BC118"/>
      <w:r>
        <w:rPr>
          <w:rFonts w:hint="default" w:ascii="Times New Roman" w:hAnsi="Times New Roman" w:eastAsia="Times New Roman"/>
          <w:color w:val="000000"/>
          <w:sz w:val="20"/>
          <w:szCs w:val="24"/>
        </w:rPr>
        <w:t>Northrup, H., et al., Updated International Tuberous Sclerosis Complex Diagnostic Criteria and Surveillance and Management Recommendations. Pediatr Neurol, 2021. 123: p. 50-66.</w:t>
      </w:r>
      <w:bookmarkEnd w:id="14"/>
    </w:p>
    <w:p>
      <w:r>
        <w:fldChar w:fldCharType="end"/>
      </w: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2MzVjM2FkOTgwOTI3MTA2YTYzYjUyYTJkYjc5NTMifQ=="/>
    <w:docVar w:name="NE.Ref{1A6E5C7B-D275-4246-BCA9-897668FDDF2E}" w:val=" ADDIN NE.Ref.{1A6E5C7B-D275-4246-BCA9-897668FDDF2E}&lt;Citation&gt;&lt;Group&gt;&lt;References&gt;&lt;Item&gt;&lt;ID&gt;39&lt;/ID&gt;&lt;UID&gt;{DCF153DA-820D-458C-81DF-E04C693BF749}&lt;/UID&gt;&lt;Title&gt;Clinical Interpretation of Sequence Variants&lt;/Title&gt;&lt;Template&gt;Journal Article&lt;/Template&gt;&lt;Star&gt;0&lt;/Star&gt;&lt;Tag&gt;0&lt;/Tag&gt;&lt;Author&gt;Zhang, J; Yao, Y; He, H; Shen, J&lt;/Author&gt;&lt;Year&gt;2020&lt;/Year&gt;&lt;Details&gt;&lt;_accession_num&gt;32176464&lt;/_accession_num&gt;&lt;_author_adr&gt;Department of Reproductive Genetics, International Peace Maternity and Child  Health Hospital, School of Medicine, Shanghai Jiao Tong University, Shanghai,  China.; Department of Pathology, Brigham and Women&amp;apos;s Hospital, Harvard Medical School,  Boston, Massachusetts.; Department of Pathology, Brigham and Women&amp;apos;s Hospital, Harvard Medical School,  Boston, Massachusetts.; Medical Genetics Center, Maternal and Child Health Hospital of Hubei Province,  Wuhan, China.; Department of Pathology, Brigham and Women&amp;apos;s Hospital, Harvard Medical School,  Boston, Massachusetts.; Department of Otorhinolaryngology, Qilu Hospital of Shandong University, Jinan,  China.; NHC Key Laboratory of Otorhinolaryngology, Shandong University, Jinan, China.; Department of Pathology, Brigham and Women&amp;apos;s Hospital, Harvard Medical School,  Boston, Massachusetts.&lt;/_author_adr&gt;&lt;_created&gt;64647200&lt;/_created&gt;&lt;_date&gt;2020-06-01&lt;/_date&gt;&lt;_date_display&gt;2020 Jun&lt;/_date_display&gt;&lt;_db_updated&gt;PubMed&lt;/_db_updated&gt;&lt;_doi&gt;10.1002/cphg.98&lt;/_doi&gt;&lt;_isbn&gt;1934-8258 (Electronic); 1934-8266 (Print); 1934-8258 (Linking)&lt;/_isbn&gt;&lt;_issue&gt;1&lt;/_issue&gt;&lt;_journal&gt;Curr Protoc Hum Genet&lt;/_journal&gt;&lt;_keywords&gt;ACMG/AMP recommendations; ClinGen; clinical genetic testing; sequence variant interpretation; variant reevaluation&lt;/_keywords&gt;&lt;_language&gt;eng&lt;/_language&gt;&lt;_modified&gt;64647200&lt;/_modified&gt;&lt;_ori_publication&gt;(c) 2020 John Wiley &amp;amp; Sons, Inc.&lt;/_ori_publication&gt;&lt;_pages&gt;e98&lt;/_pages&gt;&lt;_subject_headings&gt;Genetic Testing/*methods; *Genetic Variation; *Genome, Human; Genomics/*methods; High-Throughput Nucleotide Sequencing/*methods; Humans; Information Dissemination; Sequence Analysis, DNA/*methods; *Software&lt;/_subject_headings&gt;&lt;_tertiary_title&gt;Current protocols in human genetics&lt;/_tertiary_title&gt;&lt;_type_work&gt;Journal Article; Research Support, N.I.H., Extramural; Research Support, Non-U.S. Gov&amp;apos;t&lt;/_type_work&gt;&lt;_url&gt;http://www.ncbi.nlm.nih.gov/entrez/query.fcgi?cmd=Retrieve&amp;amp;db=pubmed&amp;amp;dopt=Abstract&amp;amp;list_uids=32176464&amp;amp;query_hl=1&lt;/_url&gt;&lt;_volume&gt;106&lt;/_volume&gt;&lt;/Details&gt;&lt;Extra&gt;&lt;DBUID&gt;{1AFA75B8-11BD-4CAE-A4DB-24C8F05F4893}&lt;/DBUID&gt;&lt;/Extra&gt;&lt;/Item&gt;&lt;/References&gt;&lt;/Group&gt;&lt;Group&gt;&lt;References&gt;&lt;Item&gt;&lt;ID&gt;40&lt;/ID&gt;&lt;UID&gt;{9642904F-2DE3-48BC-8F28-7516EE12A836}&lt;/UID&gt;&lt;Title&gt;Specifications of the ACMG/AMP variant curation guidelines for the analysis of  germline CDH1 sequence variants&lt;/Title&gt;&lt;Template&gt;Journal Article&lt;/Template&gt;&lt;Star&gt;0&lt;/Star&gt;&lt;Tag&gt;0&lt;/Tag&gt;&lt;Author&gt;Lee, K; Krempely, K; Roberts, M E; Anderson, M J; Carneiro, F; Chao, E; Dixon, K; Figueiredo, J; Ghosh, R; Huntsman, D; Kaurah, P; Kesserwan, C; Landrith, T; Li, S; Mensenkamp, A R; Oliveira, C; Pardo, C; Pesaran, T; Richardson, M; Slavin, T P; Spurdle, A B; Trapp, M; Witkowski, L; Yi, C S; Zhang, L; Plon, S E; Schrader, K A; Karam, R&lt;/Author&gt;&lt;Year&gt;2018&lt;/Year&gt;&lt;Details&gt;&lt;_accession_num&gt;30311375&lt;/_accession_num&gt;&lt;_author_adr&gt;Department of Genetics, University of North Carolina at Chapel Hill, Chapel Hill,  North Carolina.; Ambry Genetics, Aliso Viejo, California.; GeneDx, Gaithersburg, Maryland.; Invitae Corporation, San Francisco, California.; i3S, Istituto de Investigacao e Inovacao em Saude &amp;amp; Ipatimup, Institute of  Molecular Pathology and Immunology of the University of Porto, Porto, Portugal.; Ambry Genetics, Aliso Viejo, California.; University of California Irvine, Irvine, California.; University of British Columbia, Vancouver, BC, Canada.; i3S, Istituto de Investigacao e Inovacao em Saude &amp;amp; Ipatimup, Institute of  Molecular Pathology and Immunology of the University of Porto, Porto, Portugal.; Baylor College of Medicine, Houston, Texas.; University of British Columbia, Vancouver, BC, Canada.; University of British Columbia, Vancouver, BC, Canada.; St. Jude Children&amp;apos;s Research Hospital, Memphis, Tennessee.; Ambry Genetics, Aliso Viejo, California.; Ambry Genetics, Aliso Viejo, California.; Radboud University Medical Centre, Nijmegen, the Netherlands.; i3S, Istituto de Investigacao e Inovacao em Saude &amp;amp; Ipatimup, Institute of  Molecular Pathology and Immunology of the University of Porto, Porto, Portugal.; Invitae Corporation, San Francisco, California.; Ambry Genetics, Aliso Viejo, California.; University of British Columbia, Vancouver, BC, Canada.; Department of Medical Oncology and Therapeutics Research, City of Hope, Duarte,  California.; QIMR Berghofer Medical Research Institute, Brisbane, Australia.; Department of Genetics, University of North Carolina at Chapel Hill, Chapel Hill,  North Carolina.; Laboratory for Molecular Medicine, Partners Healthcare Personalized Medicine,  Cambridge, Massachusetts.; Ambry Genetics, Aliso Viejo, California.; Memorial Sloan Kettering, Memorial Sloan Kettering Cancer Center, New York, New  York.; Baylor College of Medicine, Houston, Texas.; University of British Columbia, Vancouver, BC, Canada.; Ambry Genetics, Aliso Viejo, California.&lt;/_author_adr&gt;&lt;_collection_scope&gt;SCI;SCIE&lt;/_collection_scope&gt;&lt;_created&gt;64647201&lt;/_created&gt;&lt;_date&gt;2018-11-01&lt;/_date&gt;&lt;_date_display&gt;2018 Nov&lt;/_date_display&gt;&lt;_db_updated&gt;PubMed&lt;/_db_updated&gt;&lt;_doi&gt;10.1002/humu.23650&lt;/_doi&gt;&lt;_impact_factor&gt;   4.878&lt;/_impact_factor&gt;&lt;_isbn&gt;1098-1004 (Electronic); 1059-7794 (Print); 1059-7794 (Linking)&lt;/_isbn&gt;&lt;_issue&gt;11&lt;/_issue&gt;&lt;_journal&gt;Hum Mutat&lt;/_journal&gt;&lt;_keywords&gt;ACMG/AMP Variant Curation Guidelines; CDH1; ClinGen; ClinVar; hereditary diffuse gastric cancer; lobular breast cancer&lt;/_keywords&gt;&lt;_language&gt;eng&lt;/_language&gt;&lt;_modified&gt;64647201&lt;/_modified&gt;&lt;_ori_publication&gt;(c) 2018 Wiley Periodicals, Inc.&lt;/_ori_publication&gt;&lt;_pages&gt;1553-1568&lt;/_pages&gt;&lt;_subject_headings&gt;Alleles; Computational Biology/methods; Genetic Testing/*methods; Genetic Variation/genetics; Genome, Human/*genetics; Genomics/methods; High-Throughput Nucleotide Sequencing; Humans; Mutation/genetics; Sequence Analysis, DNA/methods; Societies, Medical; United States&lt;/_subject_headings&gt;&lt;_tertiary_title&gt;Human mutation&lt;/_tertiary_title&gt;&lt;_type_work&gt;Journal Article; Research Support, N.I.H., Extramural; Research Support, Non-U.S. Gov&amp;apos;t&lt;/_type_work&gt;&lt;_url&gt;http://www.ncbi.nlm.nih.gov/entrez/query.fcgi?cmd=Retrieve&amp;amp;db=pubmed&amp;amp;dopt=Abstract&amp;amp;list_uids=30311375&amp;amp;query_hl=1&lt;/_url&gt;&lt;_volume&gt;39&lt;/_volume&gt;&lt;/Details&gt;&lt;Extra&gt;&lt;DBUID&gt;{1AFA75B8-11BD-4CAE-A4DB-24C8F05F4893}&lt;/DBUID&gt;&lt;/Extra&gt;&lt;/Item&gt;&lt;/References&gt;&lt;/Group&gt;&lt;/Citation&gt;_x000a_"/>
    <w:docVar w:name="NE.Ref{54864607-FE7E-4D3A-BB2A-3E5A797FA4C8}" w:val=" ADDIN NE.Ref.{54864607-FE7E-4D3A-BB2A-3E5A797FA4C8}&lt;Citation&gt;&lt;Group&gt;&lt;References&gt;&lt;Item&gt;&lt;ID&gt;37&lt;/ID&gt;&lt;UID&gt;{617D974B-34C7-48E4-A5BD-B65948F71489}&lt;/UID&gt;&lt;Title&gt;TSC2 c.1864C&amp;gt;T variant associated with mild cases of tuberous sclerosis complex&lt;/Title&gt;&lt;Template&gt;Journal Article&lt;/Template&gt;&lt;Star&gt;0&lt;/Star&gt;&lt;Tag&gt;0&lt;/Tag&gt;&lt;Author&gt;Farach, L S; Gibson, W T; Sparagana, S P; Nellist, M; Stumpel, C T; Hietala, M; Friedman, E; Pearson, D A; Creighton, S P; Wagemans, A; Segel, R; Ben-Shalom, E; Au, K S; Northrup, H&lt;/Author&gt;&lt;Year&gt;2017&lt;/Year&gt;&lt;Details&gt;&lt;_accession_num&gt;28211972&lt;/_accession_num&gt;&lt;_author_adr&gt;Division of Medical Genetics, Department of Pediatrics, McGovern Medical School,  University of Texas Health Science Center at Houston, Houston, Texas.; Department of Medical Genetics, BC Children&amp;apos;s Hospital and UBC, Vancouver,  British Columbia, Canada.; Division of Neurology, Texas Scottish Rite Hospital for Children and University  of Texas Southwestern Medical School, Dallas, Texas.; Department of Clinical Genetics, Erasmus Medical Center, Rotterdam, The  Netherlands.; Department of Clinical Genetics and School for Oncology and Developmental Biology  (GROW), Maastricht University Medical Center (MUMC), Maastricht, The Netherlands.; Department of Clinical Genetics and Department of Medical Biochemistry and  Genetics, University of Turku and Turku University Hospital, Turku, Finland.; Department of Diagnostic and Interventional Imaging, McGovern Medical School,  University of Texas Health Science Center at Houston, Houston, Texas.; Division of Child and Adolescent Psychiatry, Department of Psychiatry, McGovern  Medical School, University of Texas Health Science Center at Houston, Houston,  Texas.; Department of Medical Genetics, BC Women&amp;apos;s Hospital and UBC, Vancouver, British  Columbia, Canada.; Department of Clinical Genetics and School for Oncology and Developmental Biology  (GROW), Maastricht University Medical Center (MUMC), Maastricht, The Netherlands.; Koraalgroep, Maasveld, Maastricht, The Netherlands.; Medical Genetics Institute, Shaare Zedek Medical Center and the Hebrew University  School of Medicine, Jerusalem, Israel.; Department of Pediatric Nephrology, Shaare Zedek Medical Center, Jerusalem,  Israel.; Division of Medical Genetics, Department of Pediatrics, McGovern Medical School,  University of Texas Health Science Center at Houston, Houston, Texas.; Division of Medical Genetics, Department of Pediatrics, McGovern Medical School,  University of Texas Health Science Center at Houston, Houston, Texas.&lt;/_author_adr&gt;&lt;_collection_scope&gt;SCI;SCIE&lt;/_collection_scope&gt;&lt;_created&gt;64645605&lt;/_created&gt;&lt;_date&gt;2017-03-01&lt;/_date&gt;&lt;_date_display&gt;2017 Mar&lt;/_date_display&gt;&lt;_db_updated&gt;PubMed&lt;/_db_updated&gt;&lt;_doi&gt;10.1002/ajmg.a.38083&lt;/_doi&gt;&lt;_impact_factor&gt;   2.802&lt;/_impact_factor&gt;&lt;_isbn&gt;1552-4833 (Electronic); 1552-4825 (Linking)&lt;/_isbn&gt;&lt;_issue&gt;3&lt;/_issue&gt;&lt;_journal&gt;Am J Med Genet A&lt;/_journal&gt;&lt;_keywords&gt;TSC2; genetic counseling; genotype-phenotype association; rhabdomyoma; tuberous sclerosis complex&lt;/_keywords&gt;&lt;_language&gt;eng&lt;/_language&gt;&lt;_modified&gt;64645606&lt;/_modified&gt;&lt;_ori_publication&gt;(c) 2017 Wiley Periodicals, Inc.&lt;/_ori_publication&gt;&lt;_pages&gt;771-775&lt;/_pages&gt;&lt;_subject_headings&gt;*Alleles; Amino Acid Substitution; Brain/pathology; Child; Child, Preschool; Female; *Genetic Association Studies; Genotype; Humans; Infant, Newborn; Magnetic Resonance Imaging; Male; *Mutation; Pedigree; *Phenotype; Rhabdomyoma/diagnosis/genetics/surgery; Severity of Illness Index; Tuberous Sclerosis/*diagnosis/*genetics; Tuberous Sclerosis Complex 2 Protein; Tumor Suppressor Proteins/*genetics&lt;/_subject_headings&gt;&lt;_tertiary_title&gt;American journal of medical genetics. Part A&lt;/_tertiary_title&gt;&lt;_type_work&gt;Case Reports; Journal Article; Review&lt;/_type_work&gt;&lt;_url&gt;http://www.ncbi.nlm.nih.gov/entrez/query.fcgi?cmd=Retrieve&amp;amp;db=pubmed&amp;amp;dopt=Abstract&amp;amp;list_uids=28211972&amp;amp;query_hl=1&lt;/_url&gt;&lt;_volume&gt;173&lt;/_volume&gt;&lt;/Details&gt;&lt;Extra&gt;&lt;DBUID&gt;{1AFA75B8-11BD-4CAE-A4DB-24C8F05F4893}&lt;/DBUID&gt;&lt;/Extra&gt;&lt;/Item&gt;&lt;/References&gt;&lt;/Group&gt;&lt;/Citation&gt;_x000a_"/>
    <w:docVar w:name="NE.Ref{57DB3503-B7B5-47BB-999B-0D92FF39D429}" w:val=" ADDIN NE.Ref.{57DB3503-B7B5-47BB-999B-0D92FF39D429}&lt;Citation&gt;&lt;Group&gt;&lt;References&gt;&lt;Item&gt;&lt;ID&gt;7&lt;/ID&gt;&lt;UID&gt;{F339CBFC-D9DA-45CD-BAEE-8AA2B0E13AB1}&lt;/UID&gt;&lt;Title&gt;Tuberous sclerosis complex diagnostic criteria update: recommendations of the 2012 Iinternational Tuberous Sclerosis Complex Consensus Conference&lt;/Title&gt;&lt;Template&gt;Journal Article&lt;/Template&gt;&lt;Star&gt;0&lt;/Star&gt;&lt;Tag&gt;0&lt;/Tag&gt;&lt;Author&gt;Northrup, H; Krueger, D A&lt;/Author&gt;&lt;Year&gt;2013&lt;/Year&gt;&lt;Details&gt;&lt;_accession_num&gt;24053982&lt;/_accession_num&gt;&lt;_author_adr&gt;Division of Medical Genetics, Department of Pediatrics, University of Texas Medical School at Houston, Houston, Texas. Electronic address: hope.northrup@uth.tmc.edu.&lt;/_author_adr&gt;&lt;_collection_scope&gt;SCI;SCIE&lt;/_collection_scope&gt;&lt;_created&gt;64545004&lt;/_created&gt;&lt;_date&gt;2013-10-01&lt;/_date&gt;&lt;_date_display&gt;2013 Oct&lt;/_date_display&gt;&lt;_db_updated&gt;PubMed&lt;/_db_updated&gt;&lt;_doi&gt;10.1016/j.pediatrneurol.2013.08.001&lt;/_doi&gt;&lt;_impact_factor&gt;   3.372&lt;/_impact_factor&gt;&lt;_isbn&gt;1873-5150 (Electronic); 0887-8994 (Linking)&lt;/_isbn&gt;&lt;_issue&gt;4&lt;/_issue&gt;&lt;_journal&gt;Pediatr Neurol&lt;/_journal&gt;&lt;_keywords&gt;clinical features; diagnostic criteria; tuberous sclerosis&lt;/_keywords&gt;&lt;_language&gt;eng&lt;/_language&gt;&lt;_modified&gt;64545005&lt;/_modified&gt;&lt;_ori_publication&gt;Copyright (c) 2013 Elsevier Inc. All rights reserved.&lt;/_ori_publication&gt;&lt;_pages&gt;243-54&lt;/_pages&gt;&lt;_subject_headings&gt;Diagnosis, Differential; Genetic Testing/methods/standards; Humans; Practice Guidelines as Topic/*standards; Tuberous Sclerosis/*diagnosis/*genetics&lt;/_subject_headings&gt;&lt;_tertiary_title&gt;Pediatric neurology&lt;/_tertiary_title&gt;&lt;_type_work&gt;Consensus Development Conference; Journal Article&lt;/_type_work&gt;&lt;_url&gt;http://www.ncbi.nlm.nih.gov/entrez/query.fcgi?cmd=Retrieve&amp;amp;db=pubmed&amp;amp;dopt=Abstract&amp;amp;list_uids=24053982&amp;amp;query_hl=1&lt;/_url&gt;&lt;_volume&gt;49&lt;/_volume&gt;&lt;/Details&gt;&lt;Extra&gt;&lt;DBUID&gt;{1AFA75B8-11BD-4CAE-A4DB-24C8F05F4893}&lt;/DBUID&gt;&lt;/Extra&gt;&lt;/Item&gt;&lt;/References&gt;&lt;/Group&gt;&lt;Group&gt;&lt;References&gt;&lt;Item&gt;&lt;ID&gt;20&lt;/ID&gt;&lt;UID&gt;{4341A395-BCB6-4598-AA67-55B7660BC118}&lt;/UID&gt;&lt;Title&gt;Updated International Tuberous Sclerosis Complex Diagnostic Criteria and Surveillance and Management Recommendations&lt;/Title&gt;&lt;Template&gt;Journal Article&lt;/Template&gt;&lt;Star&gt;0&lt;/Star&gt;&lt;Tag&gt;0&lt;/Tag&gt;&lt;Author&gt;Northrup, H; Aronow, M E; Bebin, E M; Bissler, J; Darling, T N; de Vries, P J; Frost, M D; Fuchs, Z; Gosnell, E S; Gupta, N; Jansen, A C; Jozwiak, S; Kingswood, J C; Knilans, T K; McCormack, F X; Pounders, A; Roberds, S L; Rodriguez-Buritica, D F; Roth, J; Sampson, J R; Sparagana, S; Thiele, E A; Weiner, H L; Wheless, J W; Towbin, A J; Krueger, D A&lt;/Author&gt;&lt;Year&gt;2021&lt;/Year&gt;&lt;Details&gt;&lt;_accession_num&gt;34399110&lt;/_accession_num&gt;&lt;_author_adr&gt;Department of Pediatrics, McGovern Medical School, University of Texas Health Science Center at Houston, Houston, Texas.; Retina Service, Massachusetts Eye and Ear, Harvard Medical School, Boston, Massachusetts.; Department of Neurology, University of Alabama at Birmingham, Birmingham, Alabama.; Department of Pediatrics, University of Tennessee Health Science Center and Le Bonheur Children&amp;apos;s Hospital, Memphis, Tennessee.; Uniformed Services University of the Health Sciences, Bethesda, Maryland.; Division of Child and Adolescent Psychiatry, University of Cape Town, Cape Town,  South Africa.; Minnesota Epilepsy Group, St. Paul, Minnesota.; TSC Alliance, Silver Spring, Maryland.; Department of Pediatrics, University of Cincinnati College of Medicine, and Division of Pediatric Dentistry, Cincinnati Children&amp;apos;s Hospital Medical Center, Cincinnati, Ohio.; Division of Pulmonary, Critical Care and Sleep Medicine, University of Cincinnati, Cincinnati, Ohio.; Pediatric Neurology Unit, Department of Pediatrics, UZ Brussel, Neurogenetics Research Group, Vrije Universiteit Brussel, Brussels, Belgium.; Department of Pediatric Neurology, Medical University of Warsaw, Warsaw, Poland.; Cardiology Clinical Academic Group, Molecular and Clinical Sciences Research Centre, St Georges University of London, London, UK.; Cincinnati Children&amp;apos;s Hospital Medical Center, University of Cincinnati College of Medicine, Cincinnati, Ohio.; Division of Pulmonary, Critical Care and Sleep Medicine, University of Cincinnati, Cincinnati, Ohio.; TSC Alliance, Silver Spring, Maryland.; TSC Alliance, Silver Spring, Maryland.; Division of Medical Genetics, Department of Pediatrics, McGovern Medical School,  University of Texas at Houston Medical Center, Houston, Texas.; Dana Children&amp;apos;s Hospital, Tel Aviv Medical Center, Tel Aviv University, Israel.; Institute of Medical Genetics, Division of Cancer and Genetics, Cardiff University Medical School, Cardiff, Wales, UK.; Scottish Rite for Children and the University of Texas Southwestern Medical Center, Dallas, Texas.; Department of Neurology, Massachusetts General Hospital, Boston, Massachusetts.; Texas Children&amp;apos;s Hospital, Baylor College of Medicine, Houston, Texas.; Professor &amp;amp; Chief of Pediatric Neurology, Le Bonheur Chair in Pediatric Neurology, University of Tennessee Health Science Center; Director, Neuroscience  Institute &amp;amp; Le Bonheur Comprehensive Epilepsy Program, Co-Director Le Bonheur Tuberous Sclerosis Center of Excellence, Le Bonheur Children&amp;apos;s Hospital, Memphis, Tennessee.; Cincinnati Children&amp;apos;s Hospital, Department of Radiology, University of Cincinnati College of Medicine, Cincinnati, Ohio.; Division of Neurology, Cincinnati Children&amp;apos;s Hospital Medical Center, Department  of Pediatrics, University of Cincinnati College of Medicine, Cincinnati, Ohio. Electronic address: darcy.krueger@cchmc.og.&lt;/_author_adr&gt;&lt;_collection_scope&gt;SCI;SCIE&lt;/_collection_scope&gt;&lt;_created&gt;64586008&lt;/_created&gt;&lt;_date&gt;2021-10-01&lt;/_date&gt;&lt;_date_display&gt;2021 Oct&lt;/_date_display&gt;&lt;_db_updated&gt;PubMed&lt;/_db_updated&gt;&lt;_doi&gt;10.1016/j.pediatrneurol.2021.07.011&lt;/_doi&gt;&lt;_impact_factor&gt;   3.372&lt;/_impact_factor&gt;&lt;_isbn&gt;1873-5150 (Electronic); 0887-8994 (Linking)&lt;/_isbn&gt;&lt;_journal&gt;Pediatr Neurol&lt;/_journal&gt;&lt;_keywords&gt;*Diagnostic criteria; *Practical guidance; *Surveillance and management guidelines; *Tuberous sclerosis complex (TSC)&lt;/_keywords&gt;&lt;_language&gt;eng&lt;/_language&gt;&lt;_modified&gt;64586014&lt;/_modified&gt;&lt;_ori_publication&gt;Copyright (c) 2021 The Authors. Published by Elsevier Inc. All rights reserved.&lt;/_ori_publication&gt;&lt;_pages&gt;50-66&lt;/_pages&gt;&lt;_subject_headings&gt;Child; Consensus; Humans; *Practice Guidelines as Topic; Tuberous Sclerosis/*diagnosis/*therapy&lt;/_subject_headings&gt;&lt;_tertiary_title&gt;Pediatric neurology&lt;/_tertiary_title&gt;&lt;_type_work&gt;Journal Article&lt;/_type_work&gt;&lt;_url&gt;http://www.ncbi.nlm.nih.gov/entrez/query.fcgi?cmd=Retrieve&amp;amp;db=pubmed&amp;amp;dopt=Abstract&amp;amp;list_uids=34399110&amp;amp;query_hl=1&lt;/_url&gt;&lt;_volume&gt;123&lt;/_volume&gt;&lt;/Details&gt;&lt;Extra&gt;&lt;DBUID&gt;{1AFA75B8-11BD-4CAE-A4DB-24C8F05F4893}&lt;/DBUID&gt;&lt;/Extra&gt;&lt;/Item&gt;&lt;/References&gt;&lt;/Group&gt;&lt;/Citation&gt;_x000a_"/>
    <w:docVar w:name="NE.Ref{679450AA-0E96-4CEC-AFDA-AE6A9D5B1587}" w:val=" ADDIN NE.Ref.{679450AA-0E96-4CEC-AFDA-AE6A9D5B1587}&lt;Citation&gt;&lt;Group&gt;&lt;References&gt;&lt;Item&gt;&lt;ID&gt;38&lt;/ID&gt;&lt;UID&gt;{3D80DF32-1B92-4BBA-8E91-393F8E3BE74C}&lt;/UID&gt;&lt;Title&gt;Expert specification of the ACMG/AMP variant interpretation guidelines for  genetic hearing loss&lt;/Title&gt;&lt;Template&gt;Journal Article&lt;/Template&gt;&lt;Star&gt;0&lt;/Star&gt;&lt;Tag&gt;0&lt;/Tag&gt;&lt;Author&gt;Oza, A M; DiStefano, M T; Hemphill, S E; Cushman, B J; Grant, A R; Siegert, R K; Shen, J; Chapin, A; Boczek, N J; Schimmenti, L A; Murry, J B; Hasadsri, L; Nara, K; Kenna, M; Booth, K T; Azaiez, H; Griffith, A; Avraham, K B; Kremer, H; Rehm, H L; Amr, S S; Abou, Tayoun AN&lt;/Author&gt;&lt;Year&gt;2018&lt;/Year&gt;&lt;Details&gt;&lt;_accession_num&gt;30311386&lt;/_accession_num&gt;&lt;_author_adr&gt;Laboratory for Molecular Medicine, Partners Healthcare Personalized Medicine,  Cambridge, Massachusetts.; Department of Otolaryngology and Communication Enhancement, Boston Children&amp;apos;s  Hospital, Boston, Massachusetts.; Laboratory for Molecular Medicine, Partners Healthcare Personalized Medicine,  Cambridge, Massachusetts.; Harvard Medical School, Boston,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Harvard Medical School, Boston, Massachusetts.; Department of Pathology, Brigham &amp;amp; Women&amp;apos;s Hospital, Boston, Massachusetts.; ARUP Laboratories, Salt Lake City, Utah.; Department of Laboratory Medicine and Pathology, Mayo Clinic, Rochester,  Minnesota.; Department of Otorhinolaryngology, Clinical Genomics and Biochemistry and  Molecular Biology, Mayo Clinic, Rochester, Minnesota.; Laboratory for Molecular Medicine, Partners Healthcare Personalized Medicine,  Cambridge, Massachusetts.; Department of Laboratory Medicine and Pathology, Mayo Clinic, Rochester,  Minnesota.; Division of Hearing and Balance Research, National Institute of Sensory Organs,  National Hospital Organization Tokyo Medical Center, Tokyo, Japan.; Department of Otolaryngology and Communication Enhancement, Boston Children&amp;apos;s  Hospital, Boston, Massachusetts.; Harvard Medical School, Boston, Massachusetts.; Molecular Otolaryngology and Renal Research Laboratories, Department of  Otolaryngology, University of Iowa Hospital and Clinics, Iowa City, Iowa.; The Interdisciplinary Graduate Program in Molecular Medicine, Carver College of  Medicine, University of Iowa, Iowa City, Iowa.; Molecular Otolaryngology and Renal Research Laboratories, Department of  Otolaryngology, University of Iowa Hospital and Clinics, Iowa City, Iowa.; Audiology Unit, National Institute on Deafness and Other Communication Disorders  (NIDCD), NIH, Bethesda, Maryland.; Department of Human Molecular Genetics and Biochemistry, Sackler Faculty of  Medicine and Sagol School of Neuroscience, Tel Aviv University, Tel Aviv, Israel.; Department of Otorhinolaryngology and Department of Human Genetics, Donders  Institute for Brain, Cognition and Behaviour, Radboud University Medical Center,  Nijmegen, The Netherlands.; Laboratory for Molecular Medicine, Partners Healthcare Personalized Medicine,  Cambridge, Massachusetts.; Harvard Medical School, Boston, Massachusetts.; Center for Genomic Medicine, Massachusetts General Hospital, Boston,  Massachusetts.; The Broad Institute of MIT and Harvard, Cambridge, Massachusetts.; Laboratory for Molecular Medicine, Partners Healthcare Personalized Medicine,  Cambridge, Massachusetts.; Harvard Medical School, Boston, Massachusetts.; Department of Pathology, Brigham &amp;amp; Women&amp;apos;s Hospital, Boston, Massachusetts.; The Children&amp;apos;s Hospital of Philadelphia, Philadelphia, Pennsylvania.; The University of Pennsylvania Perelman School of Medicine, Philadelphia,  Pennsylvania.&lt;/_author_adr&gt;&lt;_collection_scope&gt;SCI;SCIE&lt;/_collection_scope&gt;&lt;_created&gt;64645685&lt;/_created&gt;&lt;_date&gt;2018-11-01&lt;/_date&gt;&lt;_date_display&gt;2018 Nov&lt;/_date_display&gt;&lt;_db_updated&gt;PubMed&lt;/_db_updated&gt;&lt;_doi&gt;10.1002/humu.23630&lt;/_doi&gt;&lt;_impact_factor&gt;   4.878&lt;/_impact_factor&gt;&lt;_isbn&gt;1098-1004 (Electronic); 1059-7794 (Print); 1059-7794 (Linking)&lt;/_isbn&gt;&lt;_issue&gt;11&lt;/_issue&gt;&lt;_journal&gt;Hum Mutat&lt;/_journal&gt;&lt;_keywords&gt;ACMG/AMP guidelines; ClinGen; deafness; genetic diagnosis; hearing loss; variant interpretation&lt;/_keywords&gt;&lt;_language&gt;eng&lt;/_language&gt;&lt;_modified&gt;64645685&lt;/_modified&gt;&lt;_ori_publication&gt;(c) 2018 Wiley Periodicals, Inc.&lt;/_ori_publication&gt;&lt;_pages&gt;1593-1613&lt;/_pages&gt;&lt;_subject_headings&gt;Gene Frequency/genetics; Genetic Testing/*methods; Genetic Variation/genetics; Genome, Human/*genetics; Genomics/methods; Hearing Loss/*genetics; Humans; Mutation/genetics; Sequence Analysis, DNA; Societies, Medical; United States&lt;/_subject_headings&gt;&lt;_tertiary_title&gt;Human mutation&lt;/_tertiary_title&gt;&lt;_type_work&gt;Journal Article; Research Support, N.I.H., Extramural&lt;/_type_work&gt;&lt;_url&gt;http://www.ncbi.nlm.nih.gov/entrez/query.fcgi?cmd=Retrieve&amp;amp;db=pubmed&amp;amp;dopt=Abstract&amp;amp;list_uids=30311386&amp;amp;query_hl=1&lt;/_url&gt;&lt;_volume&gt;39&lt;/_volume&gt;&lt;/Details&gt;&lt;Extra&gt;&lt;DBUID&gt;{1AFA75B8-11BD-4CAE-A4DB-24C8F05F4893}&lt;/DBUID&gt;&lt;/Extra&gt;&lt;/Item&gt;&lt;/References&gt;&lt;/Group&gt;&lt;/Citation&gt;_x000a_"/>
    <w:docVar w:name="NE.Ref{88EDB19A-D874-456F-BEA3-8D8AB318CD15}" w:val=" ADDIN NE.Ref.{88EDB19A-D874-456F-BEA3-8D8AB318CD15}&lt;Citation&gt;&lt;Group&gt;&lt;References&gt;&lt;Item&gt;&lt;ID&gt;27&lt;/ID&gt;&lt;UID&gt;{AB2A7199-A1E1-4DE5-AE25-325D7F349727}&lt;/UID&gt;&lt;Title&gt;Transcriptome-wide identification of NMD-targeted human mRNAs reveals extensive redundancy between SMG6- and SMG7-mediated degradation pathways&lt;/Title&gt;&lt;Template&gt;Journal Article&lt;/Template&gt;&lt;Star&gt;0&lt;/Star&gt;&lt;Tag&gt;0&lt;/Tag&gt;&lt;Author&gt;Colombo, M; Karousis, E D; Bourquin, J; Bruggmann, R; Muhlemann, O&lt;/Author&gt;&lt;Year&gt;2017&lt;/Year&gt;&lt;Details&gt;&lt;_accession_num&gt;27864472&lt;/_accession_num&gt;&lt;_author_adr&gt;Department of Chemistry and Biochemistry, University of Bern, CH-3012 Bern, Switzerland.; Interfaculty Bioinformatics Unit and Swiss Institute of Bioinformatics, University of Bern, CH-3012 Bern, Switzerland.; Graduate School for Cellular and Biomedical Sciences, University of Bern, CH-3012 Bern, Switzerland.; Department of Chemistry and Biochemistry, University of Bern, CH-3012 Bern, Switzerland.; Department of Chemistry and Biochemistry, University of Bern, CH-3012 Bern, Switzerland.; Interfaculty Bioinformatics Unit and Swiss Institute of Bioinformatics, University of Bern, CH-3012 Bern, Switzerland.; Department of Chemistry and Biochemistry, University of Bern, CH-3012 Bern, Switzerland.&lt;/_author_adr&gt;&lt;_collection_scope&gt;SCI;SCIE&lt;/_collection_scope&gt;&lt;_created&gt;64632169&lt;/_created&gt;&lt;_date&gt;2017-02-01&lt;/_date&gt;&lt;_date_display&gt;2017 Feb&lt;/_date_display&gt;&lt;_db_updated&gt;PubMed&lt;/_db_updated&gt;&lt;_doi&gt;10.1261/rna.059055.116&lt;/_doi&gt;&lt;_impact_factor&gt;   4.942&lt;/_impact_factor&gt;&lt;_isbn&gt;1469-9001 (Electronic); 1355-8382 (Linking)&lt;/_isbn&gt;&lt;_issue&gt;2&lt;/_issue&gt;&lt;_journal&gt;RNA&lt;/_journal&gt;&lt;_keywords&gt;RNA turnover; SMG6; SMG7; UPF1; bioinformatics analysis; mRNA-seq; nonsense-mediated mRNA decay; post-transcriptional gene regulation&lt;/_keywords&gt;&lt;_language&gt;eng&lt;/_language&gt;&lt;_modified&gt;64632169&lt;/_modified&gt;&lt;_ori_publication&gt;(c) 2017 Colombo et al.; Published by Cold Spring Harbor Laboratory Press for the_x000d__x000a_      RNA Society.&lt;/_ori_publication&gt;&lt;_pages&gt;189-201&lt;/_pages&gt;&lt;_subject_headings&gt;Base Composition; Carrier Proteins/antagonists &amp;amp; inhibitors/genetics/*metabolism; Codon, Nonsense; Gene Expression; HeLa Cells; Humans; Introns; MicroRNAs/chemistry/metabolism; *Nonsense Mediated mRNA Decay; Protein Binding; RNA Helicases; RNA, Long Noncoding/chemistry/metabolism; RNA, Messenger/chemistry/*metabolism; RNA, Small Interfering/genetics/metabolism; RNA, Small Nucleolar/chemistry/metabolism; Telomerase/antagonists &amp;amp; inhibitors/genetics/*metabolism; Trans-Activators/antagonists &amp;amp; inhibitors/genetics/*metabolism; *Transcriptome&lt;/_subject_headings&gt;&lt;_tertiary_title&gt;RNA (New York, N.Y.)&lt;/_tertiary_title&gt;&lt;_type_work&gt;Journal Article&lt;/_type_work&gt;&lt;_url&gt;http://www.ncbi.nlm.nih.gov/entrez/query.fcgi?cmd=Retrieve&amp;amp;db=pubmed&amp;amp;dopt=Abstract&amp;amp;list_uids=27864472&amp;amp;query_hl=1&lt;/_url&gt;&lt;_volume&gt;23&lt;/_volume&gt;&lt;/Details&gt;&lt;Extra&gt;&lt;DBUID&gt;{1AFA75B8-11BD-4CAE-A4DB-24C8F05F4893}&lt;/DBUID&gt;&lt;/Extra&gt;&lt;/Item&gt;&lt;/References&gt;&lt;/Group&gt;&lt;Group&gt;&lt;References&gt;&lt;Item&gt;&lt;ID&gt;28&lt;/ID&gt;&lt;UID&gt;{4CEFB68A-6B4E-419C-A0A9-B964441E2273}&lt;/UID&gt;&lt;Title&gt;Nonsense-Mediated mRNA Decay Begins Where Translation Ends&lt;/Title&gt;&lt;Template&gt;Journal Article&lt;/Template&gt;&lt;Star&gt;0&lt;/Star&gt;&lt;Tag&gt;0&lt;/Tag&gt;&lt;Author&gt;Karousis, E D; Muhlemann, O&lt;/Author&gt;&lt;Year&gt;2019&lt;/Year&gt;&lt;Details&gt;&lt;_accession_num&gt;29891560&lt;/_accession_num&gt;&lt;_author_adr&gt;Department of Chemistry and Biochemistry, University of Bern, CH-3012 Bern, Switzerland.; Department of Chemistry and Biochemistry, University of Bern, CH-3012 Bern, Switzerland.&lt;/_author_adr&gt;&lt;_created&gt;64632171&lt;/_created&gt;&lt;_date&gt;2019-02-01&lt;/_date&gt;&lt;_date_display&gt;2019 Feb 1&lt;/_date_display&gt;&lt;_db_updated&gt;PubMed&lt;/_db_updated&gt;&lt;_doi&gt;10.1101/cshperspect.a032862&lt;/_doi&gt;&lt;_impact_factor&gt;  10.005&lt;/_impact_factor&gt;&lt;_isbn&gt;1943-0264 (Electronic); 1943-0264 (Linking)&lt;/_isbn&gt;&lt;_issue&gt;2&lt;/_issue&gt;&lt;_journal&gt;Cold Spring Harb Perspect Biol&lt;/_journal&gt;&lt;_language&gt;eng&lt;/_language&gt;&lt;_modified&gt;64632172&lt;/_modified&gt;&lt;_ori_publication&gt;Copyright (c) 2019 Cold Spring Harbor Laboratory Press; all rights reserved.&lt;/_ori_publication&gt;&lt;_subject_headings&gt;Codon, Nonsense; *Eukaryota; *Nonsense Mediated mRNA Decay; *Peptide Chain Termination, Translational; Protein Biosynthesis; RNA, Messenger/genetics/*metabolism&lt;/_subject_headings&gt;&lt;_tertiary_title&gt;Cold Spring Harbor perspectives in biology&lt;/_tertiary_title&gt;&lt;_type_work&gt;Journal Article; Research Support, Non-U.S. Gov&amp;apos;t; Review&lt;/_type_work&gt;&lt;_url&gt;http://www.ncbi.nlm.nih.gov/entrez/query.fcgi?cmd=Retrieve&amp;amp;db=pubmed&amp;amp;dopt=Abstract&amp;amp;list_uids=29891560&amp;amp;query_hl=1&lt;/_url&gt;&lt;_volume&gt;11&lt;/_volume&gt;&lt;/Details&gt;&lt;Extra&gt;&lt;DBUID&gt;{1AFA75B8-11BD-4CAE-A4DB-24C8F05F4893}&lt;/DBUID&gt;&lt;/Extra&gt;&lt;/Item&gt;&lt;/References&gt;&lt;/Group&gt;&lt;/Citation&gt;_x000a_"/>
    <w:docVar w:name="NE.Ref{C1C7CC8D-014B-4C45-9E97-C377FB4B7B88}" w:val=" ADDIN NE.Ref.{C1C7CC8D-014B-4C45-9E97-C377FB4B7B88}&lt;Citation&gt;&lt;Group&gt;&lt;References&gt;&lt;Item&gt;&lt;ID&gt;26&lt;/ID&gt;&lt;UID&gt;{99F33EDF-36F7-442B-A8EC-F0FF2AD4B548}&lt;/UID&gt;&lt;Title&gt;Dyschromatosis symmetrica hereditaria&lt;/Title&gt;&lt;Template&gt;Journal Article&lt;/Template&gt;&lt;Star&gt;0&lt;/Star&gt;&lt;Tag&gt;0&lt;/Tag&gt;&lt;Author&gt;Hayashi, M; Suzuki, T&lt;/Author&gt;&lt;Year&gt;2013&lt;/Year&gt;&lt;Details&gt;&lt;_accession_num&gt;22974014&lt;/_accession_num&gt;&lt;_author_adr&gt;Department of Dermatology, Yamagata University Faculty of Medicine, Yamagata, Japan.&lt;/_author_adr&gt;&lt;_collection_scope&gt;SCIE&lt;/_collection_scope&gt;&lt;_created&gt;64631413&lt;/_created&gt;&lt;_date&gt;2013-05-01&lt;/_date&gt;&lt;_date_display&gt;2013 May&lt;/_date_display&gt;&lt;_db_updated&gt;PubMed&lt;/_db_updated&gt;&lt;_doi&gt;10.1111/j.1346-8138.2012.01661.x&lt;/_doi&gt;&lt;_impact_factor&gt;   4.005&lt;/_impact_factor&gt;&lt;_isbn&gt;1346-8138 (Electronic); 0385-2407 (Linking)&lt;/_isbn&gt;&lt;_issue&gt;5&lt;/_issue&gt;&lt;_journal&gt;J Dermatol&lt;/_journal&gt;&lt;_language&gt;eng&lt;/_language&gt;&lt;_modified&gt;64631413&lt;/_modified&gt;&lt;_ori_publication&gt;(c) 2012 Japanese Dermatological Association.&lt;/_ori_publication&gt;&lt;_pages&gt;336-43&lt;/_pages&gt;&lt;_subject_headings&gt;Adenosine Deaminase/*genetics; Humans; Mutation; Pigmentation Disorders/complications/*congenital/genetics; RNA-Binding Proteins&lt;/_subject_headings&gt;&lt;_tertiary_title&gt;The Journal of dermatology&lt;/_tertiary_title&gt;&lt;_type_work&gt;Journal Article; Review&lt;/_type_work&gt;&lt;_url&gt;http://www.ncbi.nlm.nih.gov/entrez/query.fcgi?cmd=Retrieve&amp;amp;db=pubmed&amp;amp;dopt=Abstract&amp;amp;list_uids=22974014&amp;amp;query_hl=1&lt;/_url&gt;&lt;_volume&gt;40&lt;/_volume&gt;&lt;/Details&gt;&lt;Extra&gt;&lt;DBUID&gt;{1AFA75B8-11BD-4CAE-A4DB-24C8F05F4893}&lt;/DBUID&gt;&lt;/Extra&gt;&lt;/Item&gt;&lt;/References&gt;&lt;/Group&gt;&lt;/Citation&gt;_x000a_"/>
    <w:docVar w:name="NE.Ref{CDCB26BA-D9F4-4750-A1CA-4C6C73B8673C}" w:val=" ADDIN NE.Ref.{CDCB26BA-D9F4-4750-A1CA-4C6C73B8673C}&lt;Citation&gt;&lt;Group&gt;&lt;References&gt;&lt;Item&gt;&lt;ID&gt;38&lt;/ID&gt;&lt;UID&gt;{3D80DF32-1B92-4BBA-8E91-393F8E3BE74C}&lt;/UID&gt;&lt;Title&gt;Expert specification of the ACMG/AMP variant interpretation guidelines for  genetic hearing loss&lt;/Title&gt;&lt;Template&gt;Journal Article&lt;/Template&gt;&lt;Star&gt;0&lt;/Star&gt;&lt;Tag&gt;0&lt;/Tag&gt;&lt;Author&gt;Oza, A M; DiStefano, M T; Hemphill, S E; Cushman, B J; Grant, A R; Siegert, R K; Shen, J; Chapin, A; Boczek, N J; Schimmenti, L A; Murry, J B; Hasadsri, L; Nara, K; Kenna, M; Booth, K T; Azaiez, H; Griffith, A; Avraham, K B; Kremer, H; Rehm, H L; Amr, S S; Abou, Tayoun AN&lt;/Author&gt;&lt;Year&gt;2018&lt;/Year&gt;&lt;Details&gt;&lt;_accession_num&gt;30311386&lt;/_accession_num&gt;&lt;_author_adr&gt;Laboratory for Molecular Medicine, Partners Healthcare Personalized Medicine,  Cambridge, Massachusetts.; Department of Otolaryngology and Communication Enhancement, Boston Children&amp;apos;s  Hospital, Boston, Massachusetts.; Laboratory for Molecular Medicine, Partners Healthcare Personalized Medicine,  Cambridge, Massachusetts.; Harvard Medical School, Boston,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Harvard Medical School, Boston, Massachusetts.; Department of Pathology, Brigham &amp;amp; Women&amp;apos;s Hospital, Boston, Massachusetts.; ARUP Laboratories, Salt Lake City, Utah.; Department of Laboratory Medicine and Pathology, Mayo Clinic, Rochester,  Minnesota.; Department of Otorhinolaryngology, Clinical Genomics and Biochemistry and  Molecular Biology, Mayo Clinic, Rochester, Minnesota.; Laboratory for Molecular Medicine, Partners Healthcare Personalized Medicine,  Cambridge, Massachusetts.; Department of Laboratory Medicine and Pathology, Mayo Clinic, Rochester,  Minnesota.; Division of Hearing and Balance Research, National Institute of Sensory Organs,  National Hospital Organization Tokyo Medical Center, Tokyo, Japan.; Department of Otolaryngology and Communication Enhancement, Boston Children&amp;apos;s  Hospital, Boston, Massachusetts.; Harvard Medical School, Boston, Massachusetts.; Molecular Otolaryngology and Renal Research Laboratories, Department of  Otolaryngology, University of Iowa Hospital and Clinics, Iowa City, Iowa.; The Interdisciplinary Graduate Program in Molecular Medicine, Carver College of  Medicine, University of Iowa, Iowa City, Iowa.; Molecular Otolaryngology and Renal Research Laboratories, Department of  Otolaryngology, University of Iowa Hospital and Clinics, Iowa City, Iowa.; Audiology Unit, National Institute on Deafness and Other Communication Disorders  (NIDCD), NIH, Bethesda, Maryland.; Department of Human Molecular Genetics and Biochemistry, Sackler Faculty of  Medicine and Sagol School of Neuroscience, Tel Aviv University, Tel Aviv, Israel.; Department of Otorhinolaryngology and Department of Human Genetics, Donders  Institute for Brain, Cognition and Behaviour, Radboud University Medical Center,  Nijmegen, The Netherlands.; Laboratory for Molecular Medicine, Partners Healthcare Personalized Medicine,  Cambridge, Massachusetts.; Harvard Medical School, Boston, Massachusetts.; Center for Genomic Medicine, Massachusetts General Hospital, Boston,  Massachusetts.; The Broad Institute of MIT and Harvard, Cambridge, Massachusetts.; Laboratory for Molecular Medicine, Partners Healthcare Personalized Medicine,  Cambridge, Massachusetts.; Harvard Medical School, Boston, Massachusetts.; Department of Pathology, Brigham &amp;amp; Women&amp;apos;s Hospital, Boston, Massachusetts.; The Children&amp;apos;s Hospital of Philadelphia, Philadelphia, Pennsylvania.; The University of Pennsylvania Perelman School of Medicine, Philadelphia,  Pennsylvania.&lt;/_author_adr&gt;&lt;_collection_scope&gt;SCI;SCIE&lt;/_collection_scope&gt;&lt;_created&gt;64645685&lt;/_created&gt;&lt;_date&gt;2018-11-01&lt;/_date&gt;&lt;_date_display&gt;2018 Nov&lt;/_date_display&gt;&lt;_db_updated&gt;PubMed&lt;/_db_updated&gt;&lt;_doi&gt;10.1002/humu.23630&lt;/_doi&gt;&lt;_impact_factor&gt;   4.878&lt;/_impact_factor&gt;&lt;_isbn&gt;1098-1004 (Electronic); 1059-7794 (Print); 1059-7794 (Linking)&lt;/_isbn&gt;&lt;_issue&gt;11&lt;/_issue&gt;&lt;_journal&gt;Hum Mutat&lt;/_journal&gt;&lt;_keywords&gt;ACMG/AMP guidelines; ClinGen; deafness; genetic diagnosis; hearing loss; variant interpretation&lt;/_keywords&gt;&lt;_language&gt;eng&lt;/_language&gt;&lt;_modified&gt;64645685&lt;/_modified&gt;&lt;_ori_publication&gt;(c) 2018 Wiley Periodicals, Inc.&lt;/_ori_publication&gt;&lt;_pages&gt;1593-1613&lt;/_pages&gt;&lt;_subject_headings&gt;Gene Frequency/genetics; Genetic Testing/*methods; Genetic Variation/genetics; Genome, Human/*genetics; Genomics/methods; Hearing Loss/*genetics; Humans; Mutation/genetics; Sequence Analysis, DNA; Societies, Medical; United States&lt;/_subject_headings&gt;&lt;_tertiary_title&gt;Human mutation&lt;/_tertiary_title&gt;&lt;_type_work&gt;Journal Article; Research Support, N.I.H., Extramural&lt;/_type_work&gt;&lt;_url&gt;http://www.ncbi.nlm.nih.gov/entrez/query.fcgi?cmd=Retrieve&amp;amp;db=pubmed&amp;amp;dopt=Abstract&amp;amp;list_uids=30311386&amp;amp;query_hl=1&lt;/_url&gt;&lt;_volume&gt;39&lt;/_volume&gt;&lt;/Details&gt;&lt;Extra&gt;&lt;DBUID&gt;{1AFA75B8-11BD-4CAE-A4DB-24C8F05F4893}&lt;/DBUID&gt;&lt;/Extra&gt;&lt;/Item&gt;&lt;/References&gt;&lt;/Group&gt;&lt;/Citation&gt;_x000a_"/>
    <w:docVar w:name="NE.Ref{D0B6944C-6E30-45D0-8752-C4FB9B1017B1}" w:val=" ADDIN NE.Ref.{D0B6944C-6E30-45D0-8752-C4FB9B1017B1}&lt;Citation&gt;&lt;Group&gt;&lt;References&gt;&lt;Item&gt;&lt;ID&gt;29&lt;/ID&gt;&lt;UID&gt;{E273AD95-E020-4428-B3F2-EDC1F03D152E}&lt;/UID&gt;&lt;Title&gt;Recommendations for interpreting the loss of function PVS1 ACMG/AMP variant criterion&lt;/Title&gt;&lt;Template&gt;Journal Article&lt;/Template&gt;&lt;Star&gt;0&lt;/Star&gt;&lt;Tag&gt;0&lt;/Tag&gt;&lt;Author&gt;Abou, Tayoun AN; Pesaran, T; DiStefano, M T; Oza, A; Rehm, H L; Biesecker, L G; Harrison, S M&lt;/Author&gt;&lt;Year&gt;2018&lt;/Year&gt;&lt;Details&gt;&lt;_accession_num&gt;30192042&lt;/_accession_num&gt;&lt;_author_adr&gt;The Children&amp;apos;s Hospital of Philadelphia, Philadelphia, Pennsylvania.; The University of Pennsylvania Perelman School of Medicine, Philadelphia, Pennsylvania.; Ambry Genetics, Aliso Viejo, California.;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Center for Genomic Medicine, Massachusetts General Hospital, Boston, Massachusetts.; The Broad Institute of MIT and Harvard, Cambridge, Massachusetts.; Medical Genomics and Metabolic Genetics Branch, National Human Genome Research Institute, National Institutes of Health, Bethesda, Maryland.; Laboratory for Molecular Medicine, Partners Healthcare Personalized Medicine, Cambridge, Massachusetts.&lt;/_author_adr&gt;&lt;_collection_scope&gt;SCI;SCIE&lt;/_collection_scope&gt;&lt;_created&gt;64632394&lt;/_created&gt;&lt;_date&gt;2018-11-01&lt;/_date&gt;&lt;_date_display&gt;2018 Nov&lt;/_date_display&gt;&lt;_db_updated&gt;PubMed&lt;/_db_updated&gt;&lt;_doi&gt;10.1002/humu.23626&lt;/_doi&gt;&lt;_impact_factor&gt;   4.878&lt;/_impact_factor&gt;&lt;_isbn&gt;1098-1004 (Electronic); 1059-7794 (Linking)&lt;/_isbn&gt;&lt;_issue&gt;11&lt;/_issue&gt;&lt;_journal&gt;Hum Mutat&lt;/_journal&gt;&lt;_keywords&gt;ACMG/AMP; ClinGen; PVS1; loss of function; variant interpretation&lt;/_keywords&gt;&lt;_language&gt;eng&lt;/_language&gt;&lt;_modified&gt;64632394&lt;/_modified&gt;&lt;_ori_publication&gt;(c) 2018 Wiley Periodicals, Inc.&lt;/_ori_publication&gt;&lt;_pages&gt;1517-1524&lt;/_pages&gt;&lt;_subject_headings&gt;Computational Biology/methods; Exons/genetics; Genetic Testing/methods/standards; Genome, Human/*genetics; High-Throughput Nucleotide Sequencing/methods/standards; Humans; Sequence Analysis, DNA/methods/standards; Societies, Medical/*standards; United States&lt;/_subject_headings&gt;&lt;_tertiary_title&gt;Human mutation&lt;/_tertiary_title&gt;&lt;_type_work&gt;Journal Article; Research Support, N.I.H., Extramural&lt;/_type_work&gt;&lt;_url&gt;http://www.ncbi.nlm.nih.gov/entrez/query.fcgi?cmd=Retrieve&amp;amp;db=pubmed&amp;amp;dopt=Abstract&amp;amp;list_uids=30192042&amp;amp;query_hl=1&lt;/_url&gt;&lt;_volume&gt;39&lt;/_volume&gt;&lt;/Details&gt;&lt;Extra&gt;&lt;DBUID&gt;{1AFA75B8-11BD-4CAE-A4DB-24C8F05F4893}&lt;/DBUID&gt;&lt;/Extra&gt;&lt;/Item&gt;&lt;/References&gt;&lt;/Group&gt;&lt;/Citation&gt;_x000a_"/>
    <w:docVar w:name="NE.Ref{F568F12D-AC62-4E19-BD45-CBC1BE29D9E6}" w:val=" ADDIN NE.Ref.{F568F12D-AC62-4E19-BD45-CBC1BE29D9E6}&lt;Citation&gt;&lt;Group&gt;&lt;References&gt;&lt;Item&gt;&lt;ID&gt;14&lt;/ID&gt;&lt;UID&gt;{6EE49022-BE72-48F5-975C-1F07678911E7}&lt;/UID&gt;&lt;Title&gt;Cardiac valve involvement in ADAR-related type I interferonopathy&lt;/Title&gt;&lt;Template&gt;Journal Article&lt;/Template&gt;&lt;Star&gt;0&lt;/Star&gt;&lt;Tag&gt;0&lt;/Tag&gt;&lt;Author&gt;Crow, Y; Keshavan, N; Barbet, J P; Bercu, G; Bondet, V; Boussard, C; Dedieu, N; Duffy, D; Hully, M; Giardini, A; Gitiaux, C; Rice, G I; Seabra, L; Bader-Meunier, B; Rahman, S&lt;/Author&gt;&lt;Year&gt;2020&lt;/Year&gt;&lt;Details&gt;&lt;_accessed&gt;64665889&lt;/_accessed&gt;&lt;_accession_num&gt;31772029&lt;/_accession_num&gt;&lt;_author_adr&gt;Laboratory of Neurogenetics and Neuroinflammation, Paris Descartes University, Sorbonne-Paris-Cite, INSERM UMR 1163, Institut Imagine, Paris, France.; Centre for Genomic and Experimental Medicine, The University of Edinburgh MRC Institute of Genetics and Molecular Medicine, Edinburgh, UK.; Genetics and Genomic Medicine, UCL Great Ormond Street Institute of Child Health, London, UK.; Metabolic Unit, Great Ormond Street Hospital for Children NHS Foundation Trust, London, UK.; Department of Paediatric Pathology, Hopital Necker-Enfants Malades, Universite Paris Descartes, Paris, France.; Department of Paediatric Cardiac Surgery, Hopital Universitaire Necker-Enfants Malades, Paris, France.; Immunobiology of Dendritic Cells, Institut Pasteur, INSERM U1223, Paris, France.; Department of Paediatric Hematology-Immunology and Rheumatology, Hopital Universitaire Necker-Enfants Malades, Paris, France.; Cardiology Department, Great Ormond Street Hospital for Children NHS Foundation Trust, London, UK.; Immunobiology of Dendritic Cells, Institut Pasteur, INSERM U1223, Paris, France.; Department of Paediatric Neurology, Hopital Universitaire Necker-Enfants Malades, Paris, France.; Cardiology Department, Great Ormond Street Hospital for Children NHS Foundation Trust, London, UK.; Department of Paediatric Neurology, Hopital Universitaire Necker-Enfants Malades, Paris, France.; Division of Evolution and Genomic Sciences, School of Biological Sciences, University of Manchester, Manchester, UK.; Laboratory of Neurogenetics and Neuroinflammation, Paris Descartes University, Sorbonne-Paris-Cite, INSERM UMR 1163, Institut Imagine, Paris, France.; Department of Paediatric Hematology-Immunology and Rheumatology, Hopital Universitaire Necker-Enfants Malades, Paris, France.; Reference Center for Rheumatic, Autoimmune and Systemic Diseases in Children (RAISE), Paris, France.; Genetics and Genomic Medicine, UCL Great Ormond Street Institute of Child Health, London, UK shamima.rahman@ucl.ac.uk.; Metabolic Unit, Great Ormond Street Hospital for Children NHS Foundation Trust, London, UK.&lt;/_author_adr&gt;&lt;_collection_scope&gt;SCI;SCIE&lt;/_collection_scope&gt;&lt;_created&gt;64552115&lt;/_created&gt;&lt;_date&gt;2020-07-01&lt;/_date&gt;&lt;_date_display&gt;2020 Jul&lt;/_date_display&gt;&lt;_db_updated&gt;PubMed&lt;/_db_updated&gt;&lt;_doi&gt;10.1136/jmedgenet-2019-106457&lt;/_doi&gt;&lt;_impact_factor&gt;   6.318&lt;/_impact_factor&gt;&lt;_isbn&gt;1468-6244 (Electronic); 0022-2593 (Linking)&lt;/_isbn&gt;&lt;_issue&gt;7&lt;/_issue&gt;&lt;_journal&gt;J Med Genet&lt;/_journal&gt;&lt;_keywords&gt;*cardiovascular medicine; *clinical genetics; *immunology (including allergy); *metabolic disorders&lt;/_keywords&gt;&lt;_language&gt;eng&lt;/_language&gt;&lt;_modified&gt;64665889&lt;/_modified&gt;&lt;_ori_publication&gt;(c) Author(s) (or their employer(s)) 2020. No commercial re-use. See rights and_x000d__x000a_      permissions. Published by BMJ.&lt;/_ori_publication&gt;&lt;_pages&gt;475-478&lt;/_pages&gt;&lt;_subject_headings&gt;Adenosine Deaminase/*genetics; Adolescent; Autoimmune Diseases of the Nervous System/*genetics/physiopathology; Child; Echocardiography; Female; Fibrosis/genetics/pathology; Gain of Function Mutation; Genetic Predisposition to Disease; Heart Valve Diseases/*genetics/physiopathology; Heart Valves/pathology; Humans; Interferon Type I/*genetics; Interferon-Induced Helicase, IFIH1/*genetics; Male; Nervous System Malformations/*genetics/physiopathology; Phenotype; RNA-Binding Proteins/*genetics; Vascular Calcification/genetics/pathology&lt;/_subject_headings&gt;&lt;_tertiary_title&gt;Journal of medical genetics&lt;/_tertiary_title&gt;&lt;_type_work&gt;Journal Article; Research Support, Non-U.S. Gov&amp;apos;t&lt;/_type_work&gt;&lt;_url&gt;http://www.ncbi.nlm.nih.gov/entrez/query.fcgi?cmd=Retrieve&amp;amp;db=pubmed&amp;amp;dopt=Abstract&amp;amp;list_uids=31772029&amp;amp;query_hl=1&lt;/_url&gt;&lt;_volume&gt;57&lt;/_volume&gt;&lt;/Details&gt;&lt;Extra&gt;&lt;DBUID&gt;{1AFA75B8-11BD-4CAE-A4DB-24C8F05F4893}&lt;/DBUID&gt;&lt;/Extra&gt;&lt;/Item&gt;&lt;/References&gt;&lt;/Group&gt;&lt;/Citation&gt;_x000a_"/>
    <w:docVar w:name="NE.Ref{F6CD881C-FB68-41F7-A6CE-D934F43540C6}" w:val=" ADDIN NE.Ref.{F6CD881C-FB68-41F7-A6CE-D934F43540C6}&lt;Citation&gt;&lt;Group&gt;&lt;References&gt;&lt;Item&gt;&lt;ID&gt;30&lt;/ID&gt;&lt;UID&gt;{06B433B4-811A-4524-887B-4FC695DED517}&lt;/UID&gt;&lt;Title&gt;DNA variant classification-reconsidering &amp;quot;allele rarity&amp;quot; and &amp;quot;phenotype&amp;quot; criteria in ACMG/AMP guidelines&lt;/Title&gt;&lt;Template&gt;Journal Article&lt;/Template&gt;&lt;Star&gt;0&lt;/Star&gt;&lt;Tag&gt;0&lt;/Tag&gt;&lt;Author&gt;Davieson, C D; Joyce, K E; Sharma, L; Shovlin, C L&lt;/Author&gt;&lt;Year&gt;2021&lt;/Year&gt;&lt;Details&gt;&lt;_accession_num&gt;34411772&lt;/_accession_num&gt;&lt;_author_adr&gt;National Heart and Lung Institute, Imperial College London, London, UK.; National Heart and Lung Institute, Imperial College London, London, UK.; National Heart and Lung Institute, Imperial College London, London, UK.; National Heart and Lung Institute, Imperial College London, London, UK; Imperial  College Healthcare NHS Trust, London, UK. Electronic address: c.shovlin@imperial.ac.uk.&lt;/_author_adr&gt;&lt;_collection_scope&gt;SCI;SCIE&lt;/_collection_scope&gt;&lt;_created&gt;64632916&lt;/_created&gt;&lt;_date&gt;2021-10-01&lt;/_date&gt;&lt;_date_display&gt;2021 Oct&lt;/_date_display&gt;&lt;_db_updated&gt;PubMed&lt;/_db_updated&gt;&lt;_doi&gt;10.1016/j.ejmg.2021.104312&lt;/_doi&gt;&lt;_impact_factor&gt;   2.708&lt;/_impact_factor&gt;&lt;_isbn&gt;1878-0849 (Electronic); 1769-7212 (Linking)&lt;/_isbn&gt;&lt;_issue&gt;10&lt;/_issue&gt;&lt;_journal&gt;Eur J Med Genet&lt;/_journal&gt;&lt;_keywords&gt;Likely pathogenic; Loss-of-function; PM2; Pathogenic; Population frequency; Variant of uncertain significance&lt;/_keywords&gt;&lt;_language&gt;eng&lt;/_language&gt;&lt;_modified&gt;64632916&lt;/_modified&gt;&lt;_ori_publication&gt;Copyright (c) 2021 The Authors. Published by Elsevier Masson SAS.. All rights_x000d__x000a_      reserved.&lt;/_ori_publication&gt;&lt;_pages&gt;104312&lt;/_pages&gt;&lt;_subject_headings&gt;Consensus Development Conferences as Topic; Cystic Fibrosis/diagnosis/genetics; *Gene Frequency; Genetic Testing/methods/*standards; Humans; Mutation; *Phenotype; *Practice Guidelines as Topic; Telangiectasia, Hereditary Hemorrhagic/diagnosis/genetics; von Willebrand Diseases/diagnosis/genetics&lt;/_subject_headings&gt;&lt;_tertiary_title&gt;European journal of medical genetics&lt;/_tertiary_title&gt;&lt;_type_work&gt;Journal Article&lt;/_type_work&gt;&lt;_url&gt;http://www.ncbi.nlm.nih.gov/entrez/query.fcgi?cmd=Retrieve&amp;amp;db=pubmed&amp;amp;dopt=Abstract&amp;amp;list_uids=34411772&amp;amp;query_hl=1&lt;/_url&gt;&lt;_volume&gt;64&lt;/_volume&gt;&lt;/Details&gt;&lt;Extra&gt;&lt;DBUID&gt;{1AFA75B8-11BD-4CAE-A4DB-24C8F05F4893}&lt;/DBUID&gt;&lt;/Extra&gt;&lt;/Item&gt;&lt;/References&gt;&lt;/Group&gt;&lt;/Citation&gt;_x000a_"/>
    <w:docVar w:name="ne_stylename" w:val="Numbered(multilingual)"/>
  </w:docVars>
  <w:rsids>
    <w:rsidRoot w:val="00172A27"/>
    <w:rsid w:val="16F3304F"/>
    <w:rsid w:val="22851CA1"/>
    <w:rsid w:val="64960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1009</Words>
  <Characters>5622</Characters>
  <Lines>0</Lines>
  <Paragraphs>0</Paragraphs>
  <TotalTime>1</TotalTime>
  <ScaleCrop>false</ScaleCrop>
  <LinksUpToDate>false</LinksUpToDate>
  <CharactersWithSpaces>6557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2023-02-19T01:59:00Z</dcterms:created>
  <dc:creator>翔</dc:creator>
  <cp:lastModifiedBy>翔</cp:lastModifiedBy>
  <dcterms:modified xsi:type="dcterms:W3CDTF">2023-03-29T00:44:42Z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252EB271FE9B4D6582C2BFE7953B3177</vt:lpwstr>
  </property>
</Properties>
</file>