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630" w:rsidRPr="008F6AA4" w:rsidRDefault="00174630" w:rsidP="00174630">
      <w:pPr>
        <w:bidi w:val="0"/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F6AA4">
        <w:rPr>
          <w:rFonts w:asciiTheme="majorBidi" w:hAnsiTheme="majorBidi" w:cstheme="majorBidi"/>
          <w:b/>
          <w:bCs/>
          <w:sz w:val="24"/>
          <w:szCs w:val="24"/>
        </w:rPr>
        <w:t>Highlight</w:t>
      </w:r>
      <w:r w:rsidR="003D5B18">
        <w:rPr>
          <w:rFonts w:asciiTheme="majorBidi" w:hAnsiTheme="majorBidi" w:cstheme="majorBidi"/>
          <w:b/>
          <w:bCs/>
          <w:sz w:val="24"/>
          <w:szCs w:val="24"/>
        </w:rPr>
        <w:t>s</w:t>
      </w:r>
    </w:p>
    <w:p w:rsidR="00050B07" w:rsidRPr="00E8536F" w:rsidRDefault="00050B07" w:rsidP="00050B07">
      <w:pPr>
        <w:pStyle w:val="ListParagraph"/>
        <w:numPr>
          <w:ilvl w:val="0"/>
          <w:numId w:val="4"/>
        </w:numPr>
        <w:bidi w:val="0"/>
        <w:spacing w:line="360" w:lineRule="auto"/>
        <w:ind w:left="0" w:right="180" w:firstLine="0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8536F">
        <w:rPr>
          <w:rFonts w:asciiTheme="majorBidi" w:hAnsiTheme="majorBidi" w:cstheme="majorBidi"/>
          <w:sz w:val="24"/>
          <w:szCs w:val="24"/>
        </w:rPr>
        <w:t>N</w:t>
      </w:r>
      <w:r>
        <w:rPr>
          <w:rFonts w:asciiTheme="majorBidi" w:hAnsiTheme="majorBidi" w:cstheme="majorBidi"/>
          <w:sz w:val="24"/>
          <w:szCs w:val="24"/>
        </w:rPr>
        <w:t>ovel</w:t>
      </w:r>
      <w:r w:rsidRPr="00E8536F">
        <w:rPr>
          <w:rFonts w:asciiTheme="majorBidi" w:hAnsiTheme="majorBidi" w:cstheme="majorBidi"/>
          <w:sz w:val="24"/>
          <w:szCs w:val="24"/>
        </w:rPr>
        <w:t xml:space="preserve"> Schiff base complexes were synthesized.</w:t>
      </w:r>
      <w:r w:rsidRPr="00E8536F">
        <w:rPr>
          <w:sz w:val="24"/>
          <w:szCs w:val="24"/>
        </w:rPr>
        <w:t xml:space="preserve"> </w:t>
      </w:r>
    </w:p>
    <w:p w:rsidR="00050B07" w:rsidRPr="00E8536F" w:rsidRDefault="00050B07" w:rsidP="00050B07">
      <w:pPr>
        <w:pStyle w:val="ListParagraph"/>
        <w:numPr>
          <w:ilvl w:val="0"/>
          <w:numId w:val="4"/>
        </w:numPr>
        <w:bidi w:val="0"/>
        <w:spacing w:line="360" w:lineRule="auto"/>
        <w:ind w:left="709" w:hanging="709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8536F">
        <w:rPr>
          <w:rFonts w:asciiTheme="majorBidi" w:eastAsia="Times New Roman" w:hAnsiTheme="majorBidi" w:cstheme="majorBidi"/>
          <w:sz w:val="24"/>
          <w:szCs w:val="24"/>
        </w:rPr>
        <w:t>The</w:t>
      </w:r>
      <w:r w:rsidRPr="00E8536F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four</w:t>
      </w:r>
      <w:r w:rsidRPr="00E8536F">
        <w:rPr>
          <w:rFonts w:asciiTheme="majorBidi" w:hAnsiTheme="majorBidi" w:cstheme="majorBidi"/>
          <w:sz w:val="24"/>
          <w:szCs w:val="24"/>
        </w:rPr>
        <w:t xml:space="preserve"> complexes were </w:t>
      </w:r>
      <w:r>
        <w:rPr>
          <w:rFonts w:asciiTheme="majorBidi" w:hAnsiTheme="majorBidi" w:cstheme="majorBidi"/>
          <w:sz w:val="24"/>
          <w:szCs w:val="24"/>
        </w:rPr>
        <w:t>determined</w:t>
      </w:r>
      <w:r w:rsidRPr="00E8536F">
        <w:rPr>
          <w:rFonts w:asciiTheme="majorBidi" w:hAnsiTheme="majorBidi" w:cstheme="majorBidi"/>
          <w:sz w:val="24"/>
          <w:szCs w:val="24"/>
        </w:rPr>
        <w:t xml:space="preserve"> by </w:t>
      </w:r>
      <w:r>
        <w:rPr>
          <w:rFonts w:asciiTheme="majorBidi" w:hAnsiTheme="majorBidi" w:cstheme="majorBidi"/>
          <w:sz w:val="24"/>
          <w:szCs w:val="24"/>
        </w:rPr>
        <w:t>single-crystal</w:t>
      </w:r>
      <w:r w:rsidRPr="00E8536F">
        <w:rPr>
          <w:rFonts w:asciiTheme="majorBidi" w:hAnsiTheme="majorBidi" w:cstheme="majorBidi"/>
          <w:sz w:val="24"/>
          <w:szCs w:val="24"/>
        </w:rPr>
        <w:t xml:space="preserve"> X-ray </w:t>
      </w:r>
      <w:r>
        <w:rPr>
          <w:rFonts w:asciiTheme="majorBidi" w:hAnsiTheme="majorBidi" w:cstheme="majorBidi"/>
          <w:sz w:val="24"/>
          <w:szCs w:val="24"/>
        </w:rPr>
        <w:t>diffraction</w:t>
      </w:r>
      <w:r w:rsidRPr="00E8536F">
        <w:rPr>
          <w:rFonts w:asciiTheme="majorBidi" w:hAnsiTheme="majorBidi" w:cstheme="majorBidi"/>
          <w:sz w:val="24"/>
          <w:szCs w:val="24"/>
        </w:rPr>
        <w:t xml:space="preserve">. </w:t>
      </w:r>
      <w:r w:rsidRPr="00E8536F">
        <w:rPr>
          <w:rFonts w:asciiTheme="majorBidi" w:eastAsia="Times New Roman" w:hAnsiTheme="majorBidi" w:cstheme="majorBidi"/>
          <w:sz w:val="28"/>
          <w:szCs w:val="28"/>
        </w:rPr>
        <w:t xml:space="preserve"> </w:t>
      </w:r>
    </w:p>
    <w:p w:rsidR="00050B07" w:rsidRPr="00E8536F" w:rsidRDefault="00050B07" w:rsidP="00050B07">
      <w:pPr>
        <w:pStyle w:val="ListParagraph"/>
        <w:numPr>
          <w:ilvl w:val="0"/>
          <w:numId w:val="4"/>
        </w:numPr>
        <w:bidi w:val="0"/>
        <w:spacing w:line="360" w:lineRule="auto"/>
        <w:ind w:left="709" w:hanging="709"/>
        <w:jc w:val="both"/>
        <w:rPr>
          <w:rFonts w:asciiTheme="majorBidi" w:hAnsiTheme="majorBidi" w:cstheme="majorBidi"/>
          <w:sz w:val="28"/>
          <w:szCs w:val="28"/>
        </w:rPr>
      </w:pPr>
      <w:r w:rsidRPr="00E8536F">
        <w:rPr>
          <w:rFonts w:asciiTheme="majorBidi" w:hAnsiTheme="majorBidi" w:cstheme="majorBidi"/>
          <w:sz w:val="24"/>
          <w:szCs w:val="28"/>
        </w:rPr>
        <w:t xml:space="preserve">The </w:t>
      </w:r>
      <w:r w:rsidRPr="006553CA">
        <w:rPr>
          <w:rFonts w:asciiTheme="majorBidi" w:hAnsiTheme="majorBidi" w:cstheme="majorBidi"/>
          <w:sz w:val="24"/>
          <w:szCs w:val="28"/>
        </w:rPr>
        <w:t xml:space="preserve">identification </w:t>
      </w:r>
      <w:r w:rsidRPr="00E8536F">
        <w:rPr>
          <w:rFonts w:asciiTheme="majorBidi" w:hAnsiTheme="majorBidi" w:cstheme="majorBidi"/>
          <w:sz w:val="24"/>
          <w:szCs w:val="28"/>
        </w:rPr>
        <w:t xml:space="preserve">of Schiff base complexes was </w:t>
      </w:r>
      <w:r>
        <w:rPr>
          <w:rFonts w:asciiTheme="majorBidi" w:hAnsiTheme="majorBidi" w:cstheme="majorBidi"/>
          <w:sz w:val="24"/>
          <w:szCs w:val="28"/>
        </w:rPr>
        <w:t>done</w:t>
      </w:r>
      <w:r w:rsidRPr="00E8536F">
        <w:rPr>
          <w:rFonts w:asciiTheme="majorBidi" w:hAnsiTheme="majorBidi" w:cstheme="majorBidi"/>
          <w:sz w:val="24"/>
          <w:szCs w:val="28"/>
        </w:rPr>
        <w:t xml:space="preserve"> by using spectroscopic techniques</w:t>
      </w:r>
      <w:r>
        <w:rPr>
          <w:rFonts w:asciiTheme="majorBidi" w:hAnsiTheme="majorBidi" w:cstheme="majorBidi"/>
          <w:sz w:val="24"/>
          <w:szCs w:val="28"/>
        </w:rPr>
        <w:t xml:space="preserve"> (FT-IR, UV-Vis)</w:t>
      </w:r>
      <w:r w:rsidRPr="00E8536F">
        <w:rPr>
          <w:rFonts w:asciiTheme="majorBidi" w:hAnsiTheme="majorBidi" w:cstheme="majorBidi"/>
          <w:sz w:val="24"/>
          <w:szCs w:val="28"/>
        </w:rPr>
        <w:t xml:space="preserve"> </w:t>
      </w:r>
      <w:bookmarkStart w:id="0" w:name="_GoBack"/>
      <w:bookmarkEnd w:id="0"/>
      <w:r w:rsidR="00F75C88">
        <w:rPr>
          <w:rFonts w:asciiTheme="majorBidi" w:hAnsiTheme="majorBidi" w:cstheme="majorBidi"/>
          <w:sz w:val="24"/>
          <w:szCs w:val="28"/>
        </w:rPr>
        <w:t xml:space="preserve">and </w:t>
      </w:r>
      <w:r w:rsidRPr="00E8536F">
        <w:rPr>
          <w:rFonts w:asciiTheme="majorBidi" w:hAnsiTheme="majorBidi" w:cstheme="majorBidi"/>
          <w:sz w:val="24"/>
          <w:szCs w:val="28"/>
        </w:rPr>
        <w:t>elemental analysis</w:t>
      </w:r>
      <w:r>
        <w:rPr>
          <w:rFonts w:asciiTheme="majorBidi" w:hAnsiTheme="majorBidi" w:cstheme="majorBidi"/>
          <w:sz w:val="24"/>
          <w:szCs w:val="28"/>
        </w:rPr>
        <w:t>.</w:t>
      </w:r>
    </w:p>
    <w:p w:rsidR="00050B07" w:rsidRPr="00E8536F" w:rsidRDefault="00050B07" w:rsidP="00050B07">
      <w:pPr>
        <w:pStyle w:val="ListParagraph"/>
        <w:numPr>
          <w:ilvl w:val="0"/>
          <w:numId w:val="4"/>
        </w:numPr>
        <w:bidi w:val="0"/>
        <w:spacing w:after="0" w:line="360" w:lineRule="auto"/>
        <w:ind w:left="709" w:hanging="709"/>
        <w:rPr>
          <w:rFonts w:asciiTheme="majorBidi" w:hAnsiTheme="majorBidi" w:cstheme="majorBidi"/>
          <w:sz w:val="24"/>
          <w:szCs w:val="24"/>
        </w:rPr>
      </w:pPr>
      <w:r w:rsidRPr="00E8536F">
        <w:rPr>
          <w:rFonts w:asciiTheme="majorBidi" w:hAnsiTheme="majorBidi" w:cstheme="majorBidi"/>
          <w:sz w:val="24"/>
          <w:szCs w:val="24"/>
        </w:rPr>
        <w:t xml:space="preserve">The </w:t>
      </w:r>
      <w:r>
        <w:rPr>
          <w:rFonts w:asciiTheme="majorBidi" w:hAnsiTheme="majorBidi" w:cstheme="majorBidi"/>
          <w:sz w:val="24"/>
          <w:szCs w:val="24"/>
        </w:rPr>
        <w:t>c</w:t>
      </w:r>
      <w:r w:rsidRPr="008548A4">
        <w:rPr>
          <w:rFonts w:asciiTheme="majorBidi" w:hAnsiTheme="majorBidi" w:cstheme="majorBidi"/>
          <w:sz w:val="24"/>
          <w:szCs w:val="24"/>
        </w:rPr>
        <w:t xml:space="preserve">yclic </w:t>
      </w:r>
      <w:proofErr w:type="spellStart"/>
      <w:r w:rsidRPr="008548A4">
        <w:rPr>
          <w:rFonts w:asciiTheme="majorBidi" w:hAnsiTheme="majorBidi" w:cstheme="majorBidi"/>
          <w:sz w:val="24"/>
          <w:szCs w:val="24"/>
        </w:rPr>
        <w:t>cyclovoltammetry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(CV) </w:t>
      </w:r>
      <w:r w:rsidRPr="00E8536F">
        <w:rPr>
          <w:rFonts w:asciiTheme="majorBidi" w:hAnsiTheme="majorBidi" w:cstheme="majorBidi"/>
          <w:sz w:val="24"/>
          <w:szCs w:val="24"/>
        </w:rPr>
        <w:t xml:space="preserve">of the complexes was </w:t>
      </w:r>
      <w:r>
        <w:rPr>
          <w:rFonts w:asciiTheme="majorBidi" w:hAnsiTheme="majorBidi" w:cstheme="majorBidi"/>
          <w:sz w:val="24"/>
          <w:szCs w:val="24"/>
        </w:rPr>
        <w:t>studied</w:t>
      </w:r>
      <w:r w:rsidRPr="00E8536F">
        <w:rPr>
          <w:rFonts w:asciiTheme="majorBidi" w:hAnsiTheme="majorBidi" w:cstheme="majorBidi"/>
          <w:sz w:val="24"/>
          <w:szCs w:val="24"/>
        </w:rPr>
        <w:t>.</w:t>
      </w:r>
    </w:p>
    <w:p w:rsidR="00050B07" w:rsidRPr="00E8536F" w:rsidRDefault="00050B07" w:rsidP="00050B07">
      <w:pPr>
        <w:pStyle w:val="ListParagraph"/>
        <w:numPr>
          <w:ilvl w:val="0"/>
          <w:numId w:val="4"/>
        </w:numPr>
        <w:bidi w:val="0"/>
        <w:spacing w:after="0" w:line="360" w:lineRule="auto"/>
        <w:ind w:left="709" w:hanging="709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E8536F">
        <w:rPr>
          <w:rFonts w:asciiTheme="majorBidi" w:hAnsiTheme="majorBidi" w:cstheme="majorBidi"/>
          <w:color w:val="000000" w:themeColor="text1"/>
          <w:sz w:val="24"/>
          <w:szCs w:val="24"/>
        </w:rPr>
        <w:t>Intermolecular exchanges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short contacts</w:t>
      </w:r>
      <w:r w:rsidRPr="00E8536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were </w:t>
      </w:r>
      <w:r w:rsidRPr="008548A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carried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out</w:t>
      </w:r>
      <w:r w:rsidRPr="00E8536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by </w:t>
      </w:r>
      <w:proofErr w:type="spellStart"/>
      <w:r w:rsidRPr="00E8536F">
        <w:rPr>
          <w:rFonts w:asciiTheme="majorBidi" w:hAnsiTheme="majorBidi" w:cstheme="majorBidi"/>
          <w:color w:val="000000" w:themeColor="text1"/>
          <w:sz w:val="24"/>
          <w:szCs w:val="24"/>
        </w:rPr>
        <w:t>Hirshfeld</w:t>
      </w:r>
      <w:proofErr w:type="spellEnd"/>
      <w:r w:rsidRPr="00E8536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surface analyses.</w:t>
      </w:r>
    </w:p>
    <w:p w:rsidR="00050B07" w:rsidRPr="00E8536F" w:rsidRDefault="00050B07" w:rsidP="00050B07">
      <w:pPr>
        <w:pStyle w:val="ListParagraph"/>
        <w:numPr>
          <w:ilvl w:val="0"/>
          <w:numId w:val="4"/>
        </w:numPr>
        <w:bidi w:val="0"/>
        <w:spacing w:after="0" w:line="360" w:lineRule="auto"/>
        <w:ind w:left="709" w:hanging="709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8536F">
        <w:rPr>
          <w:rFonts w:asciiTheme="majorBidi" w:eastAsia="AdvGulliv-R" w:hAnsiTheme="majorBidi" w:cstheme="majorBidi"/>
          <w:sz w:val="24"/>
          <w:szCs w:val="28"/>
        </w:rPr>
        <w:t xml:space="preserve">Valuation of the inhibitory effect </w:t>
      </w:r>
      <w:r w:rsidRPr="008548A4">
        <w:rPr>
          <w:rFonts w:asciiTheme="majorBidi" w:eastAsia="AdvGulliv-R" w:hAnsiTheme="majorBidi" w:cstheme="majorBidi"/>
          <w:sz w:val="24"/>
          <w:szCs w:val="28"/>
        </w:rPr>
        <w:t xml:space="preserve">against </w:t>
      </w:r>
      <w:r w:rsidRPr="008548A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protein (PDB ID: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4LXD</w:t>
      </w:r>
      <w:r w:rsidRPr="008548A4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  <w:r w:rsidRPr="00E8536F">
        <w:rPr>
          <w:rFonts w:asciiTheme="majorBidi" w:eastAsia="AdvGulliv-R" w:hAnsiTheme="majorBidi" w:cstheme="majorBidi"/>
          <w:sz w:val="24"/>
          <w:szCs w:val="28"/>
        </w:rPr>
        <w:t xml:space="preserve"> was done by a molecular docking </w:t>
      </w:r>
      <w:r>
        <w:rPr>
          <w:rFonts w:asciiTheme="majorBidi" w:eastAsia="AdvGulliv-R" w:hAnsiTheme="majorBidi" w:cstheme="majorBidi"/>
          <w:sz w:val="24"/>
          <w:szCs w:val="28"/>
        </w:rPr>
        <w:t>survey</w:t>
      </w:r>
      <w:r w:rsidRPr="00E8536F">
        <w:rPr>
          <w:rFonts w:asciiTheme="majorBidi" w:eastAsia="AdvGulliv-R" w:hAnsiTheme="majorBidi" w:cstheme="majorBidi"/>
          <w:sz w:val="24"/>
          <w:szCs w:val="28"/>
        </w:rPr>
        <w:t>.</w:t>
      </w:r>
    </w:p>
    <w:p w:rsidR="00050B07" w:rsidRPr="00E8536F" w:rsidRDefault="00050B07" w:rsidP="00050B07">
      <w:pPr>
        <w:pStyle w:val="ListParagraph"/>
        <w:ind w:left="709" w:hanging="709"/>
        <w:jc w:val="both"/>
        <w:rPr>
          <w:rFonts w:asciiTheme="majorBidi" w:hAnsiTheme="majorBidi" w:cstheme="majorBidi"/>
          <w:sz w:val="28"/>
          <w:szCs w:val="28"/>
        </w:rPr>
      </w:pPr>
    </w:p>
    <w:p w:rsidR="00A827A5" w:rsidRPr="004709B0" w:rsidRDefault="00A827A5" w:rsidP="00050B07">
      <w:pPr>
        <w:bidi w:val="0"/>
        <w:spacing w:line="360" w:lineRule="auto"/>
        <w:ind w:left="709" w:hanging="709"/>
        <w:jc w:val="both"/>
      </w:pPr>
    </w:p>
    <w:sectPr w:rsidR="00A827A5" w:rsidRPr="004709B0" w:rsidSect="00E57B2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Gulliv-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666D41"/>
    <w:multiLevelType w:val="hybridMultilevel"/>
    <w:tmpl w:val="057EFD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DA3845"/>
    <w:multiLevelType w:val="hybridMultilevel"/>
    <w:tmpl w:val="F02ED444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630"/>
    <w:rsid w:val="00050B07"/>
    <w:rsid w:val="00174630"/>
    <w:rsid w:val="001C6CC9"/>
    <w:rsid w:val="00277D5C"/>
    <w:rsid w:val="002A7006"/>
    <w:rsid w:val="003D5B18"/>
    <w:rsid w:val="004709B0"/>
    <w:rsid w:val="00633AB3"/>
    <w:rsid w:val="007579D6"/>
    <w:rsid w:val="00A827A5"/>
    <w:rsid w:val="00B329E0"/>
    <w:rsid w:val="00C037C5"/>
    <w:rsid w:val="00C76DF8"/>
    <w:rsid w:val="00D0255A"/>
    <w:rsid w:val="00D44176"/>
    <w:rsid w:val="00DF036F"/>
    <w:rsid w:val="00EA79CD"/>
    <w:rsid w:val="00F7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BFE891"/>
  <w15:chartTrackingRefBased/>
  <w15:docId w15:val="{F53F30A7-6C25-4F9C-BA18-FD93DE035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630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46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529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DehkadeRayane</cp:lastModifiedBy>
  <cp:revision>9</cp:revision>
  <dcterms:created xsi:type="dcterms:W3CDTF">2022-05-10T06:27:00Z</dcterms:created>
  <dcterms:modified xsi:type="dcterms:W3CDTF">2023-02-22T17:51:00Z</dcterms:modified>
</cp:coreProperties>
</file>