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7FA7AB" w14:textId="77777777" w:rsidR="005A5279" w:rsidRDefault="005A5279" w:rsidP="005A5279">
      <w:pPr>
        <w:spacing w:after="0"/>
        <w:rPr>
          <w:rFonts w:ascii="Times New Roman" w:hAnsi="Times New Roman" w:cs="Times New Roman"/>
          <w:b/>
          <w:bCs/>
          <w:sz w:val="24"/>
          <w:szCs w:val="24"/>
        </w:rPr>
      </w:pPr>
      <w:r w:rsidRPr="007A30BA">
        <w:rPr>
          <w:rFonts w:ascii="Times New Roman" w:hAnsi="Times New Roman" w:cs="Times New Roman"/>
          <w:b/>
          <w:bCs/>
          <w:sz w:val="24"/>
          <w:szCs w:val="24"/>
        </w:rPr>
        <w:t xml:space="preserve">Appendix 1. Data sources and selection of integrated utilities </w:t>
      </w:r>
    </w:p>
    <w:p w14:paraId="155028DC" w14:textId="77777777" w:rsidR="005A5279" w:rsidRPr="007A30BA" w:rsidRDefault="005A5279" w:rsidP="005A5279">
      <w:pPr>
        <w:spacing w:after="0"/>
        <w:rPr>
          <w:rFonts w:ascii="Times New Roman" w:hAnsi="Times New Roman" w:cs="Times New Roman"/>
          <w:b/>
          <w:bCs/>
          <w:sz w:val="24"/>
          <w:szCs w:val="24"/>
        </w:rPr>
      </w:pPr>
    </w:p>
    <w:p w14:paraId="3F3C3C51" w14:textId="77777777" w:rsidR="005A5279" w:rsidRPr="007A30BA" w:rsidRDefault="005A5279" w:rsidP="005A5279">
      <w:pPr>
        <w:spacing w:after="0" w:line="480" w:lineRule="auto"/>
        <w:ind w:firstLine="567"/>
        <w:rPr>
          <w:rFonts w:ascii="Times New Roman" w:hAnsi="Times New Roman" w:cs="Times New Roman"/>
          <w:sz w:val="24"/>
          <w:szCs w:val="24"/>
        </w:rPr>
      </w:pPr>
      <w:r w:rsidRPr="007A30BA">
        <w:rPr>
          <w:rFonts w:ascii="Times New Roman" w:hAnsi="Times New Roman" w:cs="Times New Roman"/>
          <w:sz w:val="24"/>
          <w:szCs w:val="24"/>
        </w:rPr>
        <w:t xml:space="preserve">Our data source for average electricity prices in Dallas and Houston is the </w:t>
      </w:r>
      <w:r>
        <w:rPr>
          <w:rFonts w:ascii="Times New Roman" w:hAnsi="Times New Roman" w:cs="Times New Roman"/>
          <w:sz w:val="24"/>
          <w:szCs w:val="24"/>
        </w:rPr>
        <w:t>US Bureau of Labor Statistics (</w:t>
      </w:r>
      <w:r w:rsidRPr="007A30BA">
        <w:rPr>
          <w:rFonts w:ascii="Times New Roman" w:hAnsi="Times New Roman" w:cs="Times New Roman"/>
          <w:sz w:val="24"/>
          <w:szCs w:val="24"/>
        </w:rPr>
        <w:t>BLS</w:t>
      </w:r>
      <w:r>
        <w:rPr>
          <w:rFonts w:ascii="Times New Roman" w:hAnsi="Times New Roman" w:cs="Times New Roman"/>
          <w:sz w:val="24"/>
          <w:szCs w:val="24"/>
        </w:rPr>
        <w:t>)</w:t>
      </w:r>
      <w:r w:rsidRPr="007A30BA">
        <w:rPr>
          <w:rFonts w:ascii="Times New Roman" w:hAnsi="Times New Roman" w:cs="Times New Roman"/>
          <w:sz w:val="24"/>
          <w:szCs w:val="24"/>
        </w:rPr>
        <w:t>. Data collection for electricity prices (</w:t>
      </w:r>
      <w:r w:rsidRPr="007A30BA">
        <w:rPr>
          <w:rStyle w:val="Hyperlink"/>
          <w:rFonts w:ascii="Times New Roman" w:hAnsi="Times New Roman" w:cs="Times New Roman"/>
          <w:sz w:val="24"/>
          <w:szCs w:val="24"/>
        </w:rPr>
        <w:t>https://www.bls.gov/cpi/factsheets/household-energy.htm</w:t>
      </w:r>
      <w:r w:rsidRPr="007A30BA">
        <w:rPr>
          <w:rFonts w:ascii="Times New Roman" w:hAnsi="Times New Roman" w:cs="Times New Roman"/>
          <w:sz w:val="24"/>
          <w:szCs w:val="24"/>
        </w:rPr>
        <w:t xml:space="preserve">; </w:t>
      </w:r>
      <w:r w:rsidRPr="007A30BA">
        <w:rPr>
          <w:rStyle w:val="Hyperlink"/>
          <w:rFonts w:ascii="Times New Roman" w:hAnsi="Times New Roman" w:cs="Times New Roman"/>
          <w:sz w:val="24"/>
          <w:szCs w:val="24"/>
        </w:rPr>
        <w:t>https://www.bls.gov/regions/midwest/data/averageenergyprices_selectedareas_table.htm)</w:t>
      </w:r>
      <w:r w:rsidRPr="007A30BA">
        <w:rPr>
          <w:rFonts w:ascii="Times New Roman" w:hAnsi="Times New Roman" w:cs="Times New Roman"/>
          <w:sz w:val="24"/>
          <w:szCs w:val="24"/>
        </w:rPr>
        <w:t>.</w:t>
      </w:r>
    </w:p>
    <w:p w14:paraId="04E2B257" w14:textId="77777777" w:rsidR="005A5279" w:rsidRPr="007A30BA" w:rsidRDefault="005A5279" w:rsidP="005A5279">
      <w:pPr>
        <w:spacing w:after="0" w:line="480" w:lineRule="auto"/>
        <w:ind w:firstLine="567"/>
        <w:rPr>
          <w:rFonts w:ascii="Times New Roman" w:hAnsi="Times New Roman" w:cs="Times New Roman"/>
          <w:sz w:val="24"/>
          <w:szCs w:val="24"/>
        </w:rPr>
      </w:pPr>
      <w:r w:rsidRPr="007A30BA">
        <w:rPr>
          <w:rFonts w:ascii="Times New Roman" w:hAnsi="Times New Roman" w:cs="Times New Roman"/>
          <w:sz w:val="24"/>
          <w:szCs w:val="24"/>
        </w:rPr>
        <w:t>To select integrated utilities suitable for SC</w:t>
      </w:r>
      <w:r>
        <w:rPr>
          <w:rFonts w:ascii="Times New Roman" w:hAnsi="Times New Roman" w:cs="Times New Roman"/>
          <w:sz w:val="24"/>
          <w:szCs w:val="24"/>
        </w:rPr>
        <w:t xml:space="preserve"> </w:t>
      </w:r>
      <w:r w:rsidRPr="007A30BA">
        <w:rPr>
          <w:rFonts w:ascii="Times New Roman" w:hAnsi="Times New Roman" w:cs="Times New Roman"/>
          <w:sz w:val="24"/>
          <w:szCs w:val="24"/>
        </w:rPr>
        <w:t xml:space="preserve">construction, we start with the EIA’s Form 861 databases from 1990 to 2020. As </w:t>
      </w:r>
      <w:r>
        <w:rPr>
          <w:rFonts w:ascii="Times New Roman" w:hAnsi="Times New Roman" w:cs="Times New Roman"/>
          <w:sz w:val="24"/>
          <w:szCs w:val="24"/>
        </w:rPr>
        <w:t xml:space="preserve">SC are </w:t>
      </w:r>
      <w:r w:rsidRPr="007A30BA">
        <w:rPr>
          <w:rFonts w:ascii="Times New Roman" w:hAnsi="Times New Roman" w:cs="Times New Roman"/>
          <w:sz w:val="24"/>
          <w:szCs w:val="24"/>
        </w:rPr>
        <w:t>counterfactual</w:t>
      </w:r>
      <w:r>
        <w:rPr>
          <w:rFonts w:ascii="Times New Roman" w:hAnsi="Times New Roman" w:cs="Times New Roman"/>
          <w:sz w:val="24"/>
          <w:szCs w:val="24"/>
        </w:rPr>
        <w:t>s</w:t>
      </w:r>
      <w:r w:rsidRPr="007A30BA">
        <w:rPr>
          <w:rFonts w:ascii="Times New Roman" w:hAnsi="Times New Roman" w:cs="Times New Roman"/>
          <w:sz w:val="24"/>
          <w:szCs w:val="24"/>
        </w:rPr>
        <w:t xml:space="preserve"> (Abadie, 2021), </w:t>
      </w:r>
      <w:r>
        <w:rPr>
          <w:rFonts w:ascii="Times New Roman" w:hAnsi="Times New Roman" w:cs="Times New Roman"/>
          <w:sz w:val="24"/>
          <w:szCs w:val="24"/>
        </w:rPr>
        <w:t xml:space="preserve">we do not </w:t>
      </w:r>
      <w:r w:rsidRPr="007A30BA">
        <w:rPr>
          <w:rFonts w:ascii="Times New Roman" w:hAnsi="Times New Roman" w:cs="Times New Roman"/>
          <w:sz w:val="24"/>
          <w:szCs w:val="24"/>
        </w:rPr>
        <w:t xml:space="preserve">consider utilities in states that had implemented any form of retail competition in </w:t>
      </w:r>
      <w:r>
        <w:rPr>
          <w:rFonts w:ascii="Times New Roman" w:hAnsi="Times New Roman" w:cs="Times New Roman"/>
          <w:sz w:val="24"/>
          <w:szCs w:val="24"/>
        </w:rPr>
        <w:t xml:space="preserve">the period of retail competition in </w:t>
      </w:r>
      <w:r w:rsidRPr="007A30BA">
        <w:rPr>
          <w:rFonts w:ascii="Times New Roman" w:hAnsi="Times New Roman" w:cs="Times New Roman"/>
          <w:sz w:val="24"/>
          <w:szCs w:val="24"/>
        </w:rPr>
        <w:t xml:space="preserve">Texas </w:t>
      </w:r>
      <w:r>
        <w:rPr>
          <w:rFonts w:ascii="Times New Roman" w:hAnsi="Times New Roman" w:cs="Times New Roman"/>
          <w:sz w:val="24"/>
          <w:szCs w:val="24"/>
        </w:rPr>
        <w:t xml:space="preserve">(i.e., </w:t>
      </w:r>
      <w:r w:rsidRPr="007A30BA">
        <w:rPr>
          <w:rFonts w:ascii="Times New Roman" w:hAnsi="Times New Roman" w:cs="Times New Roman"/>
          <w:sz w:val="24"/>
          <w:szCs w:val="24"/>
        </w:rPr>
        <w:t>2001-2020</w:t>
      </w:r>
      <w:r>
        <w:rPr>
          <w:rFonts w:ascii="Times New Roman" w:hAnsi="Times New Roman" w:cs="Times New Roman"/>
          <w:sz w:val="24"/>
          <w:szCs w:val="24"/>
        </w:rPr>
        <w:t>)</w:t>
      </w:r>
      <w:r w:rsidRPr="007A30BA">
        <w:rPr>
          <w:rFonts w:ascii="Times New Roman" w:hAnsi="Times New Roman" w:cs="Times New Roman"/>
          <w:sz w:val="24"/>
          <w:szCs w:val="24"/>
        </w:rPr>
        <w:t>. The utility-specific average electricity rates are equal to total residential revenues divided by total residential sales.</w:t>
      </w:r>
    </w:p>
    <w:p w14:paraId="07E06EF4" w14:textId="77777777" w:rsidR="005A5279" w:rsidRPr="007A30BA" w:rsidRDefault="005A5279" w:rsidP="005A5279">
      <w:pPr>
        <w:spacing w:after="0" w:line="480" w:lineRule="auto"/>
        <w:ind w:firstLine="567"/>
        <w:rPr>
          <w:rFonts w:ascii="Times New Roman" w:hAnsi="Times New Roman" w:cs="Times New Roman"/>
          <w:sz w:val="24"/>
          <w:szCs w:val="24"/>
        </w:rPr>
      </w:pPr>
      <w:r w:rsidRPr="007A30BA">
        <w:rPr>
          <w:rFonts w:ascii="Times New Roman" w:hAnsi="Times New Roman" w:cs="Times New Roman"/>
          <w:sz w:val="24"/>
          <w:szCs w:val="24"/>
        </w:rPr>
        <w:t>Subject to data availability and other considerations, our selection excludes the following utilities:</w:t>
      </w:r>
    </w:p>
    <w:p w14:paraId="480D34B9"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Utilities within ERCOT directly affected by restructuring: TXU, Houston Lighting and Power Company, Texas-New Mexico Power Company, and AEP-Texas.</w:t>
      </w:r>
    </w:p>
    <w:p w14:paraId="3DAC6BE2"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Non-Texas utilities in states with retail competition (</w:t>
      </w:r>
      <w:r w:rsidRPr="007A30BA">
        <w:rPr>
          <w:rStyle w:val="Hyperlink"/>
          <w:rFonts w:ascii="Times New Roman" w:hAnsi="Times New Roman" w:cs="Times New Roman"/>
          <w:sz w:val="24"/>
          <w:szCs w:val="24"/>
        </w:rPr>
        <w:t>https://www.electricchoice.com/map-deregulated-energy-markets/</w:t>
      </w:r>
      <w:r w:rsidRPr="007A30BA">
        <w:rPr>
          <w:rFonts w:ascii="Times New Roman" w:hAnsi="Times New Roman" w:cs="Times New Roman"/>
          <w:sz w:val="24"/>
          <w:szCs w:val="24"/>
        </w:rPr>
        <w:t xml:space="preserve">). </w:t>
      </w:r>
    </w:p>
    <w:p w14:paraId="1AB38C4E"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All utilities serving California because community choice aggregation projects and the state’s numerous unique energy policies render the inclusion of California utilities</w:t>
      </w:r>
      <w:r>
        <w:rPr>
          <w:rFonts w:ascii="Times New Roman" w:hAnsi="Times New Roman" w:cs="Times New Roman"/>
          <w:sz w:val="24"/>
          <w:szCs w:val="24"/>
        </w:rPr>
        <w:t xml:space="preserve"> as candidates for the control group</w:t>
      </w:r>
      <w:r w:rsidRPr="007A30BA">
        <w:rPr>
          <w:rFonts w:ascii="Times New Roman" w:hAnsi="Times New Roman" w:cs="Times New Roman"/>
          <w:sz w:val="24"/>
          <w:szCs w:val="24"/>
        </w:rPr>
        <w:t xml:space="preserve"> questionable. </w:t>
      </w:r>
    </w:p>
    <w:p w14:paraId="751A3F95"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Utilities with inexplicable data gaps</w:t>
      </w:r>
      <w:r>
        <w:rPr>
          <w:rFonts w:ascii="Times New Roman" w:hAnsi="Times New Roman" w:cs="Times New Roman"/>
          <w:sz w:val="24"/>
          <w:szCs w:val="24"/>
        </w:rPr>
        <w:t xml:space="preserve"> in the EIA datasets</w:t>
      </w:r>
      <w:r w:rsidRPr="007A30BA">
        <w:rPr>
          <w:rFonts w:ascii="Times New Roman" w:hAnsi="Times New Roman" w:cs="Times New Roman"/>
          <w:sz w:val="24"/>
          <w:szCs w:val="24"/>
        </w:rPr>
        <w:t>: Southwestern Electric Power Company</w:t>
      </w:r>
      <w:r>
        <w:rPr>
          <w:rFonts w:ascii="Times New Roman" w:hAnsi="Times New Roman" w:cs="Times New Roman"/>
          <w:sz w:val="24"/>
          <w:szCs w:val="24"/>
        </w:rPr>
        <w:t xml:space="preserve"> </w:t>
      </w:r>
      <w:r w:rsidRPr="00086CBF">
        <w:rPr>
          <w:rFonts w:ascii="Times New Roman" w:hAnsi="Times New Roman" w:cs="Times New Roman"/>
          <w:sz w:val="24"/>
          <w:szCs w:val="24"/>
        </w:rPr>
        <w:t>(in service areas outside of Texas)</w:t>
      </w:r>
      <w:r w:rsidRPr="007A30BA">
        <w:rPr>
          <w:rFonts w:ascii="Times New Roman" w:hAnsi="Times New Roman" w:cs="Times New Roman"/>
          <w:sz w:val="24"/>
          <w:szCs w:val="24"/>
        </w:rPr>
        <w:t>, Iowa Public Service Company, Iowa Electric Lighting and Power, and Iowa-Illinois Gas and Electric.</w:t>
      </w:r>
    </w:p>
    <w:p w14:paraId="0B0640A0"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 xml:space="preserve">Utilities that merged during </w:t>
      </w:r>
      <w:r>
        <w:rPr>
          <w:rFonts w:ascii="Times New Roman" w:hAnsi="Times New Roman" w:cs="Times New Roman"/>
          <w:sz w:val="24"/>
          <w:szCs w:val="24"/>
        </w:rPr>
        <w:t>2001-2020</w:t>
      </w:r>
      <w:r w:rsidRPr="007A30BA">
        <w:rPr>
          <w:rFonts w:ascii="Times New Roman" w:hAnsi="Times New Roman" w:cs="Times New Roman"/>
          <w:sz w:val="24"/>
          <w:szCs w:val="24"/>
        </w:rPr>
        <w:t xml:space="preserve"> and their regulated rate data were no longer collected by the EIA (e.g., Georgia Power and Savannah Electric). </w:t>
      </w:r>
    </w:p>
    <w:p w14:paraId="09E9F998" w14:textId="77777777" w:rsidR="005A5279" w:rsidRPr="007A30BA" w:rsidRDefault="005A5279" w:rsidP="005A5279">
      <w:pPr>
        <w:pStyle w:val="ListParagraph"/>
        <w:numPr>
          <w:ilvl w:val="0"/>
          <w:numId w:val="1"/>
        </w:numPr>
        <w:spacing w:after="0" w:line="480" w:lineRule="auto"/>
        <w:rPr>
          <w:rFonts w:ascii="Times New Roman" w:hAnsi="Times New Roman" w:cs="Times New Roman"/>
          <w:b/>
          <w:bCs/>
          <w:sz w:val="24"/>
          <w:szCs w:val="24"/>
        </w:rPr>
      </w:pPr>
      <w:r w:rsidRPr="007A30BA">
        <w:rPr>
          <w:rFonts w:ascii="Times New Roman" w:hAnsi="Times New Roman" w:cs="Times New Roman"/>
          <w:sz w:val="24"/>
          <w:szCs w:val="24"/>
        </w:rPr>
        <w:lastRenderedPageBreak/>
        <w:t>Gulf States Utilities in Texas and Louisiana and Louisiana Power and Light Company in Louisiana due to discontinuities in the regulated rate data following their consolidation into Entergy Corp.</w:t>
      </w:r>
    </w:p>
    <w:p w14:paraId="7018E9EC"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Small utilities with annual residential revenues less than $40 million (e.g., rural electric cooperatives).</w:t>
      </w:r>
    </w:p>
    <w:p w14:paraId="06D2FB4C"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 xml:space="preserve">Federal power agencies (e.g., the Salt River Project in Arizona and Bonneville Power Administration in Oregon). </w:t>
      </w:r>
    </w:p>
    <w:p w14:paraId="66FF5020" w14:textId="77777777" w:rsidR="005A5279" w:rsidRPr="007A30BA" w:rsidRDefault="005A5279" w:rsidP="005A5279">
      <w:pPr>
        <w:pStyle w:val="ListParagraph"/>
        <w:numPr>
          <w:ilvl w:val="0"/>
          <w:numId w:val="1"/>
        </w:numPr>
        <w:spacing w:after="0" w:line="480" w:lineRule="auto"/>
        <w:rPr>
          <w:rFonts w:ascii="Times New Roman" w:hAnsi="Times New Roman" w:cs="Times New Roman"/>
          <w:sz w:val="24"/>
          <w:szCs w:val="24"/>
        </w:rPr>
      </w:pPr>
      <w:r w:rsidRPr="007A30BA">
        <w:rPr>
          <w:rFonts w:ascii="Times New Roman" w:hAnsi="Times New Roman" w:cs="Times New Roman"/>
          <w:sz w:val="24"/>
          <w:szCs w:val="24"/>
        </w:rPr>
        <w:t xml:space="preserve">Utilities in Alaska and Hawaii because of their geographic isolation. </w:t>
      </w:r>
      <w:r w:rsidRPr="007A30BA">
        <w:rPr>
          <w:rFonts w:ascii="Times New Roman" w:hAnsi="Times New Roman" w:cs="Times New Roman"/>
          <w:sz w:val="24"/>
          <w:szCs w:val="24"/>
        </w:rPr>
        <w:tab/>
        <w:t xml:space="preserve"> </w:t>
      </w:r>
    </w:p>
    <w:p w14:paraId="6BB1BA55" w14:textId="77777777" w:rsidR="005A5279" w:rsidRDefault="005A5279" w:rsidP="005A5279">
      <w:pPr>
        <w:spacing w:after="0" w:line="480" w:lineRule="auto"/>
        <w:ind w:firstLine="567"/>
        <w:rPr>
          <w:rFonts w:ascii="Times New Roman" w:hAnsi="Times New Roman" w:cs="Times New Roman"/>
          <w:sz w:val="24"/>
          <w:szCs w:val="24"/>
        </w:rPr>
      </w:pPr>
      <w:r>
        <w:rPr>
          <w:rFonts w:ascii="Times New Roman" w:hAnsi="Times New Roman" w:cs="Times New Roman"/>
          <w:sz w:val="24"/>
          <w:szCs w:val="24"/>
        </w:rPr>
        <w:t>Note that</w:t>
      </w:r>
      <w:r w:rsidRPr="007A30BA">
        <w:rPr>
          <w:rFonts w:ascii="Times New Roman" w:hAnsi="Times New Roman" w:cs="Times New Roman"/>
          <w:sz w:val="24"/>
          <w:szCs w:val="24"/>
        </w:rPr>
        <w:t xml:space="preserve"> three of the four interstate utilities </w:t>
      </w:r>
      <w:r>
        <w:rPr>
          <w:rFonts w:ascii="Times New Roman" w:hAnsi="Times New Roman" w:cs="Times New Roman"/>
          <w:sz w:val="24"/>
          <w:szCs w:val="24"/>
        </w:rPr>
        <w:t>serving</w:t>
      </w:r>
      <w:r w:rsidRPr="007A30BA">
        <w:rPr>
          <w:rFonts w:ascii="Times New Roman" w:hAnsi="Times New Roman" w:cs="Times New Roman"/>
          <w:sz w:val="24"/>
          <w:szCs w:val="24"/>
        </w:rPr>
        <w:t xml:space="preserve"> Texas were retained</w:t>
      </w:r>
      <w:r>
        <w:rPr>
          <w:rFonts w:ascii="Times New Roman" w:hAnsi="Times New Roman" w:cs="Times New Roman"/>
          <w:sz w:val="24"/>
          <w:szCs w:val="24"/>
        </w:rPr>
        <w:t xml:space="preserve"> as control group candidates</w:t>
      </w:r>
      <w:r w:rsidRPr="007A30BA">
        <w:rPr>
          <w:rFonts w:ascii="Times New Roman" w:hAnsi="Times New Roman" w:cs="Times New Roman"/>
          <w:sz w:val="24"/>
          <w:szCs w:val="24"/>
        </w:rPr>
        <w:t>, since these utilities serve outside the ERCOT power region</w:t>
      </w:r>
      <w:r>
        <w:rPr>
          <w:rFonts w:ascii="Times New Roman" w:hAnsi="Times New Roman" w:cs="Times New Roman"/>
          <w:sz w:val="24"/>
          <w:szCs w:val="24"/>
        </w:rPr>
        <w:t xml:space="preserve"> and have not been exposed to retail competition.</w:t>
      </w:r>
    </w:p>
    <w:p w14:paraId="1C463F80" w14:textId="77777777" w:rsidR="005A5279" w:rsidRDefault="005A5279" w:rsidP="005A5279">
      <w:pPr>
        <w:spacing w:after="0" w:line="480" w:lineRule="auto"/>
        <w:ind w:firstLine="567"/>
        <w:rPr>
          <w:rFonts w:ascii="Times New Roman" w:hAnsi="Times New Roman" w:cs="Times New Roman"/>
          <w:sz w:val="24"/>
          <w:szCs w:val="24"/>
        </w:rPr>
      </w:pPr>
    </w:p>
    <w:p w14:paraId="4DFEC546" w14:textId="77777777" w:rsidR="005A5279" w:rsidRDefault="005A5279" w:rsidP="005A5279">
      <w:pPr>
        <w:spacing w:after="0" w:line="480" w:lineRule="auto"/>
        <w:ind w:firstLine="567"/>
        <w:rPr>
          <w:rFonts w:ascii="Times New Roman" w:hAnsi="Times New Roman" w:cs="Times New Roman"/>
          <w:sz w:val="24"/>
          <w:szCs w:val="24"/>
        </w:rPr>
      </w:pPr>
    </w:p>
    <w:p w14:paraId="41E2FBFA" w14:textId="77777777" w:rsidR="005A5279" w:rsidRPr="00FA4E97" w:rsidRDefault="005A5279" w:rsidP="005A5279">
      <w:r>
        <w:rPr>
          <w:rFonts w:ascii="Times New Roman" w:hAnsi="Times New Roman" w:cs="Times New Roman"/>
          <w:b/>
          <w:bCs/>
          <w:kern w:val="2"/>
          <w:sz w:val="24"/>
          <w:szCs w:val="24"/>
          <w:lang w:val="en-US" w:eastAsia="zh-CN"/>
          <w14:ligatures w14:val="standardContextual"/>
        </w:rPr>
        <w:br w:type="column"/>
      </w:r>
      <w:r w:rsidRPr="00FA4E97">
        <w:rPr>
          <w:rFonts w:ascii="Times New Roman" w:hAnsi="Times New Roman" w:cs="Times New Roman"/>
          <w:b/>
          <w:bCs/>
          <w:kern w:val="2"/>
          <w:sz w:val="24"/>
          <w:szCs w:val="24"/>
          <w:lang w:val="en-US" w:eastAsia="zh-CN"/>
          <w14:ligatures w14:val="standardContextual"/>
        </w:rPr>
        <w:lastRenderedPageBreak/>
        <w:t>Appendix</w:t>
      </w:r>
      <w:r w:rsidRPr="006C1F91">
        <w:rPr>
          <w:rFonts w:ascii="Times New Roman" w:hAnsi="Times New Roman" w:cs="Times New Roman"/>
          <w:b/>
          <w:bCs/>
          <w:kern w:val="2"/>
          <w:sz w:val="24"/>
          <w:szCs w:val="24"/>
          <w:lang w:val="en-US" w:eastAsia="zh-CN"/>
          <w14:ligatures w14:val="standardContextual"/>
        </w:rPr>
        <w:t xml:space="preserve"> 2</w:t>
      </w:r>
      <w:r w:rsidRPr="00FA4E97">
        <w:rPr>
          <w:rFonts w:ascii="Times New Roman" w:hAnsi="Times New Roman" w:cs="Times New Roman"/>
          <w:b/>
          <w:bCs/>
          <w:kern w:val="2"/>
          <w:sz w:val="24"/>
          <w:szCs w:val="24"/>
          <w:lang w:val="en-US" w:eastAsia="zh-CN"/>
          <w14:ligatures w14:val="standardContextual"/>
        </w:rPr>
        <w:t xml:space="preserve">. Placebo </w:t>
      </w:r>
      <w:r>
        <w:rPr>
          <w:rFonts w:ascii="Times New Roman" w:hAnsi="Times New Roman" w:cs="Times New Roman"/>
          <w:b/>
          <w:bCs/>
          <w:kern w:val="2"/>
          <w:sz w:val="24"/>
          <w:szCs w:val="24"/>
          <w:lang w:val="en-US" w:eastAsia="zh-CN"/>
          <w14:ligatures w14:val="standardContextual"/>
        </w:rPr>
        <w:t>t</w:t>
      </w:r>
      <w:r w:rsidRPr="00FA4E97">
        <w:rPr>
          <w:rFonts w:ascii="Times New Roman" w:hAnsi="Times New Roman" w:cs="Times New Roman"/>
          <w:b/>
          <w:bCs/>
          <w:kern w:val="2"/>
          <w:sz w:val="24"/>
          <w:szCs w:val="24"/>
          <w:lang w:val="en-US" w:eastAsia="zh-CN"/>
          <w14:ligatures w14:val="standardContextual"/>
        </w:rPr>
        <w:t>ests</w:t>
      </w:r>
    </w:p>
    <w:p w14:paraId="3BE96EBA" w14:textId="77777777" w:rsidR="005A5279" w:rsidRPr="00FA4E97" w:rsidRDefault="005A5279" w:rsidP="005A5279">
      <w:pPr>
        <w:spacing w:after="0" w:line="480" w:lineRule="auto"/>
        <w:ind w:firstLine="720"/>
        <w:rPr>
          <w:rFonts w:ascii="Times New Roman" w:hAnsi="Times New Roman" w:cs="Times New Roman"/>
          <w:kern w:val="2"/>
          <w:sz w:val="24"/>
          <w:szCs w:val="24"/>
          <w:lang w:val="en-US" w:eastAsia="zh-CN"/>
          <w14:ligatures w14:val="standardContextual"/>
        </w:rPr>
      </w:pPr>
      <w:r w:rsidRPr="00FA4E97">
        <w:rPr>
          <w:rFonts w:ascii="Times New Roman" w:hAnsi="Times New Roman" w:cs="Times New Roman"/>
          <w:kern w:val="2"/>
          <w:sz w:val="24"/>
          <w:szCs w:val="24"/>
          <w:lang w:val="en-US" w:eastAsia="zh-CN"/>
          <w14:ligatures w14:val="standardContextual"/>
        </w:rPr>
        <w:t xml:space="preserve">We perform two </w:t>
      </w:r>
      <w:r>
        <w:rPr>
          <w:rFonts w:ascii="Times New Roman" w:hAnsi="Times New Roman" w:cs="Times New Roman"/>
          <w:kern w:val="2"/>
          <w:sz w:val="24"/>
          <w:szCs w:val="24"/>
          <w:lang w:val="en-US" w:eastAsia="zh-CN"/>
          <w14:ligatures w14:val="standardContextual"/>
        </w:rPr>
        <w:t xml:space="preserve">placebo tests </w:t>
      </w:r>
      <w:r w:rsidRPr="00FA4E97">
        <w:rPr>
          <w:rFonts w:ascii="Times New Roman" w:hAnsi="Times New Roman" w:cs="Times New Roman"/>
          <w:kern w:val="2"/>
          <w:sz w:val="24"/>
          <w:szCs w:val="24"/>
          <w:lang w:val="en-US" w:eastAsia="zh-CN"/>
          <w14:ligatures w14:val="standardContextual"/>
        </w:rPr>
        <w:t xml:space="preserve">to evaluate whether our SC results reported in the main text are entirely driven by random chance. The first </w:t>
      </w:r>
      <w:r>
        <w:rPr>
          <w:rFonts w:ascii="Times New Roman" w:hAnsi="Times New Roman" w:cs="Times New Roman"/>
          <w:kern w:val="2"/>
          <w:sz w:val="24"/>
          <w:szCs w:val="24"/>
          <w:lang w:val="en-US" w:eastAsia="zh-CN"/>
          <w14:ligatures w14:val="standardContextual"/>
        </w:rPr>
        <w:t xml:space="preserve">test uses </w:t>
      </w:r>
      <w:r w:rsidRPr="00FA4E97">
        <w:rPr>
          <w:rFonts w:ascii="Times New Roman" w:hAnsi="Times New Roman" w:cs="Times New Roman"/>
          <w:kern w:val="2"/>
          <w:sz w:val="24"/>
          <w:szCs w:val="24"/>
          <w:lang w:val="en-US" w:eastAsia="zh-CN"/>
          <w14:ligatures w14:val="standardContextual"/>
        </w:rPr>
        <w:t xml:space="preserve">the iterative application of SC in the three cases to every other integrated utility not subject to market reform (Abadie </w:t>
      </w:r>
      <w:r>
        <w:rPr>
          <w:rFonts w:ascii="Times New Roman" w:hAnsi="Times New Roman" w:cs="Times New Roman"/>
          <w:kern w:val="2"/>
          <w:sz w:val="24"/>
          <w:szCs w:val="24"/>
          <w:lang w:val="en-US" w:eastAsia="zh-CN"/>
          <w14:ligatures w14:val="standardContextual"/>
        </w:rPr>
        <w:t>et al.,</w:t>
      </w:r>
      <w:r w:rsidRPr="00FA4E97">
        <w:rPr>
          <w:rFonts w:ascii="Times New Roman" w:hAnsi="Times New Roman" w:cs="Times New Roman"/>
          <w:kern w:val="2"/>
          <w:sz w:val="24"/>
          <w:szCs w:val="24"/>
          <w:lang w:val="en-US" w:eastAsia="zh-CN"/>
          <w14:ligatures w14:val="standardContextual"/>
        </w:rPr>
        <w:t xml:space="preserve"> 2010). If the resulting price gap estimates resemble those for Houston and Dallas, they suggest that deregulation does not have a discernible effect on Texas’s retail prices. </w:t>
      </w:r>
    </w:p>
    <w:p w14:paraId="0549A54C" w14:textId="77777777" w:rsidR="005A5279" w:rsidRPr="00FA4E97" w:rsidRDefault="005A5279" w:rsidP="005A5279">
      <w:pPr>
        <w:spacing w:after="0" w:line="480" w:lineRule="auto"/>
        <w:ind w:firstLine="720"/>
        <w:rPr>
          <w:rFonts w:ascii="Times New Roman" w:hAnsi="Times New Roman" w:cs="Times New Roman"/>
          <w:kern w:val="2"/>
          <w:sz w:val="24"/>
          <w:szCs w:val="24"/>
          <w:lang w:val="en-US" w:eastAsia="zh-CN"/>
          <w14:ligatures w14:val="standardContextual"/>
        </w:rPr>
      </w:pPr>
      <w:r w:rsidRPr="00FA4E97">
        <w:rPr>
          <w:rFonts w:ascii="Times New Roman" w:hAnsi="Times New Roman" w:cs="Times New Roman"/>
          <w:kern w:val="2"/>
          <w:sz w:val="24"/>
          <w:szCs w:val="24"/>
          <w:lang w:val="en-US" w:eastAsia="zh-CN"/>
          <w14:ligatures w14:val="standardContextual"/>
        </w:rPr>
        <w:t xml:space="preserve">Figures A1-A3 display the </w:t>
      </w:r>
      <w:r>
        <w:rPr>
          <w:rFonts w:ascii="Times New Roman" w:hAnsi="Times New Roman" w:cs="Times New Roman"/>
          <w:kern w:val="2"/>
          <w:sz w:val="24"/>
          <w:szCs w:val="24"/>
          <w:lang w:val="en-US" w:eastAsia="zh-CN"/>
          <w14:ligatures w14:val="standardContextual"/>
        </w:rPr>
        <w:t xml:space="preserve">first set of </w:t>
      </w:r>
      <w:r w:rsidRPr="00FA4E97">
        <w:rPr>
          <w:rFonts w:ascii="Times New Roman" w:hAnsi="Times New Roman" w:cs="Times New Roman"/>
          <w:kern w:val="2"/>
          <w:sz w:val="24"/>
          <w:szCs w:val="24"/>
          <w:lang w:val="en-US" w:eastAsia="zh-CN"/>
          <w14:ligatures w14:val="standardContextual"/>
        </w:rPr>
        <w:t xml:space="preserve">placebo test results for the three cases. The black lines represent the price gaps between Dallas’s and Houston’s actual and synthetic prices. The gray lines are the placebo price gaps. These figures show that the positive price gaps for the two Texas cities reported in the main text are not due to random chance. </w:t>
      </w:r>
    </w:p>
    <w:p w14:paraId="75571246" w14:textId="77777777" w:rsidR="005A5279" w:rsidRPr="00FA4E97" w:rsidRDefault="005A5279" w:rsidP="005A5279">
      <w:pPr>
        <w:spacing w:line="480" w:lineRule="auto"/>
        <w:ind w:firstLine="720"/>
        <w:rPr>
          <w:rFonts w:ascii="Times New Roman" w:hAnsi="Times New Roman" w:cs="Times New Roman"/>
          <w:kern w:val="2"/>
          <w:sz w:val="24"/>
          <w:szCs w:val="24"/>
          <w:lang w:val="en-US" w:eastAsia="zh-CN"/>
          <w14:ligatures w14:val="standardContextual"/>
        </w:rPr>
      </w:pPr>
      <w:r w:rsidRPr="00FA4E97">
        <w:rPr>
          <w:rFonts w:ascii="Times New Roman" w:hAnsi="Times New Roman" w:cs="Times New Roman"/>
          <w:kern w:val="2"/>
          <w:sz w:val="24"/>
          <w:szCs w:val="24"/>
          <w:lang w:val="en-US" w:eastAsia="zh-CN"/>
          <w14:ligatures w14:val="standardContextual"/>
        </w:rPr>
        <w:t xml:space="preserve">The second </w:t>
      </w:r>
      <w:r>
        <w:rPr>
          <w:rFonts w:ascii="Times New Roman" w:hAnsi="Times New Roman" w:cs="Times New Roman"/>
          <w:kern w:val="2"/>
          <w:sz w:val="24"/>
          <w:szCs w:val="24"/>
          <w:lang w:val="en-US" w:eastAsia="zh-CN"/>
          <w14:ligatures w14:val="standardContextual"/>
        </w:rPr>
        <w:t xml:space="preserve">placebo test </w:t>
      </w:r>
      <w:r w:rsidRPr="00FA4E97">
        <w:rPr>
          <w:rFonts w:ascii="Times New Roman" w:hAnsi="Times New Roman" w:cs="Times New Roman"/>
          <w:kern w:val="2"/>
          <w:sz w:val="24"/>
          <w:szCs w:val="24"/>
          <w:lang w:val="en-US" w:eastAsia="zh-CN"/>
          <w14:ligatures w14:val="standardContextual"/>
        </w:rPr>
        <w:t xml:space="preserve">entails backdating the treatment year in the data (Abadie, Diamond, and Hainmueller 2015, Abadie and Vives-i-Bastida 2021). As the last pre-treatment year for our baseline cases is 2001, </w:t>
      </w:r>
      <w:r>
        <w:rPr>
          <w:rFonts w:ascii="Times New Roman" w:hAnsi="Times New Roman" w:cs="Times New Roman"/>
          <w:kern w:val="2"/>
          <w:sz w:val="24"/>
          <w:szCs w:val="24"/>
          <w:lang w:val="en-US" w:eastAsia="zh-CN"/>
          <w14:ligatures w14:val="standardContextual"/>
        </w:rPr>
        <w:t>our</w:t>
      </w:r>
      <w:r w:rsidRPr="00FA4E97">
        <w:rPr>
          <w:rFonts w:ascii="Times New Roman" w:hAnsi="Times New Roman" w:cs="Times New Roman"/>
          <w:kern w:val="2"/>
          <w:sz w:val="24"/>
          <w:szCs w:val="24"/>
          <w:lang w:val="en-US" w:eastAsia="zh-CN"/>
          <w14:ligatures w14:val="standardContextual"/>
        </w:rPr>
        <w:t xml:space="preserve"> backdate</w:t>
      </w:r>
      <w:r>
        <w:rPr>
          <w:rFonts w:ascii="Times New Roman" w:hAnsi="Times New Roman" w:cs="Times New Roman"/>
          <w:kern w:val="2"/>
          <w:sz w:val="24"/>
          <w:szCs w:val="24"/>
          <w:lang w:val="en-US" w:eastAsia="zh-CN"/>
          <w14:ligatures w14:val="standardContextual"/>
        </w:rPr>
        <w:t>d</w:t>
      </w:r>
      <w:r w:rsidRPr="00FA4E97">
        <w:rPr>
          <w:rFonts w:ascii="Times New Roman" w:hAnsi="Times New Roman" w:cs="Times New Roman"/>
          <w:kern w:val="2"/>
          <w:sz w:val="24"/>
          <w:szCs w:val="24"/>
          <w:lang w:val="en-US" w:eastAsia="zh-CN"/>
          <w14:ligatures w14:val="standardContextual"/>
        </w:rPr>
        <w:t xml:space="preserve"> treatment year </w:t>
      </w:r>
      <w:r>
        <w:rPr>
          <w:rFonts w:ascii="Times New Roman" w:hAnsi="Times New Roman" w:cs="Times New Roman"/>
          <w:kern w:val="2"/>
          <w:sz w:val="24"/>
          <w:szCs w:val="24"/>
          <w:lang w:val="en-US" w:eastAsia="zh-CN"/>
          <w14:ligatures w14:val="standardContextual"/>
        </w:rPr>
        <w:t xml:space="preserve">is </w:t>
      </w:r>
      <w:r w:rsidRPr="00FA4E97">
        <w:rPr>
          <w:rFonts w:ascii="Times New Roman" w:hAnsi="Times New Roman" w:cs="Times New Roman"/>
          <w:kern w:val="2"/>
          <w:sz w:val="24"/>
          <w:szCs w:val="24"/>
          <w:lang w:val="en-US" w:eastAsia="zh-CN"/>
          <w14:ligatures w14:val="standardContextual"/>
        </w:rPr>
        <w:t>1996, five years before the actual market reform. Figures A4-A6 report the backdat</w:t>
      </w:r>
      <w:r>
        <w:rPr>
          <w:rFonts w:ascii="Times New Roman" w:hAnsi="Times New Roman" w:cs="Times New Roman"/>
          <w:kern w:val="2"/>
          <w:sz w:val="24"/>
          <w:szCs w:val="24"/>
          <w:lang w:val="en-US" w:eastAsia="zh-CN"/>
          <w14:ligatures w14:val="standardContextual"/>
        </w:rPr>
        <w:t>ed</w:t>
      </w:r>
      <w:r w:rsidRPr="00FA4E97">
        <w:rPr>
          <w:rFonts w:ascii="Times New Roman" w:hAnsi="Times New Roman" w:cs="Times New Roman"/>
          <w:kern w:val="2"/>
          <w:sz w:val="24"/>
          <w:szCs w:val="24"/>
          <w:lang w:val="en-US" w:eastAsia="zh-CN"/>
          <w14:ligatures w14:val="standardContextual"/>
        </w:rPr>
        <w:t xml:space="preserve"> and baseline estimates. The out-of-sample fit in 1997-2001 is very good for the placebo estimates portrayed by the dotted lines. Further, the placebo results since 2001 lend support to the SC estimates reported in the main text for deregulation’s discernible effect on Dallas’s and Houston’s retail prices. </w:t>
      </w:r>
    </w:p>
    <w:p w14:paraId="2864F414" w14:textId="77777777" w:rsidR="005A5279" w:rsidRPr="00FA4E97" w:rsidRDefault="005A5279" w:rsidP="005A5279">
      <w:pPr>
        <w:rPr>
          <w:rFonts w:ascii="Times New Roman" w:hAnsi="Times New Roman" w:cs="Times New Roman"/>
          <w:kern w:val="2"/>
          <w:sz w:val="24"/>
          <w:szCs w:val="24"/>
          <w:lang w:val="en-US" w:eastAsia="zh-CN"/>
          <w14:ligatures w14:val="standardContextual"/>
        </w:rPr>
      </w:pPr>
    </w:p>
    <w:p w14:paraId="43F4656D" w14:textId="77777777" w:rsidR="005A5279" w:rsidRDefault="005A5279" w:rsidP="005A5279">
      <w:pPr>
        <w:rPr>
          <w:rFonts w:ascii="Times New Roman" w:hAnsi="Times New Roman" w:cs="Times New Roman"/>
          <w:kern w:val="2"/>
          <w:sz w:val="24"/>
          <w:szCs w:val="24"/>
          <w:lang w:val="en-US" w:eastAsia="zh-CN"/>
          <w14:ligatures w14:val="standardContextual"/>
        </w:rPr>
        <w:sectPr w:rsidR="005A5279" w:rsidSect="00FA4E97">
          <w:footerReference w:type="default" r:id="rId5"/>
          <w:pgSz w:w="11906" w:h="16838"/>
          <w:pgMar w:top="1440" w:right="1440" w:bottom="1440" w:left="1440" w:header="706" w:footer="706" w:gutter="0"/>
          <w:cols w:space="708"/>
          <w:docGrid w:linePitch="360"/>
        </w:sectPr>
      </w:pPr>
    </w:p>
    <w:p w14:paraId="11E3EF5A" w14:textId="77777777" w:rsidR="005A5279" w:rsidRPr="00FA4E97" w:rsidRDefault="005A5279" w:rsidP="005A5279">
      <w:pPr>
        <w:rPr>
          <w:rFonts w:ascii="Times New Roman" w:hAnsi="Times New Roman" w:cs="Times New Roman"/>
          <w:kern w:val="2"/>
          <w:sz w:val="24"/>
          <w:szCs w:val="24"/>
          <w:lang w:val="en-US" w:eastAsia="zh-CN"/>
          <w14:ligatures w14:val="standardContextual"/>
        </w:rPr>
      </w:pPr>
      <w:r w:rsidRPr="00FA4E97">
        <w:rPr>
          <w:rFonts w:ascii="Times New Roman" w:hAnsi="Times New Roman" w:cs="Times New Roman"/>
          <w:noProof/>
          <w:kern w:val="2"/>
          <w:sz w:val="24"/>
          <w:szCs w:val="24"/>
          <w:lang w:val="en-US" w:eastAsia="zh-CN"/>
          <w14:ligatures w14:val="standardContextual"/>
        </w:rPr>
        <w:lastRenderedPageBreak/>
        <w:drawing>
          <wp:inline distT="0" distB="0" distL="0" distR="0" wp14:anchorId="70CF8EF9" wp14:editId="65ACEA07">
            <wp:extent cx="8483173" cy="3393269"/>
            <wp:effectExtent l="0" t="0" r="0" b="0"/>
            <wp:docPr id="165003553"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3553" name="Picture 1" descr="Graphical user interfac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8514885" cy="3405954"/>
                    </a:xfrm>
                    <a:prstGeom prst="rect">
                      <a:avLst/>
                    </a:prstGeom>
                  </pic:spPr>
                </pic:pic>
              </a:graphicData>
            </a:graphic>
          </wp:inline>
        </w:drawing>
      </w:r>
    </w:p>
    <w:p w14:paraId="7062009F"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kern w:val="2"/>
          <w:sz w:val="20"/>
          <w:szCs w:val="20"/>
          <w:lang w:val="en-US" w:eastAsia="zh-CN"/>
          <w14:ligatures w14:val="standardContextual"/>
        </w:rPr>
        <w:t xml:space="preserve">Figure A1. Case 1’s residential electricity price gaps in Dallas (Houston) and placebo gaps in 27 (52) control utilities (remove utilities with pre-reform MSPE two times higher than Dalla’s (Houston’s)). </w:t>
      </w:r>
    </w:p>
    <w:p w14:paraId="7ABEC50D"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noProof/>
          <w:kern w:val="2"/>
          <w:sz w:val="20"/>
          <w:szCs w:val="20"/>
          <w:lang w:val="en-US" w:eastAsia="zh-CN"/>
          <w14:ligatures w14:val="standardContextual"/>
        </w:rPr>
        <w:lastRenderedPageBreak/>
        <w:drawing>
          <wp:inline distT="0" distB="0" distL="0" distR="0" wp14:anchorId="359B0D3F" wp14:editId="185809A6">
            <wp:extent cx="8621486" cy="3448594"/>
            <wp:effectExtent l="0" t="0" r="8255" b="0"/>
            <wp:docPr id="73479062" name="Picture 2"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79062" name="Picture 2" descr="Graphical user interfac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654854" cy="3461941"/>
                    </a:xfrm>
                    <a:prstGeom prst="rect">
                      <a:avLst/>
                    </a:prstGeom>
                  </pic:spPr>
                </pic:pic>
              </a:graphicData>
            </a:graphic>
          </wp:inline>
        </w:drawing>
      </w:r>
    </w:p>
    <w:p w14:paraId="039A7624"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kern w:val="2"/>
          <w:sz w:val="20"/>
          <w:szCs w:val="20"/>
          <w:lang w:val="en-US" w:eastAsia="zh-CN"/>
          <w14:ligatures w14:val="standardContextual"/>
        </w:rPr>
        <w:t xml:space="preserve">Figure A2. Case 2A’s residential electricity price gaps in Dallas (Houston) and placebo gaps in 33 (56) control utilities (remove utilities with pre-reform MSPE two times higher than Dalla’s (Houston’s)). </w:t>
      </w:r>
    </w:p>
    <w:p w14:paraId="57B304A4"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p>
    <w:p w14:paraId="09C5DEF3"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noProof/>
          <w:kern w:val="2"/>
          <w:sz w:val="20"/>
          <w:szCs w:val="20"/>
          <w:lang w:val="en-US" w:eastAsia="zh-CN"/>
          <w14:ligatures w14:val="standardContextual"/>
        </w:rPr>
        <w:lastRenderedPageBreak/>
        <w:drawing>
          <wp:inline distT="0" distB="0" distL="0" distR="0" wp14:anchorId="0476DE08" wp14:editId="5F307946">
            <wp:extent cx="8682960" cy="3473183"/>
            <wp:effectExtent l="0" t="0" r="4445" b="0"/>
            <wp:docPr id="78736823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368233" name="Picture 3" descr="Graphical user interfac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713263" cy="3485304"/>
                    </a:xfrm>
                    <a:prstGeom prst="rect">
                      <a:avLst/>
                    </a:prstGeom>
                  </pic:spPr>
                </pic:pic>
              </a:graphicData>
            </a:graphic>
          </wp:inline>
        </w:drawing>
      </w:r>
    </w:p>
    <w:p w14:paraId="0706BBD1"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kern w:val="2"/>
          <w:sz w:val="20"/>
          <w:szCs w:val="20"/>
          <w:lang w:val="en-US" w:eastAsia="zh-CN"/>
          <w14:ligatures w14:val="standardContextual"/>
        </w:rPr>
        <w:t xml:space="preserve">Figure A3. Case 2B’s residential electricity price gaps in Dallas (Houston) and placebo gaps in 42 (49) control utilities (remove utilities with pre-reform MSPE two times higher than Dalla’s (Houston’s)). </w:t>
      </w:r>
    </w:p>
    <w:p w14:paraId="285FE27F"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noProof/>
          <w:kern w:val="2"/>
          <w:sz w:val="20"/>
          <w:szCs w:val="20"/>
          <w:lang w:val="en-US" w:eastAsia="zh-CN"/>
          <w14:ligatures w14:val="standardContextual"/>
        </w:rPr>
        <w:lastRenderedPageBreak/>
        <w:drawing>
          <wp:inline distT="0" distB="0" distL="0" distR="0" wp14:anchorId="61A95E40" wp14:editId="3991A5B3">
            <wp:extent cx="8681613" cy="3158138"/>
            <wp:effectExtent l="0" t="0" r="5715" b="4445"/>
            <wp:docPr id="4" name="Picture 4" descr="A picture containing text, line,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line, plot, 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716429" cy="3170803"/>
                    </a:xfrm>
                    <a:prstGeom prst="rect">
                      <a:avLst/>
                    </a:prstGeom>
                  </pic:spPr>
                </pic:pic>
              </a:graphicData>
            </a:graphic>
          </wp:inline>
        </w:drawing>
      </w:r>
    </w:p>
    <w:p w14:paraId="0180E401"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kern w:val="2"/>
          <w:sz w:val="20"/>
          <w:szCs w:val="20"/>
          <w:lang w:val="en-US" w:eastAsia="zh-CN"/>
          <w14:ligatures w14:val="standardContextual"/>
        </w:rPr>
        <w:t>Figure A4. Case 1’s residential electricity price comparison; baseline synthetic control estimates (dash) and treatment backdated to 1996 (dot).</w:t>
      </w:r>
    </w:p>
    <w:p w14:paraId="48B7A0E0"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p>
    <w:p w14:paraId="47A39927"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noProof/>
          <w:kern w:val="2"/>
          <w:sz w:val="20"/>
          <w:szCs w:val="20"/>
          <w:lang w:val="en-US" w:eastAsia="zh-CN"/>
          <w14:ligatures w14:val="standardContextual"/>
        </w:rPr>
        <w:lastRenderedPageBreak/>
        <w:drawing>
          <wp:inline distT="0" distB="0" distL="0" distR="0" wp14:anchorId="238EA5D0" wp14:editId="327BD19D">
            <wp:extent cx="8702737" cy="3165822"/>
            <wp:effectExtent l="0" t="0" r="3175" b="0"/>
            <wp:docPr id="1311454283" name="Picture 1311454283" descr="A picture containing text, line,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line, plot, diagram&#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39242" cy="3179101"/>
                    </a:xfrm>
                    <a:prstGeom prst="rect">
                      <a:avLst/>
                    </a:prstGeom>
                  </pic:spPr>
                </pic:pic>
              </a:graphicData>
            </a:graphic>
          </wp:inline>
        </w:drawing>
      </w:r>
    </w:p>
    <w:p w14:paraId="6A37420F"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kern w:val="2"/>
          <w:sz w:val="20"/>
          <w:szCs w:val="20"/>
          <w:lang w:val="en-US" w:eastAsia="zh-CN"/>
          <w14:ligatures w14:val="standardContextual"/>
        </w:rPr>
        <w:t>Figure A5. Case 2A’s residential electricity price comparison; baseline synthetic control estimates (dash) and treatment backdated to 1996 (dot).</w:t>
      </w:r>
    </w:p>
    <w:p w14:paraId="64EE31EF"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p>
    <w:p w14:paraId="20FE7AAA" w14:textId="77777777" w:rsidR="005A5279" w:rsidRPr="00FA4E97" w:rsidRDefault="005A5279" w:rsidP="005A5279">
      <w:pPr>
        <w:rPr>
          <w:rFonts w:ascii="Times New Roman" w:hAnsi="Times New Roman" w:cs="Times New Roman"/>
          <w:kern w:val="2"/>
          <w:sz w:val="20"/>
          <w:szCs w:val="20"/>
          <w:lang w:val="en-US" w:eastAsia="zh-CN"/>
          <w14:ligatures w14:val="standardContextual"/>
        </w:rPr>
      </w:pPr>
      <w:r w:rsidRPr="00FA4E97">
        <w:rPr>
          <w:rFonts w:ascii="Times New Roman" w:hAnsi="Times New Roman" w:cs="Times New Roman"/>
          <w:noProof/>
          <w:kern w:val="2"/>
          <w:sz w:val="20"/>
          <w:szCs w:val="20"/>
          <w:lang w:val="en-US" w:eastAsia="zh-CN"/>
          <w14:ligatures w14:val="standardContextual"/>
        </w:rPr>
        <w:lastRenderedPageBreak/>
        <w:drawing>
          <wp:inline distT="0" distB="0" distL="0" distR="0" wp14:anchorId="53253E97" wp14:editId="56DEF66E">
            <wp:extent cx="8597122" cy="3127402"/>
            <wp:effectExtent l="0" t="0" r="0" b="0"/>
            <wp:docPr id="49646708" name="Picture 49646708" descr="A picture containing text, line, pl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line, plot, 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624917" cy="3137513"/>
                    </a:xfrm>
                    <a:prstGeom prst="rect">
                      <a:avLst/>
                    </a:prstGeom>
                  </pic:spPr>
                </pic:pic>
              </a:graphicData>
            </a:graphic>
          </wp:inline>
        </w:drawing>
      </w:r>
    </w:p>
    <w:p w14:paraId="242F3FF8" w14:textId="5DB48141" w:rsidR="00755780" w:rsidRDefault="005A5279" w:rsidP="005A5279">
      <w:r w:rsidRPr="00FA4E97">
        <w:rPr>
          <w:rFonts w:ascii="Times New Roman" w:hAnsi="Times New Roman" w:cs="Times New Roman"/>
          <w:kern w:val="2"/>
          <w:sz w:val="20"/>
          <w:szCs w:val="20"/>
          <w:lang w:val="en-US" w:eastAsia="zh-CN"/>
          <w14:ligatures w14:val="standardContextual"/>
        </w:rPr>
        <w:t>Figure A6. Case 2B’s residential electricity price comparison; baseline synthetic control estimates (dash) and treatment backdated to 1996 (dot).</w:t>
      </w:r>
    </w:p>
    <w:sectPr w:rsidR="00755780" w:rsidSect="005A527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4900155"/>
      <w:docPartObj>
        <w:docPartGallery w:val="Page Numbers (Bottom of Page)"/>
        <w:docPartUnique/>
      </w:docPartObj>
    </w:sdtPr>
    <w:sdtEndPr>
      <w:rPr>
        <w:noProof/>
      </w:rPr>
    </w:sdtEndPr>
    <w:sdtContent>
      <w:p w14:paraId="42A0B00E" w14:textId="77777777" w:rsidR="00430AD2" w:rsidRDefault="005A527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8ED79D" w14:textId="77777777" w:rsidR="00430AD2" w:rsidRDefault="005A5279">
    <w:pPr>
      <w:pStyle w:val="Footer"/>
    </w:pPr>
  </w:p>
  <w:p w14:paraId="67F2634C" w14:textId="77777777" w:rsidR="00430AD2" w:rsidRDefault="005A5279"/>
  <w:p w14:paraId="58D83C77" w14:textId="77777777" w:rsidR="00430AD2" w:rsidRDefault="005A5279"/>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F725BD"/>
    <w:multiLevelType w:val="hybridMultilevel"/>
    <w:tmpl w:val="59B6F4D2"/>
    <w:lvl w:ilvl="0" w:tplc="3C090001">
      <w:start w:val="1"/>
      <w:numFmt w:val="bullet"/>
      <w:lvlText w:val=""/>
      <w:lvlJc w:val="left"/>
      <w:pPr>
        <w:ind w:left="360" w:hanging="360"/>
      </w:pPr>
      <w:rPr>
        <w:rFonts w:ascii="Symbol" w:hAnsi="Symbol" w:hint="default"/>
      </w:rPr>
    </w:lvl>
    <w:lvl w:ilvl="1" w:tplc="3C090003" w:tentative="1">
      <w:start w:val="1"/>
      <w:numFmt w:val="bullet"/>
      <w:lvlText w:val="o"/>
      <w:lvlJc w:val="left"/>
      <w:pPr>
        <w:ind w:left="1080" w:hanging="360"/>
      </w:pPr>
      <w:rPr>
        <w:rFonts w:ascii="Courier New" w:hAnsi="Courier New" w:cs="Courier New" w:hint="default"/>
      </w:rPr>
    </w:lvl>
    <w:lvl w:ilvl="2" w:tplc="3C090005" w:tentative="1">
      <w:start w:val="1"/>
      <w:numFmt w:val="bullet"/>
      <w:lvlText w:val=""/>
      <w:lvlJc w:val="left"/>
      <w:pPr>
        <w:ind w:left="1800" w:hanging="360"/>
      </w:pPr>
      <w:rPr>
        <w:rFonts w:ascii="Wingdings" w:hAnsi="Wingdings" w:hint="default"/>
      </w:rPr>
    </w:lvl>
    <w:lvl w:ilvl="3" w:tplc="3C090001" w:tentative="1">
      <w:start w:val="1"/>
      <w:numFmt w:val="bullet"/>
      <w:lvlText w:val=""/>
      <w:lvlJc w:val="left"/>
      <w:pPr>
        <w:ind w:left="2520" w:hanging="360"/>
      </w:pPr>
      <w:rPr>
        <w:rFonts w:ascii="Symbol" w:hAnsi="Symbol" w:hint="default"/>
      </w:rPr>
    </w:lvl>
    <w:lvl w:ilvl="4" w:tplc="3C090003" w:tentative="1">
      <w:start w:val="1"/>
      <w:numFmt w:val="bullet"/>
      <w:lvlText w:val="o"/>
      <w:lvlJc w:val="left"/>
      <w:pPr>
        <w:ind w:left="3240" w:hanging="360"/>
      </w:pPr>
      <w:rPr>
        <w:rFonts w:ascii="Courier New" w:hAnsi="Courier New" w:cs="Courier New" w:hint="default"/>
      </w:rPr>
    </w:lvl>
    <w:lvl w:ilvl="5" w:tplc="3C090005" w:tentative="1">
      <w:start w:val="1"/>
      <w:numFmt w:val="bullet"/>
      <w:lvlText w:val=""/>
      <w:lvlJc w:val="left"/>
      <w:pPr>
        <w:ind w:left="3960" w:hanging="360"/>
      </w:pPr>
      <w:rPr>
        <w:rFonts w:ascii="Wingdings" w:hAnsi="Wingdings" w:hint="default"/>
      </w:rPr>
    </w:lvl>
    <w:lvl w:ilvl="6" w:tplc="3C090001" w:tentative="1">
      <w:start w:val="1"/>
      <w:numFmt w:val="bullet"/>
      <w:lvlText w:val=""/>
      <w:lvlJc w:val="left"/>
      <w:pPr>
        <w:ind w:left="4680" w:hanging="360"/>
      </w:pPr>
      <w:rPr>
        <w:rFonts w:ascii="Symbol" w:hAnsi="Symbol" w:hint="default"/>
      </w:rPr>
    </w:lvl>
    <w:lvl w:ilvl="7" w:tplc="3C090003" w:tentative="1">
      <w:start w:val="1"/>
      <w:numFmt w:val="bullet"/>
      <w:lvlText w:val="o"/>
      <w:lvlJc w:val="left"/>
      <w:pPr>
        <w:ind w:left="5400" w:hanging="360"/>
      </w:pPr>
      <w:rPr>
        <w:rFonts w:ascii="Courier New" w:hAnsi="Courier New" w:cs="Courier New" w:hint="default"/>
      </w:rPr>
    </w:lvl>
    <w:lvl w:ilvl="8" w:tplc="3C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279"/>
    <w:rsid w:val="005A5279"/>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2888D"/>
  <w15:chartTrackingRefBased/>
  <w15:docId w15:val="{E72926D6-81DF-413A-804B-0424BD5CE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5279"/>
    <w:rPr>
      <w:rFonts w:eastAsiaTheme="minorEastAsia"/>
      <w:lang w:val="en-H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5279"/>
    <w:rPr>
      <w:color w:val="0563C1" w:themeColor="hyperlink"/>
      <w:u w:val="single"/>
    </w:rPr>
  </w:style>
  <w:style w:type="paragraph" w:styleId="ListParagraph">
    <w:name w:val="List Paragraph"/>
    <w:basedOn w:val="Normal"/>
    <w:uiPriority w:val="34"/>
    <w:qFormat/>
    <w:rsid w:val="005A5279"/>
    <w:pPr>
      <w:ind w:left="720"/>
      <w:contextualSpacing/>
    </w:pPr>
  </w:style>
  <w:style w:type="paragraph" w:styleId="Footer">
    <w:name w:val="footer"/>
    <w:basedOn w:val="Normal"/>
    <w:link w:val="FooterChar"/>
    <w:uiPriority w:val="99"/>
    <w:unhideWhenUsed/>
    <w:rsid w:val="005A5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5279"/>
    <w:rPr>
      <w:rFonts w:eastAsiaTheme="minorEastAsia"/>
      <w:lang w:val="en-H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750</Words>
  <Characters>4279</Characters>
  <Application>Microsoft Office Word</Application>
  <DocSecurity>0</DocSecurity>
  <Lines>35</Lines>
  <Paragraphs>10</Paragraphs>
  <ScaleCrop>false</ScaleCrop>
  <Company>Springer Nature</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2023-05-02T11:39:00Z</dcterms:created>
  <dcterms:modified xsi:type="dcterms:W3CDTF">2023-05-02T11:40:00Z</dcterms:modified>
</cp:coreProperties>
</file>