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0F5BAF" w:rsidRPr="00C606BE" w:rsidTr="001C5CAD">
        <w:trPr>
          <w:trHeight w:val="363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529AC">
            <w:pPr>
              <w:pStyle w:val="-11"/>
              <w:ind w:leftChars="0" w:left="0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Table</w:t>
            </w:r>
            <w:r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1. </w:t>
            </w:r>
            <w:r w:rsidR="001529AC">
              <w:rPr>
                <w:rFonts w:ascii="Times New Roman" w:hAnsi="Times New Roman"/>
                <w:bCs/>
                <w:color w:val="000000"/>
              </w:rPr>
              <w:t>D</w:t>
            </w:r>
            <w:r w:rsidRPr="00CF19AE">
              <w:rPr>
                <w:rFonts w:ascii="Times New Roman" w:hAnsi="Times New Roman"/>
                <w:bCs/>
                <w:color w:val="000000"/>
              </w:rPr>
              <w:t>emographics of 891 HCC patients underwent curative</w:t>
            </w:r>
            <w:r w:rsidR="001529AC">
              <w:rPr>
                <w:rFonts w:ascii="Times New Roman" w:hAnsi="Times New Roman"/>
                <w:bCs/>
                <w:color w:val="000000"/>
              </w:rPr>
              <w:t xml:space="preserve"> liver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resection</w:t>
            </w:r>
          </w:p>
        </w:tc>
      </w:tr>
      <w:tr w:rsidR="000F5BAF" w:rsidRPr="00C606BE" w:rsidTr="001C5CAD">
        <w:trPr>
          <w:trHeight w:val="396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n</w:t>
            </w:r>
            <w:r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= 891</w:t>
            </w:r>
          </w:p>
        </w:tc>
      </w:tr>
      <w:tr w:rsidR="000F5BAF" w:rsidRPr="00C606BE" w:rsidTr="001C5CAD">
        <w:trPr>
          <w:trHeight w:val="40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Preoperative conditions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0F5BAF" w:rsidRPr="00C606BE" w:rsidTr="001C5CAD">
        <w:trPr>
          <w:trHeight w:val="413"/>
        </w:trPr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0F5BAF" w:rsidRPr="00CF19AE" w:rsidRDefault="000F5BAF" w:rsidP="007A699C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Age (≤ 65/ &gt; 65</w:t>
            </w:r>
            <w:r w:rsidR="007A699C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7A699C" w:rsidRPr="00CF19AE">
              <w:rPr>
                <w:rFonts w:ascii="Times New Roman" w:hAnsi="Times New Roman"/>
                <w:bCs/>
                <w:color w:val="000000"/>
              </w:rPr>
              <w:t>years old</w:t>
            </w:r>
            <w:r w:rsidRPr="00CF19AE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618 (69.4%)/ 273 (30.6%)</w:t>
            </w:r>
          </w:p>
        </w:tc>
      </w:tr>
      <w:tr w:rsidR="000F5BAF" w:rsidRPr="00C606BE" w:rsidTr="001C5CAD">
        <w:trPr>
          <w:trHeight w:val="103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Gender (Male/ Female)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706 (79.2%)/ 185 (20.8%)</w:t>
            </w:r>
          </w:p>
        </w:tc>
      </w:tr>
      <w:tr w:rsidR="000F5BAF" w:rsidRPr="00C606BE" w:rsidTr="001C5CAD">
        <w:trPr>
          <w:trHeight w:val="239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CTP score (Class A/ Class B)</w:t>
            </w:r>
          </w:p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Hepatitis status (HBV/ HCV/ both HBV and HCV infection/ none)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880 (98.8%)/ 11 (1.2%)</w:t>
            </w:r>
          </w:p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465 (52.2%)/ 199 (22.3%)/</w:t>
            </w:r>
          </w:p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49 (5.5%)/ 178 (20.0%)</w:t>
            </w:r>
          </w:p>
        </w:tc>
      </w:tr>
      <w:tr w:rsidR="000F5BAF" w:rsidRPr="00C606BE" w:rsidTr="001C5CAD">
        <w:trPr>
          <w:trHeight w:val="103"/>
        </w:trPr>
        <w:tc>
          <w:tcPr>
            <w:tcW w:w="5211" w:type="dxa"/>
            <w:shd w:val="clear" w:color="auto" w:fill="auto"/>
          </w:tcPr>
          <w:p w:rsidR="000F5BAF" w:rsidRPr="00CF19AE" w:rsidRDefault="007A699C" w:rsidP="007A699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Total bilirubin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 xml:space="preserve"> (≤ 1.3/ &gt; 1.3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mg/dL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816 (91.6%)/ 75 (8.4%)</w:t>
            </w:r>
          </w:p>
        </w:tc>
      </w:tr>
      <w:tr w:rsidR="000F5BAF" w:rsidRPr="00C606BE" w:rsidTr="001C5CAD">
        <w:trPr>
          <w:trHeight w:val="338"/>
        </w:trPr>
        <w:tc>
          <w:tcPr>
            <w:tcW w:w="5211" w:type="dxa"/>
            <w:shd w:val="clear" w:color="auto" w:fill="auto"/>
          </w:tcPr>
          <w:p w:rsidR="000F5BAF" w:rsidRPr="00CF19AE" w:rsidRDefault="007A699C" w:rsidP="007A699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Albumin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 xml:space="preserve"> (≤ 3.5/ &gt; 3.5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g/dL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92 (10.3%)/ 799 (89.7%)</w:t>
            </w:r>
          </w:p>
        </w:tc>
      </w:tr>
      <w:tr w:rsidR="000F5BAF" w:rsidRPr="00C606BE" w:rsidTr="001C5CAD">
        <w:trPr>
          <w:trHeight w:val="138"/>
        </w:trPr>
        <w:tc>
          <w:tcPr>
            <w:tcW w:w="5211" w:type="dxa"/>
            <w:shd w:val="clear" w:color="auto" w:fill="auto"/>
          </w:tcPr>
          <w:p w:rsidR="000F5BAF" w:rsidRPr="00CF19AE" w:rsidRDefault="000F5BAF" w:rsidP="007A699C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 xml:space="preserve">ICG </w:t>
            </w:r>
            <w:r w:rsidR="007A699C">
              <w:rPr>
                <w:rFonts w:ascii="Times New Roman" w:hAnsi="Times New Roman"/>
                <w:bCs/>
                <w:color w:val="000000"/>
              </w:rPr>
              <w:t>R</w:t>
            </w:r>
            <w:r w:rsidR="007A699C" w:rsidRPr="007A699C">
              <w:rPr>
                <w:rFonts w:ascii="Times New Roman" w:hAnsi="Times New Roman"/>
                <w:bCs/>
                <w:color w:val="000000"/>
                <w:vertAlign w:val="subscript"/>
              </w:rPr>
              <w:t>15</w:t>
            </w:r>
            <w:r w:rsidR="007A699C">
              <w:rPr>
                <w:rFonts w:ascii="Times New Roman" w:hAnsi="Times New Roman"/>
                <w:bCs/>
                <w:color w:val="000000"/>
              </w:rPr>
              <w:t xml:space="preserve"> minutes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(≤ 10/ &gt;</w:t>
            </w:r>
            <w:r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10</w:t>
            </w:r>
            <w:r w:rsidR="007A699C" w:rsidRPr="00CF19AE">
              <w:rPr>
                <w:rFonts w:ascii="Times New Roman" w:hAnsi="Times New Roman"/>
                <w:bCs/>
                <w:color w:val="000000"/>
              </w:rPr>
              <w:t>%</w:t>
            </w:r>
            <w:r w:rsidRPr="00CF19AE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610 (68.5%)/ 281 (31.5%)</w:t>
            </w:r>
          </w:p>
        </w:tc>
      </w:tr>
      <w:tr w:rsidR="000F5BAF" w:rsidRPr="00C606BE" w:rsidTr="001C5CAD">
        <w:trPr>
          <w:trHeight w:val="285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INR (≤ 1.2/ &gt;</w:t>
            </w:r>
            <w:r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1.2)</w:t>
            </w:r>
          </w:p>
          <w:p w:rsidR="000F5BAF" w:rsidRPr="00CF19AE" w:rsidRDefault="007A699C" w:rsidP="001C5CAD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Platelet</w:t>
            </w:r>
            <w:r w:rsidRPr="007A699C">
              <w:rPr>
                <w:rFonts w:ascii="Times New Roman" w:hAnsi="Times New Roman"/>
                <w:bCs/>
                <w:color w:val="000000"/>
                <w:vertAlign w:val="superscript"/>
              </w:rPr>
              <w:t>a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 xml:space="preserve"> (≤ 100/ &gt;</w:t>
            </w:r>
            <w:r w:rsidR="000F5BAF"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>100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/10</w:t>
            </w:r>
            <w:r w:rsidRPr="00CF19AE">
              <w:rPr>
                <w:rFonts w:ascii="Times New Roman" w:hAnsi="Times New Roman"/>
                <w:bCs/>
                <w:color w:val="000000"/>
                <w:vertAlign w:val="superscript"/>
              </w:rPr>
              <w:t>3</w:t>
            </w:r>
            <w:r w:rsidRPr="00CF19AE">
              <w:rPr>
                <w:rFonts w:ascii="Times New Roman" w:hAnsi="Times New Roman"/>
                <w:bCs/>
                <w:color w:val="000000"/>
              </w:rPr>
              <w:t>μl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>)</w:t>
            </w:r>
          </w:p>
          <w:p w:rsidR="000F5BAF" w:rsidRPr="00CF19AE" w:rsidRDefault="000F5BAF" w:rsidP="001C5CAD">
            <w:pPr>
              <w:rPr>
                <w:rFonts w:ascii="Times" w:eastAsia="Times New Roman" w:hAnsi="Times"/>
                <w:kern w:val="0"/>
                <w:sz w:val="20"/>
                <w:szCs w:val="2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NLR (≤ 2.5/ &gt;</w:t>
            </w:r>
            <w:r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2.5)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839 (94.2%)/ 52 (5.8%)</w:t>
            </w:r>
          </w:p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96 (11.4%)/ 746 (88.6%)</w:t>
            </w:r>
          </w:p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682 (76.5%)/ 209 (23.5%)</w:t>
            </w:r>
          </w:p>
        </w:tc>
      </w:tr>
      <w:tr w:rsidR="000F5BAF" w:rsidRPr="00C606BE" w:rsidTr="001C5CAD">
        <w:trPr>
          <w:trHeight w:val="37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Perioperative factors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0F5BAF" w:rsidRPr="00C606BE" w:rsidTr="001C5CAD">
        <w:trPr>
          <w:trHeight w:val="103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</w:rPr>
            </w:pPr>
            <w:r w:rsidRPr="00CF19AE">
              <w:rPr>
                <w:rFonts w:ascii="Times New Roman" w:hAnsi="Times New Roman"/>
                <w:bCs/>
              </w:rPr>
              <w:t>Blood loss, mL (≤ 500/ &gt; 500)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724 (81.3%)/ 167 (18.7%)</w:t>
            </w:r>
          </w:p>
        </w:tc>
      </w:tr>
      <w:tr w:rsidR="000F5BAF" w:rsidRPr="00C606BE" w:rsidTr="001C5CAD">
        <w:trPr>
          <w:trHeight w:val="250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</w:rPr>
            </w:pPr>
            <w:r w:rsidRPr="00CF19AE">
              <w:rPr>
                <w:rFonts w:ascii="Times New Roman" w:hAnsi="Times New Roman"/>
                <w:bCs/>
              </w:rPr>
              <w:t>Resection margin, mm (≤ 10/ &gt; 10)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699 (78.5%)/ 192 (21.5%)</w:t>
            </w:r>
          </w:p>
        </w:tc>
      </w:tr>
      <w:tr w:rsidR="000F5BAF" w:rsidRPr="00C606BE" w:rsidTr="001C5CAD">
        <w:trPr>
          <w:trHeight w:val="25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7A699C">
            <w:pPr>
              <w:rPr>
                <w:rFonts w:ascii="Times New Roman" w:hAnsi="Times New Roman"/>
                <w:bCs/>
              </w:rPr>
            </w:pPr>
            <w:r w:rsidRPr="00CF19AE">
              <w:rPr>
                <w:rFonts w:ascii="Times New Roman" w:hAnsi="Times New Roman"/>
                <w:bCs/>
              </w:rPr>
              <w:t>Tumor-associated factors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0F5BAF" w:rsidRPr="00C606BE" w:rsidTr="001C5CAD">
        <w:trPr>
          <w:trHeight w:val="56"/>
        </w:trPr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0F5BAF" w:rsidRPr="00CF19AE" w:rsidRDefault="007A699C" w:rsidP="007A699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Tumor size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 xml:space="preserve"> (≤ 3/ 3-5/ &gt;</w:t>
            </w:r>
            <w:r w:rsidR="000F5BAF" w:rsidRPr="00CF19AE"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>5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cm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371 (41.6%)/ 238 (26.7%)/ 282 (31.7%)</w:t>
            </w:r>
          </w:p>
        </w:tc>
      </w:tr>
      <w:tr w:rsidR="000F5BAF" w:rsidRPr="00C606BE" w:rsidTr="001C5CAD">
        <w:trPr>
          <w:trHeight w:val="250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Multiplicity (Solitary/ Multiple)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656 (73.6 %)/ 235 (26.4%)</w:t>
            </w:r>
          </w:p>
        </w:tc>
      </w:tr>
      <w:tr w:rsidR="000F5BAF" w:rsidRPr="00C606BE" w:rsidTr="001C5CAD">
        <w:trPr>
          <w:trHeight w:val="103"/>
        </w:trPr>
        <w:tc>
          <w:tcPr>
            <w:tcW w:w="5211" w:type="dxa"/>
            <w:shd w:val="clear" w:color="auto" w:fill="auto"/>
          </w:tcPr>
          <w:p w:rsidR="000F5BAF" w:rsidRPr="00CF19AE" w:rsidRDefault="007A699C" w:rsidP="007A699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Alpha-fetoprotein</w:t>
            </w:r>
            <w:r w:rsidR="000F5BAF" w:rsidRPr="00CF19AE">
              <w:rPr>
                <w:rFonts w:ascii="Times New Roman" w:hAnsi="Times New Roman"/>
                <w:bCs/>
                <w:color w:val="000000"/>
              </w:rPr>
              <w:t xml:space="preserve"> (≤ 800</w:t>
            </w:r>
            <w:r w:rsidR="000F5BAF" w:rsidRPr="00CF19AE">
              <w:rPr>
                <w:rFonts w:ascii="Times New Roman" w:hAnsi="Times New Roman"/>
                <w:bCs/>
              </w:rPr>
              <w:t>/ &gt; 800</w:t>
            </w:r>
            <w:r w:rsidRPr="00CF19AE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CF19AE">
              <w:rPr>
                <w:rFonts w:ascii="Times New Roman" w:hAnsi="Times New Roman"/>
                <w:bCs/>
                <w:color w:val="000000"/>
              </w:rPr>
              <w:t>ng/mL</w:t>
            </w:r>
            <w:r w:rsidR="000F5BAF" w:rsidRPr="00CF19AE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741 (83.2%)/ 150 (16.8%)</w:t>
            </w:r>
          </w:p>
        </w:tc>
      </w:tr>
      <w:tr w:rsidR="000F5BAF" w:rsidRPr="00C606BE" w:rsidTr="001C5CAD">
        <w:trPr>
          <w:trHeight w:val="103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Capsule (Absence/ Presence)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164 (18.4%)/ 767 (71.6%)</w:t>
            </w:r>
          </w:p>
        </w:tc>
      </w:tr>
      <w:tr w:rsidR="000F5BAF" w:rsidRPr="00C606BE" w:rsidTr="001C5CAD">
        <w:trPr>
          <w:trHeight w:val="132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Tumor rupture (No/ Yes)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854 (95.8%)/ 37 (4.2%)</w:t>
            </w:r>
          </w:p>
        </w:tc>
      </w:tr>
      <w:tr w:rsidR="000F5BAF" w:rsidRPr="00C606BE" w:rsidTr="001C5CAD">
        <w:trPr>
          <w:trHeight w:val="275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Micro-vascular invasion (No/ Yes)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631 (70.8%)/ 260 (29.2%)</w:t>
            </w:r>
          </w:p>
        </w:tc>
      </w:tr>
      <w:tr w:rsidR="000F5BAF" w:rsidRPr="00C606BE" w:rsidTr="001C5CAD">
        <w:trPr>
          <w:trHeight w:val="275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Histology grade (1-2/ 3-4)</w:t>
            </w:r>
            <w:r w:rsidRPr="00CF19AE">
              <w:rPr>
                <w:rFonts w:ascii="Times New Roman" w:hAnsi="Times New Roman"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527 (59.1%)/ 362 (40.9%)</w:t>
            </w:r>
          </w:p>
        </w:tc>
      </w:tr>
      <w:tr w:rsidR="000F5BAF" w:rsidRPr="00C606BE" w:rsidTr="001C5CAD">
        <w:trPr>
          <w:trHeight w:val="472"/>
        </w:trPr>
        <w:tc>
          <w:tcPr>
            <w:tcW w:w="5211" w:type="dxa"/>
            <w:shd w:val="clear" w:color="auto" w:fill="auto"/>
          </w:tcPr>
          <w:p w:rsidR="000F5BAF" w:rsidRPr="00CF19AE" w:rsidRDefault="000F5BAF" w:rsidP="001C5CAD">
            <w:pPr>
              <w:tabs>
                <w:tab w:val="center" w:pos="2497"/>
              </w:tabs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Necrotic change (No/ Yes)</w:t>
            </w:r>
          </w:p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Cirrhosis (No/ Yes)</w:t>
            </w:r>
          </w:p>
        </w:tc>
        <w:tc>
          <w:tcPr>
            <w:tcW w:w="5245" w:type="dxa"/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436 (48.9%)/ 455 (50.1%)</w:t>
            </w:r>
          </w:p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480 (53.9%)/ 411 (46.1%)</w:t>
            </w:r>
          </w:p>
        </w:tc>
      </w:tr>
      <w:tr w:rsidR="000F5BAF" w:rsidRPr="00C606BE" w:rsidTr="001C5CAD">
        <w:trPr>
          <w:trHeight w:val="469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HAI score (≤ 4 /&gt; 4)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0F5BAF" w:rsidRPr="00CF19AE" w:rsidRDefault="000F5BAF" w:rsidP="001C5C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19AE">
              <w:rPr>
                <w:rFonts w:ascii="Times New Roman" w:hAnsi="Times New Roman"/>
                <w:bCs/>
                <w:color w:val="000000"/>
              </w:rPr>
              <w:t>547 (61.4%)/ 344 (38.6%)</w:t>
            </w:r>
          </w:p>
        </w:tc>
      </w:tr>
    </w:tbl>
    <w:p w:rsidR="000F5BAF" w:rsidRPr="007A699C" w:rsidRDefault="000F5BAF" w:rsidP="000F5BAF">
      <w:pPr>
        <w:tabs>
          <w:tab w:val="left" w:pos="1456"/>
        </w:tabs>
        <w:rPr>
          <w:rFonts w:ascii="Times New Roman" w:hAnsi="Times New Roman"/>
          <w:bCs/>
          <w:color w:val="000000"/>
          <w:sz w:val="20"/>
          <w:szCs w:val="20"/>
        </w:rPr>
      </w:pPr>
      <w:r w:rsidRPr="007A699C">
        <w:rPr>
          <w:rFonts w:ascii="Times New Roman" w:hAnsi="Times New Roman"/>
          <w:bCs/>
          <w:color w:val="000000"/>
          <w:vertAlign w:val="superscript"/>
        </w:rPr>
        <w:t>a</w:t>
      </w:r>
      <w:r w:rsidR="007A699C">
        <w:rPr>
          <w:rFonts w:ascii="Times New Roman" w:hAnsi="Times New Roman"/>
          <w:bCs/>
          <w:color w:val="000000"/>
          <w:vertAlign w:val="superscript"/>
        </w:rPr>
        <w:t xml:space="preserve"> :</w:t>
      </w:r>
      <w:r>
        <w:rPr>
          <w:rFonts w:ascii="Times New Roman" w:hAnsi="Times New Roman"/>
          <w:bCs/>
          <w:color w:val="000000"/>
        </w:rPr>
        <w:t xml:space="preserve"> </w:t>
      </w:r>
      <w:r w:rsidRPr="007A699C">
        <w:rPr>
          <w:rFonts w:ascii="Times New Roman" w:hAnsi="Times New Roman"/>
          <w:bCs/>
          <w:color w:val="000000"/>
          <w:sz w:val="20"/>
          <w:szCs w:val="20"/>
        </w:rPr>
        <w:t>Not all data were available</w:t>
      </w:r>
    </w:p>
    <w:p w:rsidR="000F5BAF" w:rsidRPr="007A699C" w:rsidRDefault="000F5BAF" w:rsidP="007A699C">
      <w:pPr>
        <w:ind w:rightChars="162" w:right="389"/>
        <w:jc w:val="both"/>
        <w:rPr>
          <w:rFonts w:ascii="Times" w:hAnsi="Times" w:cs="Times"/>
          <w:kern w:val="0"/>
          <w:sz w:val="20"/>
          <w:szCs w:val="20"/>
        </w:rPr>
      </w:pPr>
      <w:r w:rsidRPr="007A699C">
        <w:rPr>
          <w:rFonts w:ascii="Times" w:hAnsi="Times" w:cs="Times"/>
          <w:kern w:val="0"/>
          <w:sz w:val="20"/>
          <w:szCs w:val="20"/>
        </w:rPr>
        <w:t>CTP, Child-Turcotte-Pugh classification; HBV, hepatitis B virus; HCV, hepatitis C virus; ICG R</w:t>
      </w:r>
      <w:r w:rsidRPr="007A699C">
        <w:rPr>
          <w:rFonts w:ascii="Times" w:hAnsi="Times" w:cs="Times"/>
          <w:kern w:val="0"/>
          <w:sz w:val="20"/>
          <w:szCs w:val="20"/>
          <w:vertAlign w:val="subscript"/>
        </w:rPr>
        <w:t>15</w:t>
      </w:r>
      <w:r w:rsidRPr="007A699C">
        <w:rPr>
          <w:rFonts w:ascii="Times" w:hAnsi="Times" w:cs="Times"/>
          <w:kern w:val="0"/>
          <w:sz w:val="20"/>
          <w:szCs w:val="20"/>
        </w:rPr>
        <w:t>, indocyanine green serum 15-minute retention rate; INR, international normalized ratio; HAI, histological</w:t>
      </w:r>
      <w:r w:rsidR="007A699C" w:rsidRPr="007A699C">
        <w:rPr>
          <w:rFonts w:ascii="Times" w:hAnsi="Times" w:cs="Times"/>
          <w:kern w:val="0"/>
          <w:sz w:val="20"/>
          <w:szCs w:val="20"/>
        </w:rPr>
        <w:t xml:space="preserve"> </w:t>
      </w:r>
      <w:r w:rsidRPr="007A699C">
        <w:rPr>
          <w:rFonts w:ascii="Times" w:hAnsi="Times" w:cs="Times"/>
          <w:kern w:val="0"/>
          <w:sz w:val="20"/>
          <w:szCs w:val="20"/>
        </w:rPr>
        <w:t>activity index</w:t>
      </w:r>
    </w:p>
    <w:p w:rsidR="000F5BAF" w:rsidRDefault="000F5BAF" w:rsidP="000F5BAF">
      <w:pPr>
        <w:rPr>
          <w:rFonts w:ascii="Times New Roman" w:hAnsi="Times New Roman"/>
          <w:b/>
          <w:bCs/>
          <w:color w:val="000000"/>
        </w:rPr>
      </w:pPr>
    </w:p>
    <w:p w:rsidR="00875425" w:rsidRDefault="00875425">
      <w:bookmarkStart w:id="0" w:name="_GoBack"/>
      <w:bookmarkEnd w:id="0"/>
    </w:p>
    <w:sectPr w:rsidR="00875425" w:rsidSect="000F5B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0B8" w:rsidRDefault="00D870B8" w:rsidP="001529AC">
      <w:r>
        <w:separator/>
      </w:r>
    </w:p>
  </w:endnote>
  <w:endnote w:type="continuationSeparator" w:id="0">
    <w:p w:rsidR="00D870B8" w:rsidRDefault="00D870B8" w:rsidP="0015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0B8" w:rsidRDefault="00D870B8" w:rsidP="001529AC">
      <w:r>
        <w:separator/>
      </w:r>
    </w:p>
  </w:footnote>
  <w:footnote w:type="continuationSeparator" w:id="0">
    <w:p w:rsidR="00D870B8" w:rsidRDefault="00D870B8" w:rsidP="00152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AF"/>
    <w:rsid w:val="000F5BAF"/>
    <w:rsid w:val="001529AC"/>
    <w:rsid w:val="007A699C"/>
    <w:rsid w:val="00875425"/>
    <w:rsid w:val="00CF19AE"/>
    <w:rsid w:val="00D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0E4B94-AC27-456C-8E41-4CC48FE3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BAF"/>
    <w:pPr>
      <w:widowControl w:val="0"/>
    </w:pPr>
    <w:rPr>
      <w:rFonts w:ascii="Cambria" w:eastAsia="新細明體" w:hAnsi="Cambri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0F5BAF"/>
    <w:pPr>
      <w:ind w:leftChars="200" w:left="480"/>
    </w:pPr>
  </w:style>
  <w:style w:type="paragraph" w:styleId="a3">
    <w:name w:val="header"/>
    <w:basedOn w:val="a"/>
    <w:link w:val="a4"/>
    <w:uiPriority w:val="99"/>
    <w:unhideWhenUsed/>
    <w:rsid w:val="00152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29AC"/>
    <w:rPr>
      <w:rFonts w:ascii="Cambria" w:eastAsia="新細明體" w:hAnsi="Cambria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2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29AC"/>
    <w:rPr>
      <w:rFonts w:ascii="Cambria" w:eastAsia="新細明體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weichen Lee</dc:creator>
  <cp:keywords/>
  <dc:description/>
  <cp:lastModifiedBy>Dr. Lee</cp:lastModifiedBy>
  <cp:revision>3</cp:revision>
  <dcterms:created xsi:type="dcterms:W3CDTF">2020-10-27T17:59:00Z</dcterms:created>
  <dcterms:modified xsi:type="dcterms:W3CDTF">2020-10-27T18:06:00Z</dcterms:modified>
</cp:coreProperties>
</file>