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C2" w:rsidRPr="009C09B5" w:rsidRDefault="00B11AC2" w:rsidP="00B11AC2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C09B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S1 </w:t>
      </w:r>
      <w:r w:rsidRPr="009C09B5">
        <w:rPr>
          <w:rFonts w:ascii="Times New Roman" w:hAnsi="Times New Roman" w:cs="Times New Roman"/>
          <w:sz w:val="20"/>
          <w:szCs w:val="20"/>
          <w:lang w:val="en-US"/>
        </w:rPr>
        <w:t>Bioclimatic variables</w:t>
      </w:r>
    </w:p>
    <w:tbl>
      <w:tblPr>
        <w:tblStyle w:val="LightShading"/>
        <w:tblW w:w="8100" w:type="dxa"/>
        <w:jc w:val="center"/>
        <w:tblLayout w:type="fixed"/>
        <w:tblLook w:val="0600"/>
      </w:tblPr>
      <w:tblGrid>
        <w:gridCol w:w="1005"/>
        <w:gridCol w:w="6120"/>
        <w:gridCol w:w="975"/>
      </w:tblGrid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Code 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Bioclimatic Variables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Units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Bio_01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Annual mean temperature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°C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Bio_02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Mean diurnal range (mean of monthly max. and min. temp.)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°C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Bio_03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Isothermality</w:t>
            </w:r>
            <w:proofErr w:type="spellEnd"/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((Bio2/Bio7) ×100)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Bio_04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 seasonality (standard deviation ×100)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Bio_05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Maximum temperature of warmest month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°C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Bio_06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Minimum temperature of coldest month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°C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Bio_07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 annual range (Bio5–Bio6)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°C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Bio_08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Mean temperature of wettest quarter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°C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Bio_09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Mean temperature of driest quarter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°C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Bio_10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Mean temperature of warmest quarter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°C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Bio_11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Mean temperature of coldest quarter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°C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Bio_12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Annual rainfall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mm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Bio_13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Rainfall of wettest period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mm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Bio_14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Rainfall of driest period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mm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Bio_15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Rainfall seasonality (Coefficient of Variation)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1AC2" w:rsidRPr="009C09B5" w:rsidTr="0040193B">
        <w:trPr>
          <w:trHeight w:val="221"/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Bio_16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Rainfall of wettest quarter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mm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Bio_17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Rainfall of driest quarter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mm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Bio_18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Rainfall of warmest quarter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mm</w:t>
            </w:r>
          </w:p>
        </w:tc>
      </w:tr>
      <w:tr w:rsidR="00B11AC2" w:rsidRPr="009C09B5" w:rsidTr="0040193B">
        <w:trPr>
          <w:jc w:val="center"/>
        </w:trPr>
        <w:tc>
          <w:tcPr>
            <w:tcW w:w="100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Bio_19</w:t>
            </w:r>
          </w:p>
        </w:tc>
        <w:tc>
          <w:tcPr>
            <w:tcW w:w="6120" w:type="dxa"/>
          </w:tcPr>
          <w:p w:rsidR="00B11AC2" w:rsidRPr="009C09B5" w:rsidRDefault="00B11AC2" w:rsidP="0040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Rainfall of coldest quarter</w:t>
            </w:r>
          </w:p>
        </w:tc>
        <w:tc>
          <w:tcPr>
            <w:tcW w:w="975" w:type="dxa"/>
          </w:tcPr>
          <w:p w:rsidR="00B11AC2" w:rsidRPr="009C09B5" w:rsidRDefault="00B11AC2" w:rsidP="004019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sz w:val="20"/>
                <w:szCs w:val="20"/>
              </w:rPr>
              <w:t>mm</w:t>
            </w:r>
          </w:p>
        </w:tc>
      </w:tr>
    </w:tbl>
    <w:p w:rsidR="00B11AC2" w:rsidRPr="009C09B5" w:rsidRDefault="00B11AC2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B11AC2" w:rsidRPr="009C09B5" w:rsidRDefault="00B11AC2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8D2F80" w:rsidRPr="009C09B5" w:rsidRDefault="00B11AC2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C09B5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S2</w:t>
      </w:r>
      <w:r w:rsidR="00076E51" w:rsidRPr="009C09B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="003A1710" w:rsidRPr="009C09B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True Skill Statistic (</w:t>
      </w:r>
      <w:r w:rsidR="00076E51" w:rsidRPr="009C09B5">
        <w:rPr>
          <w:rFonts w:ascii="Times New Roman" w:hAnsi="Times New Roman" w:cs="Times New Roman"/>
          <w:bCs/>
          <w:sz w:val="20"/>
          <w:szCs w:val="20"/>
          <w:lang w:val="en-US"/>
        </w:rPr>
        <w:t>TSS</w:t>
      </w:r>
      <w:r w:rsidR="003A1710" w:rsidRPr="009C09B5">
        <w:rPr>
          <w:rFonts w:ascii="Times New Roman" w:hAnsi="Times New Roman" w:cs="Times New Roman"/>
          <w:bCs/>
          <w:sz w:val="20"/>
          <w:szCs w:val="20"/>
          <w:lang w:val="en-US"/>
        </w:rPr>
        <w:t>)</w:t>
      </w:r>
      <w:r w:rsidR="00076E51" w:rsidRPr="009C09B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value of all Replicates</w:t>
      </w:r>
    </w:p>
    <w:p w:rsidR="00643B5C" w:rsidRPr="009C09B5" w:rsidRDefault="00643B5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GoBack"/>
      <w:bookmarkEnd w:id="0"/>
    </w:p>
    <w:tbl>
      <w:tblPr>
        <w:tblW w:w="6771" w:type="dxa"/>
        <w:jc w:val="center"/>
        <w:tblLook w:val="04A0"/>
      </w:tblPr>
      <w:tblGrid>
        <w:gridCol w:w="2519"/>
        <w:gridCol w:w="2126"/>
        <w:gridCol w:w="2126"/>
      </w:tblGrid>
      <w:tr w:rsidR="008D2F80" w:rsidRPr="009C09B5" w:rsidTr="003A1710">
        <w:trPr>
          <w:trHeight w:val="315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Replicates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3A171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TSS value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TSS</w:t>
            </w:r>
            <w:r w:rsidR="003A1710"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624F84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0.666223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0.579422</w:t>
            </w:r>
          </w:p>
        </w:tc>
      </w:tr>
      <w:tr w:rsidR="008D2F80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0.53559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F84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0.488303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2F80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0.681123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F84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0.497803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2F80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0.445416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F84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0.477074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2F80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0.651265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F84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0.463945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2F80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0.712181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F84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0.421158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2F80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0.658665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F84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0.686123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2F80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0.558019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F84" w:rsidRPr="009C09B5" w:rsidTr="003A1710">
        <w:trPr>
          <w:trHeight w:val="300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F80" w:rsidRPr="009C09B5" w:rsidRDefault="008D2F80" w:rsidP="00624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0.748439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F80" w:rsidRPr="009C09B5" w:rsidRDefault="008D2F80" w:rsidP="008D2F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D2F80" w:rsidRPr="009C09B5" w:rsidRDefault="008D2F80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8D2F80" w:rsidRPr="009C09B5" w:rsidRDefault="008D2F80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8145D3" w:rsidRPr="009C09B5" w:rsidRDefault="00B11AC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C09B5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S3</w:t>
      </w:r>
      <w:r w:rsidR="00A32620" w:rsidRPr="009C09B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="00A32620" w:rsidRPr="009C09B5">
        <w:rPr>
          <w:rFonts w:ascii="Times New Roman" w:eastAsia="Times New Roman" w:hAnsi="Times New Roman" w:cs="Times New Roman"/>
          <w:color w:val="000000"/>
          <w:sz w:val="20"/>
          <w:szCs w:val="20"/>
          <w:lang w:bidi="bn-IN"/>
        </w:rPr>
        <w:t>Calculation of Important Value Index and Shannon-Weiner diversity Index for tree species available in the study area falling under</w:t>
      </w:r>
      <w:r w:rsidR="00A32620" w:rsidRPr="009C09B5">
        <w:rPr>
          <w:rFonts w:ascii="Times New Roman" w:hAnsi="Times New Roman" w:cs="Times New Roman"/>
          <w:sz w:val="20"/>
          <w:szCs w:val="20"/>
        </w:rPr>
        <w:t xml:space="preserve"> Tropical dry deciduous forests (Group 5)</w:t>
      </w:r>
    </w:p>
    <w:tbl>
      <w:tblPr>
        <w:tblStyle w:val="TableGrid"/>
        <w:tblpPr w:leftFromText="181" w:rightFromText="181" w:vertAnchor="text" w:horzAnchor="margin" w:tblpY="1"/>
        <w:tblOverlap w:val="never"/>
        <w:tblW w:w="5120" w:type="pct"/>
        <w:tblLayout w:type="fixed"/>
        <w:tblLook w:val="04A0"/>
      </w:tblPr>
      <w:tblGrid>
        <w:gridCol w:w="959"/>
        <w:gridCol w:w="2835"/>
        <w:gridCol w:w="1274"/>
        <w:gridCol w:w="994"/>
        <w:gridCol w:w="1274"/>
        <w:gridCol w:w="994"/>
        <w:gridCol w:w="1134"/>
      </w:tblGrid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RANK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Species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Relative Frequency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Relative Density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Relative Dominance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IVI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Shannon-Weiner diversity Index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Shorea robusta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17.476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42.623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13.146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73.245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0.363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bookmarkStart w:id="1" w:name="_Hlk123136490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Buchanania cochinchinensis</w:t>
            </w:r>
            <w:bookmarkEnd w:id="1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12.621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14.988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2.570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30.180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0.284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Madhuca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latifolia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6.796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5.152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12.197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24.145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0.153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lastRenderedPageBreak/>
              <w:t>4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Casseriato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mentosa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9.709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7.026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2.152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18.886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0.187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Diospyros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melonoxylon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7.767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3.747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5.718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17.232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0.123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Terminalia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alata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5.825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3.981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5.571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15.377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0.128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Butea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monosperma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5.825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5.621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3.813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15.259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0.162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8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Albizia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lebbeck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0.971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0.937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11.068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12.976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0.044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9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Litsea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glutinosa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4.854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2.810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2.987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10.651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0.100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10</w:t>
            </w:r>
          </w:p>
        </w:tc>
        <w:tc>
          <w:tcPr>
            <w:tcW w:w="1498" w:type="pct"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Boswellia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serrata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1.942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1.171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6.711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9.824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0.052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11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Lagerstroemia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parviflora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2.913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1.405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5.366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9.684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0.060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12</w:t>
            </w:r>
          </w:p>
        </w:tc>
        <w:tc>
          <w:tcPr>
            <w:tcW w:w="1498" w:type="pct"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Wrightia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tinctoria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5.825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1.874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1.268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8.966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0.075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13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Anogeissus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latifolia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3.883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2.108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2.929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8.920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0.081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14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Pterocarpus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marsupium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1.942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1.405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5.209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8.556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0.060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15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Sterculia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urens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3.883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1.171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2.638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7.692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0.052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16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Dalbergia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lanceolaria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2.913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1.171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3.001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7.085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0.052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17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Schleichera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oleosa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0.971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0.234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5.780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6.985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0.014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18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Semecarpus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anacardium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0.971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1.639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3.635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6.245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0.067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19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Soymida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febrifuga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1.942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0.703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1.882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4.526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0.035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20</w:t>
            </w: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Haldinia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cordifolia</w:t>
            </w:r>
            <w:proofErr w:type="spellEnd"/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0.971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0.234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2.360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3.565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0.014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TOTAL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100.000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100.000</w:t>
            </w:r>
          </w:p>
        </w:tc>
        <w:tc>
          <w:tcPr>
            <w:tcW w:w="673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100.000</w:t>
            </w:r>
          </w:p>
        </w:tc>
        <w:tc>
          <w:tcPr>
            <w:tcW w:w="525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300.000</w:t>
            </w:r>
          </w:p>
        </w:tc>
        <w:tc>
          <w:tcPr>
            <w:tcW w:w="599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2.107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Simpson's Index</w:t>
            </w:r>
          </w:p>
        </w:tc>
        <w:tc>
          <w:tcPr>
            <w:tcW w:w="2996" w:type="pct"/>
            <w:gridSpan w:val="5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0.779</w:t>
            </w:r>
          </w:p>
        </w:tc>
      </w:tr>
      <w:tr w:rsidR="008D2F80" w:rsidRPr="009C09B5" w:rsidTr="008D2F80">
        <w:trPr>
          <w:trHeight w:val="300"/>
        </w:trPr>
        <w:tc>
          <w:tcPr>
            <w:tcW w:w="507" w:type="pct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bn-IN"/>
              </w:rPr>
            </w:pPr>
          </w:p>
        </w:tc>
        <w:tc>
          <w:tcPr>
            <w:tcW w:w="1498" w:type="pct"/>
            <w:noWrap/>
            <w:vAlign w:val="center"/>
            <w:hideMark/>
          </w:tcPr>
          <w:p w:rsidR="008D2F80" w:rsidRPr="009C09B5" w:rsidRDefault="008D2F80" w:rsidP="008D2F8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Pielou’s</w:t>
            </w:r>
            <w:proofErr w:type="spellEnd"/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 xml:space="preserve"> Evenness index</w:t>
            </w:r>
          </w:p>
        </w:tc>
        <w:tc>
          <w:tcPr>
            <w:tcW w:w="2996" w:type="pct"/>
            <w:gridSpan w:val="5"/>
            <w:noWrap/>
            <w:vAlign w:val="center"/>
            <w:hideMark/>
          </w:tcPr>
          <w:p w:rsidR="008D2F80" w:rsidRPr="009C09B5" w:rsidRDefault="008D2F80" w:rsidP="008D2F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0.703</w:t>
            </w:r>
          </w:p>
        </w:tc>
      </w:tr>
    </w:tbl>
    <w:p w:rsidR="008D2F80" w:rsidRPr="009C09B5" w:rsidRDefault="008D2F8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D2F80" w:rsidRPr="009C09B5" w:rsidRDefault="008D2F8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A32620" w:rsidRPr="009C09B5" w:rsidRDefault="00B11AC2">
      <w:pPr>
        <w:rPr>
          <w:rFonts w:ascii="Times New Roman" w:hAnsi="Times New Roman" w:cs="Times New Roman"/>
          <w:sz w:val="20"/>
          <w:szCs w:val="20"/>
        </w:rPr>
      </w:pPr>
      <w:r w:rsidRPr="009C09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bn-IN"/>
        </w:rPr>
        <w:t>Table S4</w:t>
      </w:r>
      <w:r w:rsidR="00A32620" w:rsidRPr="009C09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bn-IN"/>
        </w:rPr>
        <w:t xml:space="preserve">: </w:t>
      </w:r>
      <w:r w:rsidR="00A32620" w:rsidRPr="009C09B5">
        <w:rPr>
          <w:rFonts w:ascii="Times New Roman" w:eastAsia="Times New Roman" w:hAnsi="Times New Roman" w:cs="Times New Roman"/>
          <w:color w:val="000000"/>
          <w:sz w:val="20"/>
          <w:szCs w:val="20"/>
          <w:lang w:bidi="bn-IN"/>
        </w:rPr>
        <w:t>Calculation of Important Value Index and Shannon-Weiner diversity Index for tree species available in the study area falling under</w:t>
      </w:r>
      <w:r w:rsidR="00A32620" w:rsidRPr="009C09B5">
        <w:rPr>
          <w:rFonts w:ascii="Times New Roman" w:hAnsi="Times New Roman" w:cs="Times New Roman"/>
          <w:sz w:val="20"/>
          <w:szCs w:val="20"/>
        </w:rPr>
        <w:t xml:space="preserve"> Tropical moist deciduous forests (Group 3)</w:t>
      </w:r>
    </w:p>
    <w:p w:rsidR="008D2F80" w:rsidRPr="009C09B5" w:rsidRDefault="008D2F80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5168" w:type="pct"/>
        <w:jc w:val="center"/>
        <w:tblLayout w:type="fixed"/>
        <w:tblLook w:val="04A0"/>
      </w:tblPr>
      <w:tblGrid>
        <w:gridCol w:w="994"/>
        <w:gridCol w:w="2684"/>
        <w:gridCol w:w="1309"/>
        <w:gridCol w:w="1022"/>
        <w:gridCol w:w="1274"/>
        <w:gridCol w:w="852"/>
        <w:gridCol w:w="1418"/>
      </w:tblGrid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RANK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Species</w:t>
            </w:r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Relative Frequency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Relative Density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Relative Dominance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IVI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Shannon-Weiner diversity Index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Shorea robusta</w:t>
            </w:r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10.843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29.054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8.777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48.675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0.356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Madhuca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latifolia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9.639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8.784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6.256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24.678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0.199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Buchanania cochinchinensis</w:t>
            </w:r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9.639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11.824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1.543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23.006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0.252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4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Lagerstroemia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parviflora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6.024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7.095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5.570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18.689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0.188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Pterocarpus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marsupium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6.024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3.378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7.637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17.039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0.164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</w:t>
            </w:r>
          </w:p>
        </w:tc>
        <w:tc>
          <w:tcPr>
            <w:tcW w:w="1405" w:type="pct"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Wrightia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tinctoria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7.229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7.095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2.325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16.649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0.188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Diospyros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melonoxylon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6.024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6.081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2.431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14.536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0.170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8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Casseria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tomentosa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6.024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5.068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3.429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14.520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0.151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9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Dalbergia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sissoo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4.819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3.041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5.949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13.809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0.106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10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Schleichera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oleosa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3.614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1.689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8.162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13.465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0.069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11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Anogeissus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latifolia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6.024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3.716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3.074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12.815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0.122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12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Butea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monosperma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4.819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2.703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3.351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10.873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0.098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13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Bombax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ceiba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2.410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1.351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3.868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7.629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0.058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14</w:t>
            </w:r>
          </w:p>
        </w:tc>
        <w:tc>
          <w:tcPr>
            <w:tcW w:w="1405" w:type="pct"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Boswellia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serrata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1.205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0.676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5.735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7.615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0.034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15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Vitex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peduncularis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1.205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0.676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5.691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7.571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0.034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16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Bridelia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retusa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2.410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1.689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3.410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7.509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0.069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17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Semecarpus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anacardium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2.410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1.351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3.029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6.790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0.058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lastRenderedPageBreak/>
              <w:t>18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Litsea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glutinosa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1.205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0.676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4.774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6.655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0.034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19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Terminalia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bellirica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2.410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1.014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3.047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6.470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0.047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20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Terminalia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alata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1.205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1.014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4.154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6.372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0.047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21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>Haldinia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cordifolia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2.410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0.676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2.053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5.138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0.034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22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Sterculia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urens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1.205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0.676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3.091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4.971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0.034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23</w:t>
            </w: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Mitragyna</w:t>
            </w:r>
            <w:proofErr w:type="spellEnd"/>
            <w:r w:rsidR="002F70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parvifolia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1.205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0.676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2.644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4.524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0.034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bn-IN"/>
              </w:rPr>
              <w:t>TOTAL</w:t>
            </w:r>
          </w:p>
        </w:tc>
        <w:tc>
          <w:tcPr>
            <w:tcW w:w="68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100.000</w:t>
            </w:r>
          </w:p>
        </w:tc>
        <w:tc>
          <w:tcPr>
            <w:tcW w:w="535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100.000</w:t>
            </w:r>
          </w:p>
        </w:tc>
        <w:tc>
          <w:tcPr>
            <w:tcW w:w="667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100.000</w:t>
            </w:r>
          </w:p>
        </w:tc>
        <w:tc>
          <w:tcPr>
            <w:tcW w:w="446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300.000</w:t>
            </w:r>
          </w:p>
        </w:tc>
        <w:tc>
          <w:tcPr>
            <w:tcW w:w="741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2.544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Simpson's Index</w:t>
            </w:r>
          </w:p>
        </w:tc>
        <w:tc>
          <w:tcPr>
            <w:tcW w:w="3075" w:type="pct"/>
            <w:gridSpan w:val="5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0.879</w:t>
            </w:r>
          </w:p>
        </w:tc>
      </w:tr>
      <w:tr w:rsidR="00A32620" w:rsidRPr="009C09B5" w:rsidTr="00A32620">
        <w:trPr>
          <w:trHeight w:val="300"/>
          <w:jc w:val="center"/>
        </w:trPr>
        <w:tc>
          <w:tcPr>
            <w:tcW w:w="520" w:type="pct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bn-IN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:rsidR="00A32620" w:rsidRPr="009C09B5" w:rsidRDefault="00A32620" w:rsidP="000955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proofErr w:type="spellStart"/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Pielou’s</w:t>
            </w:r>
            <w:proofErr w:type="spellEnd"/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 xml:space="preserve"> Evenness index</w:t>
            </w:r>
          </w:p>
        </w:tc>
        <w:tc>
          <w:tcPr>
            <w:tcW w:w="3075" w:type="pct"/>
            <w:gridSpan w:val="5"/>
            <w:noWrap/>
            <w:vAlign w:val="center"/>
            <w:hideMark/>
          </w:tcPr>
          <w:p w:rsidR="00A32620" w:rsidRPr="009C09B5" w:rsidRDefault="00A32620" w:rsidP="000955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bn-IN"/>
              </w:rPr>
            </w:pPr>
            <w:r w:rsidRPr="009C0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0.800</w:t>
            </w:r>
          </w:p>
        </w:tc>
      </w:tr>
    </w:tbl>
    <w:p w:rsidR="00A32620" w:rsidRPr="009C09B5" w:rsidRDefault="00A32620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E470E2" w:rsidRPr="009C09B5" w:rsidRDefault="00E470E2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E470E2" w:rsidRPr="009C09B5" w:rsidRDefault="00E470E2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E470E2" w:rsidRPr="009C09B5" w:rsidRDefault="00E033E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09B5">
        <w:rPr>
          <w:rFonts w:ascii="Times New Roman" w:hAnsi="Times New Roman" w:cs="Times New Roman"/>
          <w:noProof/>
          <w:sz w:val="20"/>
          <w:szCs w:val="20"/>
          <w:lang w:val="en-US" w:eastAsia="en-US" w:bidi="ar-SA"/>
        </w:rPr>
        <w:drawing>
          <wp:inline distT="0" distB="0" distL="0" distR="0">
            <wp:extent cx="5731510" cy="3684270"/>
            <wp:effectExtent l="19050" t="19050" r="2159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chanania_cochinchinensis_roc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4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033EB" w:rsidRPr="009C09B5" w:rsidRDefault="00E033EB" w:rsidP="00E033EB">
      <w:pPr>
        <w:pStyle w:val="Caption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proofErr w:type="gramStart"/>
      <w:r w:rsidRPr="009C09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Fig.</w:t>
      </w:r>
      <w:proofErr w:type="gramEnd"/>
      <w:r w:rsidRPr="009C09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S1</w:t>
      </w:r>
      <w:r w:rsidRPr="009C09B5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en-US"/>
        </w:rPr>
        <w:t xml:space="preserve">AUC (Area </w:t>
      </w:r>
      <w:proofErr w:type="gramStart"/>
      <w:r w:rsidRPr="009C09B5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en-US"/>
        </w:rPr>
        <w:t>Under</w:t>
      </w:r>
      <w:proofErr w:type="gramEnd"/>
      <w:r w:rsidRPr="009C09B5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en-US"/>
        </w:rPr>
        <w:t xml:space="preserve"> Curve) graph showing the model performance of B. cochinchinensis</w:t>
      </w:r>
    </w:p>
    <w:p w:rsidR="00E033EB" w:rsidRPr="009C09B5" w:rsidRDefault="00E033E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2620" w:rsidRPr="009C09B5" w:rsidRDefault="00A3262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09B5">
        <w:rPr>
          <w:rFonts w:ascii="Times New Roman" w:hAnsi="Times New Roman" w:cs="Times New Roman"/>
          <w:noProof/>
          <w:sz w:val="20"/>
          <w:szCs w:val="20"/>
          <w:lang w:val="en-US" w:eastAsia="en-US" w:bidi="ar-SA"/>
        </w:rPr>
        <w:lastRenderedPageBreak/>
        <w:drawing>
          <wp:inline distT="0" distB="0" distL="0" distR="0">
            <wp:extent cx="5731510" cy="3094990"/>
            <wp:effectExtent l="19050" t="19050" r="2159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chanania_cochinchinensis_jacknife_auc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4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470E2" w:rsidRPr="009C09B5" w:rsidRDefault="00E470E2" w:rsidP="00E470E2">
      <w:pPr>
        <w:jc w:val="center"/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</w:pPr>
      <w:proofErr w:type="gramStart"/>
      <w:r w:rsidRPr="009C09B5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Fig.</w:t>
      </w:r>
      <w:proofErr w:type="gramEnd"/>
      <w:r w:rsidRPr="009C09B5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 S</w:t>
      </w:r>
      <w:r w:rsidR="00E033EB" w:rsidRPr="009C09B5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2</w:t>
      </w:r>
      <w:r w:rsidRPr="009C09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The Jackknife of test AUC for </w:t>
      </w:r>
      <w:r w:rsidRPr="009C09B5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B. cochinchinensis</w:t>
      </w:r>
      <w:r w:rsidR="00090C70" w:rsidRPr="009C09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shows Bioclimatic</w:t>
      </w:r>
      <w:r w:rsidR="00CE0527" w:rsidRPr="009C09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variable Bio_8 contributed most in limiting the distribution of </w:t>
      </w:r>
      <w:r w:rsidR="00CE0527" w:rsidRPr="009C09B5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B. cochinchinensis</w:t>
      </w:r>
      <w:r w:rsidR="00CE0527" w:rsidRPr="009C09B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.The environmental variable with highest gain when used in isolation was Bio_08, which hence seems to have the greatest valuable information by itself.</w:t>
      </w:r>
    </w:p>
    <w:p w:rsidR="00E470E2" w:rsidRPr="009C09B5" w:rsidRDefault="00E470E2" w:rsidP="00E470E2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E470E2" w:rsidRPr="009C09B5" w:rsidRDefault="00E470E2" w:rsidP="00E470E2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C09B5">
        <w:rPr>
          <w:rFonts w:ascii="Times New Roman" w:hAnsi="Times New Roman" w:cs="Times New Roman"/>
          <w:noProof/>
          <w:sz w:val="20"/>
          <w:szCs w:val="20"/>
          <w:lang w:val="en-US" w:eastAsia="en-US" w:bidi="ar-SA"/>
        </w:rPr>
        <w:drawing>
          <wp:inline distT="0" distB="0" distL="0" distR="0">
            <wp:extent cx="5683919" cy="2807684"/>
            <wp:effectExtent l="19050" t="19050" r="12065" b="1206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276" cy="2815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470E2" w:rsidRPr="009C09B5" w:rsidRDefault="00E033EB" w:rsidP="00E470E2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9C09B5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Fig.</w:t>
      </w:r>
      <w:proofErr w:type="gramEnd"/>
      <w:r w:rsidRPr="009C09B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S3</w:t>
      </w:r>
      <w:r w:rsidR="00E470E2" w:rsidRPr="009C09B5">
        <w:rPr>
          <w:rFonts w:ascii="Times New Roman" w:hAnsi="Times New Roman" w:cs="Times New Roman"/>
          <w:color w:val="000000"/>
          <w:sz w:val="20"/>
          <w:szCs w:val="20"/>
        </w:rPr>
        <w:t xml:space="preserve"> Comparison of Shannon-Weiner diversity Index, Simpson’s Index and </w:t>
      </w:r>
      <w:proofErr w:type="spellStart"/>
      <w:r w:rsidR="00E470E2" w:rsidRPr="009C09B5">
        <w:rPr>
          <w:rFonts w:ascii="Times New Roman" w:hAnsi="Times New Roman" w:cs="Times New Roman"/>
          <w:color w:val="000000"/>
          <w:sz w:val="20"/>
          <w:szCs w:val="20"/>
        </w:rPr>
        <w:t>Pielou’s</w:t>
      </w:r>
      <w:proofErr w:type="spellEnd"/>
      <w:r w:rsidR="00E470E2" w:rsidRPr="009C09B5">
        <w:rPr>
          <w:rFonts w:ascii="Times New Roman" w:hAnsi="Times New Roman" w:cs="Times New Roman"/>
          <w:color w:val="000000"/>
          <w:sz w:val="20"/>
          <w:szCs w:val="20"/>
        </w:rPr>
        <w:t xml:space="preserve"> Evenness Index in the study area falling under Tropical dry deciduous forests (Group 5) and Tropical moist deciduous forests (Group 3)</w:t>
      </w:r>
    </w:p>
    <w:p w:rsidR="00B11AC2" w:rsidRPr="009C09B5" w:rsidRDefault="00B11AC2" w:rsidP="00E470E2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11AC2" w:rsidRPr="009C09B5" w:rsidRDefault="00B11AC2" w:rsidP="00E470E2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11AC2" w:rsidRPr="009C09B5" w:rsidRDefault="00B11AC2" w:rsidP="00E470E2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11AC2" w:rsidRPr="009C09B5" w:rsidRDefault="00B11AC2" w:rsidP="00E470E2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11AC2" w:rsidRPr="009C09B5" w:rsidRDefault="00B11AC2" w:rsidP="00E470E2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11AC2" w:rsidRPr="009C09B5" w:rsidRDefault="00B11AC2" w:rsidP="00E470E2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11AC2" w:rsidRPr="009C09B5" w:rsidRDefault="00B11AC2" w:rsidP="00E470E2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C09B5">
        <w:rPr>
          <w:rFonts w:ascii="Times New Roman" w:hAnsi="Times New Roman" w:cs="Times New Roman"/>
          <w:noProof/>
          <w:sz w:val="20"/>
          <w:szCs w:val="20"/>
          <w:lang w:val="en-US" w:eastAsia="en-US" w:bidi="ar-SA"/>
        </w:rPr>
        <w:lastRenderedPageBreak/>
        <w:drawing>
          <wp:inline distT="0" distB="0" distL="0" distR="0">
            <wp:extent cx="3857625" cy="3857625"/>
            <wp:effectExtent l="19050" t="19050" r="28575" b="285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vati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916" cy="38559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11AC2" w:rsidRPr="009C09B5" w:rsidRDefault="00B11AC2" w:rsidP="00E470E2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9C09B5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Fig.</w:t>
      </w:r>
      <w:proofErr w:type="gramEnd"/>
      <w:r w:rsidRPr="009C09B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S4 </w:t>
      </w:r>
      <w:r w:rsidRPr="009C09B5">
        <w:rPr>
          <w:rFonts w:ascii="Times New Roman" w:hAnsi="Times New Roman" w:cs="Times New Roman"/>
          <w:color w:val="000000"/>
          <w:sz w:val="20"/>
          <w:szCs w:val="20"/>
        </w:rPr>
        <w:t xml:space="preserve">Elevation map of high suitable zone </w:t>
      </w:r>
    </w:p>
    <w:sectPr w:rsidR="00B11AC2" w:rsidRPr="009C09B5" w:rsidSect="006B2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145D3"/>
    <w:rsid w:val="00076E51"/>
    <w:rsid w:val="00090C70"/>
    <w:rsid w:val="00124AC1"/>
    <w:rsid w:val="002F7090"/>
    <w:rsid w:val="003A1710"/>
    <w:rsid w:val="00402148"/>
    <w:rsid w:val="00542D95"/>
    <w:rsid w:val="005554AE"/>
    <w:rsid w:val="005D24B3"/>
    <w:rsid w:val="00624F84"/>
    <w:rsid w:val="00643B5C"/>
    <w:rsid w:val="006B268E"/>
    <w:rsid w:val="008145D3"/>
    <w:rsid w:val="008D2F80"/>
    <w:rsid w:val="009C09B5"/>
    <w:rsid w:val="00A32620"/>
    <w:rsid w:val="00A668A8"/>
    <w:rsid w:val="00B11AC2"/>
    <w:rsid w:val="00B55638"/>
    <w:rsid w:val="00C17821"/>
    <w:rsid w:val="00CE0527"/>
    <w:rsid w:val="00E033EB"/>
    <w:rsid w:val="00E470E2"/>
    <w:rsid w:val="00EA264B"/>
    <w:rsid w:val="00F53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32620"/>
    <w:pPr>
      <w:spacing w:after="0"/>
    </w:pPr>
    <w:rPr>
      <w:rFonts w:ascii="Arial" w:eastAsia="Arial" w:hAnsi="Arial" w:cs="Arial"/>
      <w:szCs w:val="22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620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262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620"/>
    <w:rPr>
      <w:rFonts w:ascii="Tahoma" w:eastAsia="Arial" w:hAnsi="Tahoma" w:cs="Mangal"/>
      <w:sz w:val="16"/>
      <w:szCs w:val="14"/>
      <w:lang w:eastAsia="en-IN"/>
    </w:rPr>
  </w:style>
  <w:style w:type="paragraph" w:styleId="Caption">
    <w:name w:val="caption"/>
    <w:basedOn w:val="Normal"/>
    <w:next w:val="Normal"/>
    <w:uiPriority w:val="35"/>
    <w:unhideWhenUsed/>
    <w:qFormat/>
    <w:rsid w:val="00E033EB"/>
    <w:pPr>
      <w:spacing w:after="200" w:line="240" w:lineRule="auto"/>
    </w:pPr>
    <w:rPr>
      <w:rFonts w:cs="Mangal"/>
      <w:b/>
      <w:bCs/>
      <w:color w:val="4F81BD" w:themeColor="accent1"/>
      <w:sz w:val="18"/>
      <w:szCs w:val="16"/>
    </w:rPr>
  </w:style>
  <w:style w:type="table" w:styleId="LightShading">
    <w:name w:val="Light Shading"/>
    <w:basedOn w:val="TableNormal"/>
    <w:uiPriority w:val="60"/>
    <w:rsid w:val="00B11AC2"/>
    <w:pPr>
      <w:spacing w:after="0" w:line="240" w:lineRule="auto"/>
    </w:pPr>
    <w:rPr>
      <w:rFonts w:ascii="Arial" w:eastAsia="Arial" w:hAnsi="Arial" w:cs="Arial"/>
      <w:color w:val="000000" w:themeColor="text1" w:themeShade="BF"/>
      <w:szCs w:val="22"/>
      <w:lang w:eastAsia="en-I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32620"/>
    <w:pPr>
      <w:spacing w:after="0"/>
    </w:pPr>
    <w:rPr>
      <w:rFonts w:ascii="Arial" w:eastAsia="Arial" w:hAnsi="Arial" w:cs="Arial"/>
      <w:szCs w:val="22"/>
      <w:lang w:val="e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620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262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620"/>
    <w:rPr>
      <w:rFonts w:ascii="Tahoma" w:eastAsia="Arial" w:hAnsi="Tahoma" w:cs="Mangal"/>
      <w:sz w:val="16"/>
      <w:szCs w:val="14"/>
      <w:lang w:val="en" w:eastAsia="en-IN"/>
    </w:rPr>
  </w:style>
  <w:style w:type="paragraph" w:styleId="Caption">
    <w:name w:val="caption"/>
    <w:basedOn w:val="Normal"/>
    <w:next w:val="Normal"/>
    <w:uiPriority w:val="35"/>
    <w:unhideWhenUsed/>
    <w:qFormat/>
    <w:rsid w:val="00E033EB"/>
    <w:pPr>
      <w:spacing w:after="200" w:line="240" w:lineRule="auto"/>
    </w:pPr>
    <w:rPr>
      <w:rFonts w:cs="Mangal"/>
      <w:b/>
      <w:bCs/>
      <w:color w:val="4F81BD" w:themeColor="accent1"/>
      <w:sz w:val="18"/>
      <w:szCs w:val="16"/>
    </w:rPr>
  </w:style>
  <w:style w:type="table" w:styleId="LightShading">
    <w:name w:val="Light Shading"/>
    <w:basedOn w:val="TableNormal"/>
    <w:uiPriority w:val="60"/>
    <w:rsid w:val="00B11AC2"/>
    <w:pPr>
      <w:spacing w:after="0" w:line="240" w:lineRule="auto"/>
    </w:pPr>
    <w:rPr>
      <w:rFonts w:ascii="Arial" w:eastAsia="Arial" w:hAnsi="Arial" w:cs="Arial"/>
      <w:color w:val="000000" w:themeColor="text1" w:themeShade="BF"/>
      <w:szCs w:val="22"/>
      <w:lang w:val="en" w:eastAsia="en-I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Dr.Yogeshwar mishra</dc:creator>
  <cp:lastModifiedBy>IT-LAB</cp:lastModifiedBy>
  <cp:revision>22</cp:revision>
  <dcterms:created xsi:type="dcterms:W3CDTF">2023-03-31T06:18:00Z</dcterms:created>
  <dcterms:modified xsi:type="dcterms:W3CDTF">2023-04-06T09:54:00Z</dcterms:modified>
</cp:coreProperties>
</file>