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1AF" w:rsidRPr="00E414D7" w:rsidRDefault="00CF11AF" w:rsidP="00CF11AF">
      <w:pPr>
        <w:pStyle w:val="Caption"/>
        <w:keepNext/>
        <w:spacing w:after="0" w:line="480" w:lineRule="auto"/>
        <w:rPr>
          <w:rFonts w:ascii="Times New Roman" w:hAnsi="Times New Roman" w:cs="Times New Roman"/>
          <w:i w:val="0"/>
          <w:color w:val="auto"/>
          <w:sz w:val="24"/>
          <w:szCs w:val="24"/>
        </w:rPr>
      </w:pPr>
    </w:p>
    <w:tbl>
      <w:tblPr>
        <w:tblW w:w="13860" w:type="dxa"/>
        <w:tblLook w:val="04A0" w:firstRow="1" w:lastRow="0" w:firstColumn="1" w:lastColumn="0" w:noHBand="0" w:noVBand="1"/>
      </w:tblPr>
      <w:tblGrid>
        <w:gridCol w:w="1155"/>
        <w:gridCol w:w="949"/>
        <w:gridCol w:w="2036"/>
        <w:gridCol w:w="1530"/>
        <w:gridCol w:w="900"/>
        <w:gridCol w:w="1440"/>
        <w:gridCol w:w="1170"/>
        <w:gridCol w:w="1080"/>
        <w:gridCol w:w="1530"/>
        <w:gridCol w:w="2070"/>
      </w:tblGrid>
      <w:tr w:rsidR="003F59B6" w:rsidRPr="00E414D7" w:rsidTr="003F59B6">
        <w:trPr>
          <w:trHeight w:val="310"/>
        </w:trPr>
        <w:tc>
          <w:tcPr>
            <w:tcW w:w="13860" w:type="dxa"/>
            <w:gridSpan w:val="10"/>
            <w:tcBorders>
              <w:bottom w:val="single" w:sz="8" w:space="0" w:color="000000"/>
            </w:tcBorders>
            <w:shd w:val="clear" w:color="auto" w:fill="auto"/>
            <w:noWrap/>
          </w:tcPr>
          <w:p w:rsidR="003F59B6" w:rsidRPr="00E414D7" w:rsidRDefault="003F59B6" w:rsidP="0049429C">
            <w:pPr>
              <w:suppressAutoHyphens w:val="0"/>
              <w:spacing w:after="0" w:line="240" w:lineRule="auto"/>
              <w:rPr>
                <w:rFonts w:ascii="Times New Roman" w:eastAsia="Times New Roman" w:hAnsi="Times New Roman" w:cs="Times New Roman"/>
                <w:b/>
                <w:bCs/>
                <w:sz w:val="20"/>
                <w:szCs w:val="20"/>
              </w:rPr>
            </w:pPr>
            <w:r>
              <w:rPr>
                <w:rFonts w:ascii="Times New Roman" w:hAnsi="Times New Roman" w:cs="Times New Roman"/>
                <w:sz w:val="24"/>
                <w:szCs w:val="24"/>
              </w:rPr>
              <w:t xml:space="preserve">Table S6: </w:t>
            </w:r>
            <w:r w:rsidRPr="00E414D7">
              <w:rPr>
                <w:rFonts w:ascii="Times New Roman" w:hAnsi="Times New Roman" w:cs="Times New Roman"/>
                <w:sz w:val="24"/>
                <w:szCs w:val="24"/>
              </w:rPr>
              <w:t>Levels of vaccine hesitancy to prevent and control COVID-19 in Kenya, Uganda and Tanzania.</w:t>
            </w:r>
          </w:p>
        </w:tc>
      </w:tr>
      <w:tr w:rsidR="003F59B6" w:rsidRPr="00E414D7" w:rsidTr="003F59B6">
        <w:trPr>
          <w:trHeight w:val="310"/>
        </w:trPr>
        <w:tc>
          <w:tcPr>
            <w:tcW w:w="1155"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First author, year</w:t>
            </w:r>
          </w:p>
        </w:tc>
        <w:tc>
          <w:tcPr>
            <w:tcW w:w="949"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Country</w:t>
            </w:r>
          </w:p>
        </w:tc>
        <w:tc>
          <w:tcPr>
            <w:tcW w:w="2036"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Participants</w:t>
            </w:r>
          </w:p>
        </w:tc>
        <w:tc>
          <w:tcPr>
            <w:tcW w:w="1530"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Age [mean(SD); range; median(IQR)]</w:t>
            </w:r>
          </w:p>
        </w:tc>
        <w:tc>
          <w:tcPr>
            <w:tcW w:w="900"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Sample size (male)</w:t>
            </w:r>
          </w:p>
        </w:tc>
        <w:tc>
          <w:tcPr>
            <w:tcW w:w="1440"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Study design</w:t>
            </w:r>
          </w:p>
        </w:tc>
        <w:tc>
          <w:tcPr>
            <w:tcW w:w="1170" w:type="dxa"/>
            <w:tcBorders>
              <w:top w:val="single" w:sz="4" w:space="0" w:color="000000"/>
              <w:left w:val="single" w:sz="4" w:space="0" w:color="000000"/>
              <w:bottom w:val="single" w:sz="8"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Dates of data collection</w:t>
            </w:r>
          </w:p>
        </w:tc>
        <w:tc>
          <w:tcPr>
            <w:tcW w:w="1080"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Outcome</w:t>
            </w:r>
          </w:p>
        </w:tc>
        <w:tc>
          <w:tcPr>
            <w:tcW w:w="1530"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Outcome definition</w:t>
            </w:r>
          </w:p>
        </w:tc>
        <w:tc>
          <w:tcPr>
            <w:tcW w:w="2070" w:type="dxa"/>
            <w:tcBorders>
              <w:top w:val="single" w:sz="4" w:space="0" w:color="000000"/>
              <w:left w:val="single" w:sz="4" w:space="0" w:color="000000"/>
              <w:bottom w:val="single" w:sz="8"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b/>
                <w:bCs/>
                <w:sz w:val="20"/>
                <w:szCs w:val="20"/>
              </w:rPr>
            </w:pPr>
            <w:r w:rsidRPr="00E414D7">
              <w:rPr>
                <w:rFonts w:ascii="Times New Roman" w:eastAsia="Times New Roman" w:hAnsi="Times New Roman" w:cs="Times New Roman"/>
                <w:b/>
                <w:bCs/>
                <w:sz w:val="20"/>
                <w:szCs w:val="20"/>
              </w:rPr>
              <w:t>Main findings</w:t>
            </w:r>
          </w:p>
        </w:tc>
      </w:tr>
      <w:tr w:rsidR="00CF11AF" w:rsidRPr="00E414D7" w:rsidTr="003F59B6">
        <w:trPr>
          <w:trHeight w:val="1366"/>
        </w:trPr>
        <w:tc>
          <w:tcPr>
            <w:tcW w:w="1155"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Chilongola</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{"citationItems":[{"id":"ITEM-1","itemData":{"DOI":"10.4314/thrb.v23i1.3","ISSN":"18216404","abstract":"Background: The COVID-19 vaccinations have reignited optimism in many cultures devastated by the pandemic's tremendous loss of lives and livelihoods. Vaccination hesitancy is a critical and growing international problem in the global effort to manage the COVID-19 pandemic. To successfully handle vaccination hesitancy concerns, it is necessary to understand the levels of knowledge, attitudes, and behaviors on COVID-19. The purpose of this study was to understand people’s knowledge, behaviors, and attitudes about COVID 19 and its related vaccines. Methods: In October 2021, a cross-sectional study with 232 participants was conducted. A standardized interviewer-administered questionnaire was used to collect data. Results: Most respondents in the present survey heard about COVID-19 between January and March 2020. Social media and newspapers are the most effective sources of information on COVID-19, reaching 34.48 % of the population. Basic COVID-19 knowledge was reported to be moderate. Nearly half of the respondents (48.3 %) thought SARSCOV-2 was man-made, while 36.21 % were unsure. Good preventive behaviors were indicated by 49.14 % of subjects. Overall, we find that around 65 % of people are reluctant to get vaccinated against COVID-19. Male gender, low education, and occupation were shown to be more hesitant about vaccination. In this study, healthcare workers were averse to getting the COVID-19 vaccine. The reasons for vaccination hesitation were \"unknown safety\" of the vaccines (17.4 %) and \"unknown long-term consequences\" of the vaccines (18.97 %). Almost a third (27.59 %) of those interviewed said they had no intention of being vaccinated. Conclusion: We report moderate knowledge on COVID-19, as well as effective preventive practices, but negative attitudes regarding COVID-19 vaccination, resulting in low vaccination rates of 6.9%. Misinformation regarding COVID-19 appears to play a key role in vaccination reluctance.","author":[{"dropping-particle":"","family":"Chilongola","given":"Jaffu O.","non-dropping-particle":"","parse-names":false,"suffix":""},{"dropping-particle":"","family":"Rwegoshola","given":"Kevin M.","non-dropping-particle":"","parse-names":false,"suffix":""},{"dropping-particle":"","family":"Balingumu","given":"Omary H.","non-dropping-particle":"","parse-names":false,"suffix":""},{"dropping-particle":"","family":"Semvua","given":"Hadija S.","non-dropping-particle":"","parse-names":false,"suffix":""},{"dropping-particle":"","family":"Kwigizile","given":"Edith T.","non-dropping-particle":"","parse-names":false,"suffix":""}],"container-title":"Tanzania Journal of Health Research","id":"ITEM-1","issue":"1","issued":{"date-parts":[["2022"]]},"page":"1-12","title":"COVID-19 Knowledge, Attitudes, Practices, and vaccination hesitancy in Moshi, Kilimanjaro Region, Northern Tanzania","type":"article-journal","volume":"23"},"uris":["http://www.mendeley.com/documents/?uuid=8a82faf8-0046-4ca4-9611-5d8d98c020d3"]}],"mendeley":{"formattedCitation":"(34)","plainTextFormattedCitation":"(34)","previouslyFormattedCitation":"(34)"},"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(34)</w:t>
            </w:r>
            <w:r w:rsidRPr="00E414D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Tanzania</w:t>
            </w:r>
          </w:p>
        </w:tc>
        <w:tc>
          <w:tcPr>
            <w:tcW w:w="2036"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Individuals who visited their relatives who were admitted or undergoing medical care at Kilimanjaro Christian Medical Centre were requested to respond to structured questions regarding COVID-19.</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33 (25–45) years</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232 (168) </w:t>
            </w:r>
          </w:p>
        </w:tc>
        <w:tc>
          <w:tcPr>
            <w:tcW w:w="1440"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Cross-sectional study</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October 2021</w:t>
            </w:r>
          </w:p>
        </w:tc>
        <w:tc>
          <w:tcPr>
            <w:tcW w:w="108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hesitancy (1y)</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The proportion of participants who were unwilling to take COVID-19 vaccine</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152 (65.52%) of interviewed participants had a negative attitude towards COVID-19 vaccines. </w:t>
            </w:r>
          </w:p>
        </w:tc>
      </w:tr>
      <w:tr w:rsidR="00CF11AF" w:rsidRPr="00E414D7" w:rsidTr="003F59B6">
        <w:trPr>
          <w:trHeight w:val="1240"/>
        </w:trPr>
        <w:tc>
          <w:tcPr>
            <w:tcW w:w="1155"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Kanyike</w:t>
            </w:r>
            <w:proofErr w:type="spellEnd"/>
            <w:r w:rsidRPr="00E414D7">
              <w:rPr>
                <w:rFonts w:ascii="Times New Roman" w:eastAsia="Times New Roman" w:hAnsi="Times New Roman" w:cs="Times New Roman"/>
                <w:sz w:val="20"/>
                <w:szCs w:val="20"/>
              </w:rPr>
              <w:t>, 2021</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{"citationItems":[{"id":"ITEM-1","itemData":{"DOI":"10.1186/s41182-021-00331-1","ISSN":"13494147","PMID":"33985592","abstract":"Background: COVID-19 is still a major global threat for which vaccination remains the ultimate solution. Uganda reported 40,751 cases and 335 deaths as of 9 April 2021 and started its vaccination program among priority groups like health workers, teachers, those with chronic diseases among others in early March 2021. Unanimous uptake of the COVID-19 vaccine is required to subsequently avert its spread; therefore, we assessed COVID-19 vaccine acceptability, hesitancy, and associated factors among medical students in Uganda. Methods: This study employed an online descriptive cross-sectional survey among medical students across 10 medical schools in Uganda. A structured questionnaire via Google Form was conveniently sent to eligible participants via WhatsApp. Each medical school had a coordinator who consistently shared the data tool in the WhatsApp groups. Chi-square or Fisher’s exact test, and logistic regression were used to assess the association between vaccine acceptability with demographics, COVID-19 risk perception, and vaccine hesitancy. Results: We surveyed 600 medical students, 377 (62.8%) were male. COVID-19 vaccine acceptability was 37.3% and vaccine hesitancy 30.7%. Factors associated with vaccine acceptability were being male (adjusted odds ratio (aOR) = 1.9, 95% CI 1.3–2.9, p=0.001) and being single (aOR= 2.1, 95% CI 1.1–3.9, p=0.022). Very high (aOR= 3.5, 95% CI 1.7–6.9, p&lt;0.001) or moderate (aOR =2.2, 95% CI 1.2–4.1, p=0.008) perceived risk of getting COVID-19 in the future, receiving any vaccine in the past 5 years (aOR= 1.6, 95% CI 1.1–2.5, p=0.017), and COVID-19 vaccine hesitancy (aOR 0.6, 95% CI 0.4–0.9, p=0.036). Conclusions: This study revealed low levels of acceptance towards the COVID-19 vaccine among medical students, low self-perceived risks of COVID-19, and many had relied on social media that provided them with negative information. This poses an evident risk on the battle towards COVID-19 in the future especially when these future health professions are expected to be influencing decisions of the general public towards the same.","author":[{"dropping-particle":"","family":"Kanyike","given":"Andrew Marvin","non-dropping-particle":"","parse-names":false,"suffix":""},{"dropping-particle":"","family":"Olum","given":"Ronald","non-dropping-particle":"","parse-names":false,"suffix":""},{"dropping-particle":"","family":"Kajjimu","given":"Jonathan","non-dropping-particle":"","parse-names":false,"suffix":""},{"dropping-particle":"","family":"Ojilong","given":"Daniel","non-dropping-particle":"","parse-names":false,"suffix":""},{"dropping-particle":"","family":"Akech","given":"Gabriel Madut","non-dropping-particle":"","parse-names":false,"suffix":""},{"dropping-particle":"","family":"Nassozi","given":"Dianah Rhoda","non-dropping-particle":"","parse-names":false,"suffix":""},{"dropping-particle":"","family":"Agira","given":"Drake","non-dropping-particle":"","parse-names":false,"suffix":""},{"dropping-particle":"","family":"Wamala","given":"Nicholas Kisaakye","non-dropping-particle":"","parse-names":false,"suffix":""},{"dropping-particle":"","family":"Asiimwe","given":"Asaph","non-dropping-particle":"","parse-names":false,"suffix":""},{"dropping-particle":"","family":"Matovu","given":"Dissan","non-dropping-particle":"","parse-names":false,"suffix":""},{"dropping-particle":"","family":"Nakimuli","given":"Ann Babra","non-dropping-particle":"","parse-names":false,"suffix":""},{"dropping-particle":"","family":"Lyavala","given":"Musilim","non-dropping-particle":"","parse-names":false,"suffix":""},{"dropping-particle":"","family":"Kulwenza","given":"Patricia","non-dropping-particle":"","parse-names":false,"suffix":""},{"dropping-particle":"","family":"Kiwumulo","given":"Joshua","non-dropping-particle":"","parse-names":false,"suffix":""},{"dropping-particle":"","family":"Bongomin","given":"Felix","non-dropping-particle":"","parse-names":false,"suffix":""}],"container-title":"Tropical Medicine and Health","id":"ITEM-1","issue":"1","issued":{"date-parts":[["2021"]]},"page":"1-11","publisher":"Tropical Medicine and Health","title":"Acceptance of the coronavirus disease-2019 vaccine among medical students in Uganda","type":"article-journal","volume":"49"},"uris":["http://www.mendeley.com/documents/?uuid=c140cc3b-590e-40a6-8e8f-f2a5ff3ee61d"]}],"mendeley":{"formattedCitation":"(27)","plainTextFormattedCitation":"(27)","previouslyFormattedCitation":"(27)"},"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(27)</w:t>
            </w:r>
            <w:r w:rsidRPr="00E414D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036"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Medical students pursuing undergraduate degree programs of choice.</w:t>
            </w:r>
          </w:p>
        </w:tc>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18 years</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600 (377)</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Cross-sectional study </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Monday 15 March and Sunday 21 March 2021</w:t>
            </w:r>
          </w:p>
        </w:tc>
        <w:tc>
          <w:tcPr>
            <w:tcW w:w="108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hesitancy (2y)</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hesitancy was defined as the proportion of individuals reluctant to take COVID-19 vaccine.</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The majority of the participants (n=376, 62.7%) were not willing to be vaccinated against COVID-19.</w:t>
            </w:r>
          </w:p>
        </w:tc>
      </w:tr>
      <w:tr w:rsidR="00CF11AF" w:rsidRPr="00E414D7" w:rsidTr="003F59B6">
        <w:trPr>
          <w:trHeight w:val="1439"/>
        </w:trPr>
        <w:tc>
          <w:tcPr>
            <w:tcW w:w="1155"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Wafula</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{"citationItems":[{"id":"ITEM-1","itemData":{"DOI":"10.1136/bmjopen-2021-057322","ISSN":"2044-6055 (Electronic)","PMID":"35654469","abstract":"OBJECTIVES: The resurgence in cases and deaths due to COVID-19 in many countries suggests complacency in adhering to COVID-19 preventive guidelines. Vaccination, therefore, remains a key intervention in mitigating the impact of the COVID-19 pandemic. This study investigated the level of adherence to COVID-19 preventive measures and intention to receive the COVID-19 vaccine among Ugandans. DESIGN, SETTING AND PARTICIPANTS: A nationwide cross-sectional survey of 1053 Ugandan adults was conducted in March 2021 using telephone interviews. MAIN OUTCOME MEASURES: Participants reported on adherence to COVID-19 preventive measures and intention to be vaccinated with COVID-19 vaccines. RESULTS: Overall, 10.2% of the respondents adhered to the COVID-19 preventive guidelines and 57.8% stated definite intention to receive a SARS-CoV-2 vaccine. Compared with women, men were less likely to adhere to COVID-19 guidelines (Odds Ratio (OR)=0.64, 95% CI 0.41 to 0.99). Participants from the northern (4.0%, OR=0.28, 95% CI 0.12 to 0.92), western (5.1%, OR=0.30, 95% CI 0.14 to 0.65) and eastern regions (6.5%, OR=0.47, 95% CI 0.24 to 0.92), respectively, had lower odds of adhering to the COVID-19 guidelines than those from the central region (14.7%). A higher monthly income of ≥US$137 (OR=2.31, 95% CI 1.14 to 4.58) and a history of chronic disease (OR=1.81, 95% CI 1.14 to 2.86) were predictors of adherence. Concerns about the chances of getting COVID-19 in the future (Prevalence Ratio (PR)=1.26, 95% CI 1.06 to 1.48) and fear of severe COVID-19 infection (PR=1.20, 95% CI 1.04 to 1.38) were the strongest predictors for a definite intention, while concerns for side effects were negatively associated with vaccination intent (PR=0.75, 95% CI 0.68 to 0.83). CONCLUSION: Behaviour change programmes need to be strengthened to promote adherence to COVID-19 preventive guidelines as vaccination is rolled out as another preventive measure. Dissemination of accurate, safe and efficacious information about the vaccines is necessary to enhance vaccine uptake.","author":[{"dropping-particle":"","family":"Wafula","given":"Solomon Tsebeni","non-dropping-particle":"","parse-names":false,"suffix":""},{"dropping-particle":"","family":"Mugume","given":"Innocent B","non-dropping-particle":"","parse-names":false,"suffix":""},{"dropping-particle":"","family":"Sensasi","given":"Benjamin","non-dropping-particle":"","parse-names":false,"suffix":""},{"dropping-particle":"","family":"Okware","given":"Solome","non-dropping-particle":"","parse-names":false,"suffix":""},{"dropping-particle":"","family":"Chimbaru","given":"Alexander","non-dropping-particle":"","parse-names":false,"suffix":""},{"dropping-particle":"","family":"Nanyunja","given":"Miriam","non-dropping-particle":"","parse-names":false,"suffix":""},{"dropping-particle":"","family":"Talisuna","given":"Ambrose","non-dropping-particle":"","parse-names":false,"suffix":""},{"dropping-particle":"","family":"Kabanda","given":"Richard","non-dropping-particle":"","parse-names":false,"suffix":""},{"dropping-particle":"","family":"Bakyaita","given":"Tabley","non-dropping-particle":"","parse-names":false,"suffix":""},{"dropping-particle":"","family":"Wanyenze","given":"Rhoda K","non-dropping-particle":"","parse-names":false,"suffix":""},{"dropping-particle":"","family":"Byakika-Tusiime","given":"Jayne","non-dropping-particle":"","parse-names":false,"suffix":""}],"container-title":"BMJ open","id":"ITEM-1","issue":"6","issued":{"date-parts":[["2022","6"]]},"language":"eng","page":"e057322","publisher-place":"England","title":"Intention to vaccinate against COVID-19 and adherence to non-pharmaceutical interventions against COVID-19 prior to the second wave of the pandemic in Uganda: a cross-sectional study.","type":"article-journal","volume":"12"},"uris":["http://www.mendeley.com/documents/?uuid=571ba427-3405-4b1f-8286-d4051f3234a8"]}],"mendeley":{"formattedCitation":"(28)","plainTextFormattedCitation":"(28)","previouslyFormattedCitation":"(28)"},"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(28)</w:t>
            </w:r>
            <w:r w:rsidRPr="00E414D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036"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Adults 18 years and older with access to cell phones and who had been residents in the study district for at least 6 months.</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34 (18–80) years</w:t>
            </w:r>
          </w:p>
        </w:tc>
        <w:tc>
          <w:tcPr>
            <w:tcW w:w="90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1053 (651)</w:t>
            </w:r>
          </w:p>
        </w:tc>
        <w:tc>
          <w:tcPr>
            <w:tcW w:w="144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Cross-sectional survey</w:t>
            </w:r>
          </w:p>
        </w:tc>
        <w:tc>
          <w:tcPr>
            <w:tcW w:w="117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March 2021</w:t>
            </w:r>
          </w:p>
        </w:tc>
        <w:tc>
          <w:tcPr>
            <w:tcW w:w="108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Intention to vaccinate against COVID-19 (2y)</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Intention to take the COVID-19 vaccine was measured using a one-item question: ‘If a vaccine against COVID-19 becomes available, would you take it?’ </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Overall, 16.0% (168) of the participants reported that they would not get the SARS-CoV-2 vaccine if it became available.</w:t>
            </w:r>
          </w:p>
        </w:tc>
      </w:tr>
      <w:tr w:rsidR="00CF11AF" w:rsidRPr="00E414D7" w:rsidTr="003F59B6">
        <w:trPr>
          <w:trHeight w:val="1240"/>
        </w:trPr>
        <w:tc>
          <w:tcPr>
            <w:tcW w:w="1155"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lastRenderedPageBreak/>
              <w:t>Ouni</w:t>
            </w:r>
            <w:proofErr w:type="spellEnd"/>
            <w:r w:rsidRPr="00E414D7">
              <w:rPr>
                <w:rFonts w:ascii="Times New Roman" w:eastAsia="Times New Roman" w:hAnsi="Times New Roman" w:cs="Times New Roman"/>
                <w:sz w:val="20"/>
                <w:szCs w:val="20"/>
              </w:rPr>
              <w:t>, 2023</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{"citationItems":[{"id":"ITEM-1","itemData":{"DOI":"10.1016/j.jvacx.2023.100260","ISSN":"2590-1362 (Electronic)","PMID":"36643854","abstract":"BACKGROUND: COVID-19 vaccination is the latest preventive intervention strategy in an attempt to control the global pandemic. Its efficacy has come under scrutiny because of break through infections among the vaccinated and need for booster doses. Besides, although health workers were prioritized for COVID-19 vaccine in most countries, anecdotal evidence points to high levels of reluctance to take the vaccine among health workers. We assessed COVID-19 vaccine hesitancy among health workers in Dokolo district, northern Uganda. METHODS: This was a mixed-method, cross-sectional descriptive study. A customised self-administered data collection tool was used to collect quantitative data on characteristics, vaccination status and factors for or rejection of vaccine uptake. We conducted multivariable logistic regression to assess the association between selected exposures and vaccine hesitancy using Stata version 15. Conversely, qualitative data were collected using key informant interviews (KIIs) among 15 participants that were purposively selected. Data were analysed using thematic content analysis with the help of NVivo 12.0. RESULTS: Of the 346 health workers enrolled, (13.3% [46/346]) were vaccine hesitant. Factors associated with vaccine hesitancy included fear of side effects (Adjusted Odds Ratio [AOR]: 2.55; 95% Confidence Interval [95%CI]: 1.00, 6.49) and health workers' lack of trust in the information provided by health authorities (AOR: 6.74; 95% CI: 2.43, 18.72). Similar factors were associated with vaccine hesitancy when we used the vaccine hesitancy score. Fear of side effects, distrust in vaccine stakeholders, and lack of trust in the vaccine were barriers to COVID-19 vaccination among health workers. CONCLUSION: A small proportion of health workers were found to be hesitant to take the COVID-19 vaccine in this study. The paucity of COVID-19 vaccine safety information, which eroded the health workers' trust in the information they received on the vaccine, was responsible for health workers hesitancy to take up the vaccine in Uganda.","author":[{"dropping-particle":"","family":"Ouni","given":"Patrick Diox","non-dropping-particle":"","parse-names":false,"suffix":""},{"dropping-particle":"","family":"Namulondo","given":"Racheal","non-dropping-particle":"","parse-names":false,"suffix":""},{"dropping-particle":"","family":"Wanume","given":"Benon","non-dropping-particle":"","parse-names":false,"suffix":""},{"dropping-particle":"","family":"Okia","given":"David","non-dropping-particle":"","parse-names":false,"suffix":""},{"dropping-particle":"","family":"Olupot","given":"Peter Olupot","non-dropping-particle":"","parse-names":false,"suffix":""},{"dropping-particle":"","family":"Nantale","given":"Ritah","non-dropping-particle":"","parse-names":false,"suffix":""},{"dropping-particle":"","family":"Matovu","given":"Joseph K B","non-dropping-particle":"","parse-names":false,"suffix":""},{"dropping-particle":"","family":"Napyo","given":"Agnes","non-dropping-particle":"","parse-names":false,"suffix":""},{"dropping-particle":"","family":"Moses Lubaale","given":"Yovani A","non-dropping-particle":"","parse-names":false,"suffix":""},{"dropping-particle":"","family":"Nshakira","given":"Nathan","non-dropping-particle":"","parse-names":false,"suffix":""},{"dropping-particle":"","family":"Mukunya","given":"David","non-dropping-particle":"","parse-names":false,"suffix":""}],"container-title":"Vaccine: X","id":"ITEM-1","issued":{"date-parts":[["2023","4"]]},"language":"eng","page":"100260","publisher-place":"England","title":"COVID-19 vaccine hesitancy among health workers in rural Uganda: A mixed methods study.","type":"article-journal","volume":"13"},"uris":["http://www.mendeley.com/documents/?uuid=48de3a4b-1d1b-468c-bc2b-10260095d768"]}],"mendeley":{"formattedCitation":"(35)","plainTextFormattedCitation":"(35)","previouslyFormattedCitation":"(35)"},"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(35)</w:t>
            </w:r>
            <w:r w:rsidRPr="00E414D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Uganda</w:t>
            </w:r>
          </w:p>
        </w:tc>
        <w:tc>
          <w:tcPr>
            <w:tcW w:w="2036"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Registered and </w:t>
            </w:r>
            <w:proofErr w:type="spellStart"/>
            <w:r w:rsidRPr="00E414D7">
              <w:rPr>
                <w:rFonts w:ascii="Times New Roman" w:eastAsia="Times New Roman" w:hAnsi="Times New Roman" w:cs="Times New Roman"/>
                <w:sz w:val="20"/>
                <w:szCs w:val="20"/>
              </w:rPr>
              <w:t>practising</w:t>
            </w:r>
            <w:proofErr w:type="spellEnd"/>
            <w:r w:rsidRPr="00E414D7">
              <w:rPr>
                <w:rFonts w:ascii="Times New Roman" w:eastAsia="Times New Roman" w:hAnsi="Times New Roman" w:cs="Times New Roman"/>
                <w:sz w:val="20"/>
                <w:szCs w:val="20"/>
              </w:rPr>
              <w:t xml:space="preserve"> health workers in the </w:t>
            </w:r>
            <w:proofErr w:type="spellStart"/>
            <w:r w:rsidRPr="00E414D7">
              <w:rPr>
                <w:rFonts w:ascii="Times New Roman" w:eastAsia="Times New Roman" w:hAnsi="Times New Roman" w:cs="Times New Roman"/>
                <w:sz w:val="20"/>
                <w:szCs w:val="20"/>
              </w:rPr>
              <w:t>Dokolo</w:t>
            </w:r>
            <w:proofErr w:type="spellEnd"/>
            <w:r w:rsidRPr="00E414D7">
              <w:rPr>
                <w:rFonts w:ascii="Times New Roman" w:eastAsia="Times New Roman" w:hAnsi="Times New Roman" w:cs="Times New Roman"/>
                <w:sz w:val="20"/>
                <w:szCs w:val="20"/>
              </w:rPr>
              <w:t xml:space="preserve"> district from both government and private health facilities.</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31.4 (6.9) years</w:t>
            </w:r>
          </w:p>
        </w:tc>
        <w:tc>
          <w:tcPr>
            <w:tcW w:w="90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346 (151)</w:t>
            </w:r>
          </w:p>
        </w:tc>
        <w:tc>
          <w:tcPr>
            <w:tcW w:w="144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Mixed-method, cross-sectional descriptive study</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Not available</w:t>
            </w:r>
          </w:p>
        </w:tc>
        <w:tc>
          <w:tcPr>
            <w:tcW w:w="108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hesitancy (1y)</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hesitancy was defined as the unwillingness of a health worker to take a COVID-19 vaccine</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Of the 346 health workers enrolled, (13.3% [46/346]) were vaccine-hesitant. </w:t>
            </w:r>
          </w:p>
        </w:tc>
      </w:tr>
      <w:tr w:rsidR="00CF11AF" w:rsidRPr="00E414D7" w:rsidTr="003F59B6">
        <w:trPr>
          <w:trHeight w:val="1520"/>
        </w:trPr>
        <w:tc>
          <w:tcPr>
            <w:tcW w:w="1155"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Osur</w:t>
            </w:r>
            <w:proofErr w:type="spellEnd"/>
            <w:r w:rsidRPr="00E414D7">
              <w:rPr>
                <w:rFonts w:ascii="Times New Roman" w:eastAsia="Times New Roman" w:hAnsi="Times New Roman" w:cs="Times New Roman"/>
                <w:sz w:val="20"/>
                <w:szCs w:val="20"/>
              </w:rPr>
              <w:t>, 2022</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{"citationItems":[{"id":"ITEM-1","itemData":{"DOI":"10.1186/s13690-022-00904-4","ISSN":"0778-7367 (Print)","PMID":"35733196","abstract":"INTRODUCTION: COVID-19 has become a public health concern globally with increased numbers of cases of the disease and deaths reported daily. The key strategy for the prevention of COVID-19 disease is to enhance mass COVID-19 vaccination. However, mass vaccination faces challenges of hesitation to acceptance of the vaccine in the community. The youth may not be among the vulnerable population to severe COVID-19 disease but are highly susceptible to contracting the virus and spreading it. The aim of the study was to assess COVID-19 vaccine youth behavior intentions and their determinants in Kenya. METHODS: The study used a mixed method design, employing a cross-sectional survey and focused group discussions across 47 counties in Urban, Peri-Urban and Rural settings of Kenya. The interviewees were youths aged 18-35, registered in online platforms/peer groups that included Shujaaz, Brck Moja, Aiffluence, Y Act and Heroes for Change. Quantitative data was collected using Google forms. A total of 665 interviews were conducted. Quantitative data was analysed using STATA version 16. In this paper we report quantitative study findings. RESULTS: The findings of the study indicated that only 42% of the youth were ready to be vaccinated, with 52% adopting a wait and see approach to what happens to those who had received the vaccine and 6% totally unwilling to be vaccinated. The determinants of these behavior intentions included: the perceived adverse effects of the vaccine on health, inadequate information about the COVID-19 vaccine, conflicting information about COVID-19 vaccine from the social media, religious implications of the vaccine, impact of education level on understanding of the vaccine, perceived risk of contracting the COVID-19 disease, efficacy of the COVID-19 vaccine, COVID-19 affecting women than men and trust in the ministry of health to lead COVID-19 interventions. Significantly it was found that hesitancy is higher among females, protestants and those with post-secondary education. Lack of information and concerns around vaccine safety and effectiveness were main cause of COVID-19 vaccine hesitancy. Social media was the major source of information contributing to hesitancy. Other contributors to hesitancy included low trust in the MoH and belief that mass vaccination is not helpful. CONCLUSION: Vaccine hesitancy remains high among the youth but the causes of it are modifiable and health systems need to have evidence based engagements with the you…","author":[{"dropping-particle":"","family":"Osur","given":"Joachim O","non-dropping-particle":"","parse-names":false,"suffix":""},{"dropping-particle":"","family":"Chengo","given":"Rehema","non-dropping-particle":"","parse-names":false,"suffix":""},{"dropping-particle":"","family":"Muinga","given":"Evelyne","non-dropping-particle":"","parse-names":false,"suffix":""},{"dropping-particle":"","family":"Kemboi","given":"Jackline","non-dropping-particle":"","parse-names":false,"suffix":""},{"dropping-particle":"","family":"Sidibe","given":"Myriam","non-dropping-particle":"","parse-names":false,"suffix":""},{"dropping-particle":"","family":"Rarieya","given":"Maggie","non-dropping-particle":"","parse-names":false,"suffix":""}],"container-title":"Archives of public health = Archives belges de sante publique","id":"ITEM-1","issue":"1","issued":{"date-parts":[["2022","6"]]},"language":"eng","page":"159","publisher-place":"England","title":"Determinants of COVID-19 vaccine behaviour intentions among the youth in Kenya: a cross-sectional study.","type":"article-journal","volume":"80"},"uris":["http://www.mendeley.com/documents/?uuid=6bfa8194-d38d-498e-8bec-47bf4224b764"]}],"mendeley":{"formattedCitation":"(29)","plainTextFormattedCitation":"(29)","previouslyFormattedCitation":"(29)"},"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(29)</w:t>
            </w:r>
            <w:r w:rsidRPr="00E414D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Kenya</w:t>
            </w:r>
          </w:p>
        </w:tc>
        <w:tc>
          <w:tcPr>
            <w:tcW w:w="2036"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Youths aged 18–35, registered in online platforms/peer groups that included </w:t>
            </w:r>
            <w:proofErr w:type="spellStart"/>
            <w:r w:rsidRPr="00E414D7">
              <w:rPr>
                <w:rFonts w:ascii="Times New Roman" w:eastAsia="Times New Roman" w:hAnsi="Times New Roman" w:cs="Times New Roman"/>
                <w:sz w:val="20"/>
                <w:szCs w:val="20"/>
              </w:rPr>
              <w:t>Shujaaz</w:t>
            </w:r>
            <w:proofErr w:type="spellEnd"/>
            <w:r w:rsidRPr="00E414D7">
              <w:rPr>
                <w:rFonts w:ascii="Times New Roman" w:eastAsia="Times New Roman" w:hAnsi="Times New Roman" w:cs="Times New Roman"/>
                <w:sz w:val="20"/>
                <w:szCs w:val="20"/>
              </w:rPr>
              <w:t xml:space="preserve">, </w:t>
            </w:r>
            <w:proofErr w:type="spellStart"/>
            <w:r w:rsidRPr="00E414D7">
              <w:rPr>
                <w:rFonts w:ascii="Times New Roman" w:eastAsia="Times New Roman" w:hAnsi="Times New Roman" w:cs="Times New Roman"/>
                <w:sz w:val="20"/>
                <w:szCs w:val="20"/>
              </w:rPr>
              <w:t>Brck</w:t>
            </w:r>
            <w:proofErr w:type="spellEnd"/>
            <w:r w:rsidRPr="00E414D7">
              <w:rPr>
                <w:rFonts w:ascii="Times New Roman" w:eastAsia="Times New Roman" w:hAnsi="Times New Roman" w:cs="Times New Roman"/>
                <w:sz w:val="20"/>
                <w:szCs w:val="20"/>
              </w:rPr>
              <w:t xml:space="preserve"> </w:t>
            </w:r>
            <w:proofErr w:type="spellStart"/>
            <w:r w:rsidRPr="00E414D7">
              <w:rPr>
                <w:rFonts w:ascii="Times New Roman" w:eastAsia="Times New Roman" w:hAnsi="Times New Roman" w:cs="Times New Roman"/>
                <w:sz w:val="20"/>
                <w:szCs w:val="20"/>
              </w:rPr>
              <w:t>Moja</w:t>
            </w:r>
            <w:proofErr w:type="spellEnd"/>
            <w:r w:rsidRPr="00E414D7">
              <w:rPr>
                <w:rFonts w:ascii="Times New Roman" w:eastAsia="Times New Roman" w:hAnsi="Times New Roman" w:cs="Times New Roman"/>
                <w:sz w:val="20"/>
                <w:szCs w:val="20"/>
              </w:rPr>
              <w:t xml:space="preserve">, </w:t>
            </w:r>
            <w:proofErr w:type="spellStart"/>
            <w:r w:rsidRPr="00E414D7">
              <w:rPr>
                <w:rFonts w:ascii="Times New Roman" w:eastAsia="Times New Roman" w:hAnsi="Times New Roman" w:cs="Times New Roman"/>
                <w:sz w:val="20"/>
                <w:szCs w:val="20"/>
              </w:rPr>
              <w:t>Aifuence</w:t>
            </w:r>
            <w:proofErr w:type="spellEnd"/>
            <w:r w:rsidRPr="00E414D7">
              <w:rPr>
                <w:rFonts w:ascii="Times New Roman" w:eastAsia="Times New Roman" w:hAnsi="Times New Roman" w:cs="Times New Roman"/>
                <w:sz w:val="20"/>
                <w:szCs w:val="20"/>
              </w:rPr>
              <w:t>, Y Act and Heroes for Change.</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range 18-35 years</w:t>
            </w:r>
          </w:p>
        </w:tc>
        <w:tc>
          <w:tcPr>
            <w:tcW w:w="90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665 (401)</w:t>
            </w:r>
          </w:p>
        </w:tc>
        <w:tc>
          <w:tcPr>
            <w:tcW w:w="144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Mixed-method study using a </w:t>
            </w:r>
            <w:r w:rsidRPr="00E414D7">
              <w:rPr>
                <w:rFonts w:ascii="Times New Roman" w:eastAsia="Times New Roman" w:hAnsi="Times New Roman" w:cs="Times New Roman"/>
                <w:sz w:val="20"/>
                <w:szCs w:val="20"/>
              </w:rPr>
              <w:br/>
              <w:t xml:space="preserve">cross-sectional survey and focused group discussions </w:t>
            </w:r>
            <w:r w:rsidRPr="00E414D7">
              <w:rPr>
                <w:rFonts w:ascii="Times New Roman" w:eastAsia="Times New Roman" w:hAnsi="Times New Roman" w:cs="Times New Roman"/>
                <w:sz w:val="20"/>
                <w:szCs w:val="20"/>
              </w:rPr>
              <w:br/>
              <w:t>approaches.</w:t>
            </w:r>
          </w:p>
        </w:tc>
        <w:tc>
          <w:tcPr>
            <w:tcW w:w="117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Not available</w:t>
            </w:r>
          </w:p>
        </w:tc>
        <w:tc>
          <w:tcPr>
            <w:tcW w:w="108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Vaccine hesitancy (2y)</w:t>
            </w:r>
          </w:p>
        </w:tc>
        <w:tc>
          <w:tcPr>
            <w:tcW w:w="1530" w:type="dxa"/>
            <w:tcBorders>
              <w:top w:val="single" w:sz="4" w:space="0" w:color="7F7F7F"/>
              <w:left w:val="single" w:sz="4" w:space="0" w:color="7F7F7F"/>
              <w:bottom w:val="single" w:sz="4" w:space="0" w:color="7F7F7F"/>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Percentage of participants unwilling to receive COVID-19 vaccine.</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 6% of the participants were unwilling to be vaccinated. </w:t>
            </w:r>
          </w:p>
        </w:tc>
      </w:tr>
      <w:tr w:rsidR="003F59B6" w:rsidRPr="00E414D7" w:rsidTr="003F59B6">
        <w:trPr>
          <w:trHeight w:val="1240"/>
        </w:trPr>
        <w:tc>
          <w:tcPr>
            <w:tcW w:w="1155"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proofErr w:type="spellStart"/>
            <w:r w:rsidRPr="00E414D7">
              <w:rPr>
                <w:rFonts w:ascii="Times New Roman" w:eastAsia="Times New Roman" w:hAnsi="Times New Roman" w:cs="Times New Roman"/>
                <w:sz w:val="20"/>
                <w:szCs w:val="20"/>
              </w:rPr>
              <w:t>Orangi</w:t>
            </w:r>
            <w:proofErr w:type="spellEnd"/>
            <w:r w:rsidRPr="00E414D7">
              <w:rPr>
                <w:rFonts w:ascii="Times New Roman" w:eastAsia="Times New Roman" w:hAnsi="Times New Roman" w:cs="Times New Roman"/>
                <w:sz w:val="20"/>
                <w:szCs w:val="20"/>
              </w:rPr>
              <w:t>, 2021</w:t>
            </w:r>
            <w:r w:rsidRPr="00E414D7">
              <w:rPr>
                <w:rFonts w:ascii="Times New Roman" w:eastAsia="Times New Roman" w:hAnsi="Times New Roman" w:cs="Times New Roman"/>
                <w:sz w:val="20"/>
                <w:szCs w:val="20"/>
              </w:rPr>
              <w:fldChar w:fldCharType="begin" w:fldLock="1"/>
            </w:r>
            <w:r w:rsidRPr="00E414D7">
              <w:rPr>
                <w:rFonts w:ascii="Times New Roman" w:eastAsia="Times New Roman" w:hAnsi="Times New Roman" w:cs="Times New Roman"/>
                <w:sz w:val="20"/>
                <w:szCs w:val="20"/>
              </w:rPr>
              <w:instrText>ADDIN CSL_CITATION {"citationItems":[{"id":"ITEM-1","itemData":{"DOI":"10.3390/vaccines9080936","ISSN":"2076-393X (Print)","PMID":"34452061","abstract":"The government of Kenya has launched a phased rollout of COVID-19 vaccination. A major barrier is vaccine hesitancy; the refusal or delay of accepting vaccination. This study evaluated the level and determinants of vaccine hesitancy in Kenya. We conducted a cross-sectional study administered through a phone-based survey in February 2021 in four counties of Kenya. Multilevel logistic regression was used to identify individual perceived risks and influences, context-specific factors and vaccine-specific issues associated with COVID-19 vaccine hesitancy. COVID-19 vaccine hesitancy in Kenya was high: 36.5%. Factors associated with vaccine hesitancy included: Rural regions, perceived difficulty in adhering to government regulations on COVID-19 prevention, no perceived COVID-19 infection risk, concerns regarding vaccine safety and effectiveness, and religious and cultural reasons. There is a need for the prioritization of interventions to address vaccine hesitancy and improve vaccine confidence as part of the vaccine roll-out plan. These messaging and/or interventions should be holistic to include the value of other public health measures, be focused and targeted to specific groups, raise awareness on the risks of COVID-19 and effectively communicate the benefits and risks of vaccines.","author":[{"dropping-particle":"","family":"Orangi","given":"Stacey","non-dropping-particle":"","parse-names":false,"suffix":""},{"dropping-particle":"","family":"Pinchoff","given":"Jessie","non-dropping-particle":"","parse-names":false,"suffix":""},{"dropping-particle":"","family":"Mwanga","given":"Daniel","non-dropping-particle":"","parse-names":false,"suffix":""},{"dropping-particle":"","family":"Abuya","given":"Timothy","non-dropping-particle":"","parse-names":false,"suffix":""},{"dropping-particle":"","family":"Hamaluba","given":"Mainga","non-dropping-particle":"","parse-names":false,"suffix":""},{"dropping-particle":"","family":"Warimwe","given":"George","non-dropping-particle":"","parse-names":false,"suffix":""},{"dropping-particle":"","family":"Austrian","given":"Karen","non-dropping-particle":"","parse-names":false,"suffix":""},{"dropping-particle":"","family":"Barasa","given":"Edwine","non-dropping-particle":"","parse-names":false,"suffix":""}],"container-title":"Vaccines","id":"ITEM-1","issue":"8","issued":{"date-parts":[["2021","8"]]},"language":"eng","publisher-place":"Switzerland","title":"Assessing the Level and Determinants of COVID-19 Vaccine Confidence in Kenya.","type":"article-journal","volume":"9"},"uris":["http://www.mendeley.com/documents/?uuid=fbba2a45-f2c2-430c-b8d4-2eb2f440c2f3"]}],"mendeley":{"formattedCitation":"(36)","plainTextFormattedCitation":"(36)","previouslyFormattedCitation":"(36)"},"properties":{"noteIndex":0},"schema":"https://github.com/citation-style-language/schema/raw/master/csl-citation.json"}</w:instrText>
            </w:r>
            <w:r w:rsidRPr="00E414D7">
              <w:rPr>
                <w:rFonts w:ascii="Times New Roman" w:eastAsia="Times New Roman" w:hAnsi="Times New Roman" w:cs="Times New Roman"/>
                <w:sz w:val="20"/>
                <w:szCs w:val="20"/>
              </w:rPr>
              <w:fldChar w:fldCharType="separate"/>
            </w:r>
            <w:r w:rsidRPr="00E414D7">
              <w:rPr>
                <w:rFonts w:ascii="Times New Roman" w:eastAsia="Times New Roman" w:hAnsi="Times New Roman" w:cs="Times New Roman"/>
                <w:noProof/>
                <w:sz w:val="20"/>
                <w:szCs w:val="20"/>
              </w:rPr>
              <w:t>(36)</w:t>
            </w:r>
            <w:r w:rsidRPr="00E414D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Kenya</w:t>
            </w:r>
          </w:p>
        </w:tc>
        <w:tc>
          <w:tcPr>
            <w:tcW w:w="2036" w:type="dxa"/>
            <w:tcBorders>
              <w:top w:val="single" w:sz="4" w:space="0" w:color="7F7F7F"/>
              <w:left w:val="single" w:sz="4" w:space="0" w:color="7F7F7F"/>
              <w:bottom w:val="single" w:sz="4" w:space="0" w:color="000000"/>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 xml:space="preserve">Participants were sampled from households in four existing Population Council prospective cohort studies across four counties: Kilifi, Kisumu, Nairobi and </w:t>
            </w:r>
            <w:proofErr w:type="spellStart"/>
            <w:r w:rsidRPr="00E414D7">
              <w:rPr>
                <w:rFonts w:ascii="Times New Roman" w:eastAsia="Times New Roman" w:hAnsi="Times New Roman" w:cs="Times New Roman"/>
                <w:sz w:val="20"/>
                <w:szCs w:val="20"/>
              </w:rPr>
              <w:t>Wajir</w:t>
            </w:r>
            <w:proofErr w:type="spellEnd"/>
            <w:r w:rsidRPr="00E414D7">
              <w:rPr>
                <w:rFonts w:ascii="Times New Roman" w:eastAsia="Times New Roman" w:hAnsi="Times New Roman" w:cs="Times New Roman"/>
                <w:sz w:val="20"/>
                <w:szCs w:val="20"/>
              </w:rPr>
              <w:t>.</w:t>
            </w:r>
          </w:p>
        </w:tc>
        <w:tc>
          <w:tcPr>
            <w:tcW w:w="1530" w:type="dxa"/>
            <w:tcBorders>
              <w:top w:val="single" w:sz="4" w:space="0" w:color="7F7F7F"/>
              <w:left w:val="single" w:sz="4" w:space="0" w:color="7F7F7F"/>
              <w:bottom w:val="single" w:sz="4" w:space="0" w:color="000000"/>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40.8 (12.6) years</w:t>
            </w:r>
          </w:p>
        </w:tc>
        <w:tc>
          <w:tcPr>
            <w:tcW w:w="900" w:type="dxa"/>
            <w:tcBorders>
              <w:top w:val="single" w:sz="4" w:space="0" w:color="7F7F7F"/>
              <w:left w:val="single" w:sz="4" w:space="0" w:color="7F7F7F"/>
              <w:bottom w:val="single" w:sz="4" w:space="0" w:color="000000"/>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4136 (1355)</w:t>
            </w:r>
          </w:p>
        </w:tc>
        <w:tc>
          <w:tcPr>
            <w:tcW w:w="1440" w:type="dxa"/>
            <w:tcBorders>
              <w:top w:val="single" w:sz="4" w:space="0" w:color="7F7F7F"/>
              <w:left w:val="single" w:sz="4" w:space="0" w:color="7F7F7F"/>
              <w:bottom w:val="single" w:sz="4" w:space="0" w:color="000000"/>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Cross-sectional study</w:t>
            </w:r>
          </w:p>
        </w:tc>
        <w:tc>
          <w:tcPr>
            <w:tcW w:w="1170" w:type="dxa"/>
            <w:tcBorders>
              <w:top w:val="single" w:sz="4" w:space="0" w:color="7F7F7F"/>
              <w:left w:val="single" w:sz="4" w:space="0" w:color="7F7F7F"/>
              <w:bottom w:val="single" w:sz="4" w:space="0" w:color="000000"/>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February 2021</w:t>
            </w:r>
          </w:p>
        </w:tc>
        <w:tc>
          <w:tcPr>
            <w:tcW w:w="1080" w:type="dxa"/>
            <w:tcBorders>
              <w:top w:val="single" w:sz="4" w:space="0" w:color="7F7F7F"/>
              <w:left w:val="single" w:sz="4" w:space="0" w:color="7F7F7F"/>
              <w:bottom w:val="single" w:sz="4" w:space="0" w:color="000000"/>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Levels of vaccine hesitancy (1y)</w:t>
            </w:r>
          </w:p>
        </w:tc>
        <w:tc>
          <w:tcPr>
            <w:tcW w:w="1530" w:type="dxa"/>
            <w:tcBorders>
              <w:top w:val="single" w:sz="4" w:space="0" w:color="7F7F7F"/>
              <w:left w:val="single" w:sz="4" w:space="0" w:color="7F7F7F"/>
              <w:bottom w:val="single" w:sz="4" w:space="0" w:color="000000"/>
              <w:right w:val="single" w:sz="4" w:space="0" w:color="7F7F7F"/>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Percentage of participants unwilling to receive COVID-19 vaccine.</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CF11AF" w:rsidRPr="00E414D7" w:rsidRDefault="00CF11AF" w:rsidP="0049429C">
            <w:pPr>
              <w:suppressAutoHyphens w:val="0"/>
              <w:spacing w:after="0" w:line="240" w:lineRule="auto"/>
              <w:rPr>
                <w:rFonts w:ascii="Times New Roman" w:eastAsia="Times New Roman" w:hAnsi="Times New Roman" w:cs="Times New Roman"/>
                <w:sz w:val="20"/>
                <w:szCs w:val="20"/>
              </w:rPr>
            </w:pPr>
            <w:r w:rsidRPr="00E414D7">
              <w:rPr>
                <w:rFonts w:ascii="Times New Roman" w:eastAsia="Times New Roman" w:hAnsi="Times New Roman" w:cs="Times New Roman"/>
                <w:sz w:val="20"/>
                <w:szCs w:val="20"/>
              </w:rPr>
              <w:t>Overall, the level of vaccine hesitancy towards the COVID-19 vaccine across all study counties was 36% (n = 1509).</w:t>
            </w:r>
          </w:p>
        </w:tc>
      </w:tr>
      <w:tr w:rsidR="00CF11AF" w:rsidRPr="00E414D7" w:rsidTr="003F59B6">
        <w:trPr>
          <w:trHeight w:val="1240"/>
        </w:trPr>
        <w:tc>
          <w:tcPr>
            <w:tcW w:w="13860" w:type="dxa"/>
            <w:gridSpan w:val="10"/>
            <w:tcBorders>
              <w:top w:val="single" w:sz="4" w:space="0" w:color="000000"/>
            </w:tcBorders>
            <w:shd w:val="clear" w:color="auto" w:fill="auto"/>
            <w:noWrap/>
          </w:tcPr>
          <w:p w:rsidR="00CF11AF" w:rsidRDefault="00CF11AF" w:rsidP="00B116E4">
            <w:pPr>
              <w:suppressAutoHyphens w:val="0"/>
              <w:spacing w:after="0" w:line="240" w:lineRule="auto"/>
              <w:jc w:val="both"/>
              <w:rPr>
                <w:rFonts w:ascii="Times New Roman" w:eastAsia="Times New Roman" w:hAnsi="Times New Roman" w:cs="Times New Roman"/>
                <w:sz w:val="20"/>
                <w:szCs w:val="20"/>
              </w:rPr>
            </w:pPr>
            <w:r w:rsidRPr="00E414D7">
              <w:rPr>
                <w:rFonts w:ascii="Times New Roman" w:eastAsia="Times New Roman" w:hAnsi="Times New Roman" w:cs="Times New Roman"/>
                <w:b/>
                <w:sz w:val="20"/>
                <w:szCs w:val="20"/>
              </w:rPr>
              <w:t>Abbreviations and acronyms</w:t>
            </w:r>
            <w:r w:rsidR="003F59B6">
              <w:rPr>
                <w:rFonts w:ascii="Times New Roman" w:eastAsia="Times New Roman" w:hAnsi="Times New Roman" w:cs="Times New Roman"/>
                <w:b/>
                <w:sz w:val="20"/>
                <w:szCs w:val="20"/>
              </w:rPr>
              <w:t xml:space="preserve">: </w:t>
            </w:r>
            <w:r w:rsidRPr="00E414D7">
              <w:rPr>
                <w:rFonts w:ascii="Times New Roman" w:eastAsia="Times New Roman" w:hAnsi="Times New Roman" w:cs="Times New Roman"/>
                <w:sz w:val="20"/>
                <w:szCs w:val="20"/>
              </w:rPr>
              <w:t>COVID-19, coronavirus disease 19; SARS-CoV-2, severe acute respiratory syndrome coronavirus-2; CI, confidence interval; SD, standard deviation; IQR, inter-quartile range; S.E, standard error; 1y, primary outcome; 2y, secondary outcome</w:t>
            </w:r>
          </w:p>
          <w:p w:rsidR="003F59B6" w:rsidRPr="003F59B6" w:rsidRDefault="003F59B6" w:rsidP="00B116E4">
            <w:pPr>
              <w:suppressAutoHyphens w:val="0"/>
              <w:spacing w:after="0" w:line="240" w:lineRule="auto"/>
              <w:jc w:val="both"/>
              <w:rPr>
                <w:rFonts w:ascii="Times New Roman" w:eastAsia="Times New Roman" w:hAnsi="Times New Roman" w:cs="Times New Roman"/>
                <w:b/>
                <w:sz w:val="20"/>
                <w:szCs w:val="20"/>
              </w:rPr>
            </w:pPr>
            <w:r w:rsidRPr="00B01E37">
              <w:rPr>
                <w:rFonts w:ascii="Times New Roman" w:eastAsia="Times New Roman" w:hAnsi="Times New Roman" w:cs="Times New Roman"/>
                <w:sz w:val="20"/>
                <w:szCs w:val="20"/>
              </w:rPr>
              <w:t xml:space="preserve">The levels of </w:t>
            </w:r>
            <w:r>
              <w:rPr>
                <w:rFonts w:ascii="Times New Roman" w:eastAsia="Times New Roman" w:hAnsi="Times New Roman" w:cs="Times New Roman"/>
                <w:sz w:val="20"/>
                <w:szCs w:val="20"/>
              </w:rPr>
              <w:t xml:space="preserve">vaccine hesitancy </w:t>
            </w:r>
            <w:r w:rsidRPr="00B01E37">
              <w:rPr>
                <w:rFonts w:ascii="Times New Roman" w:eastAsia="Times New Roman" w:hAnsi="Times New Roman" w:cs="Times New Roman"/>
                <w:sz w:val="20"/>
                <w:szCs w:val="20"/>
              </w:rPr>
              <w:t xml:space="preserve">have been presented as proportions of participants </w:t>
            </w:r>
            <w:r>
              <w:rPr>
                <w:rFonts w:ascii="Times New Roman" w:eastAsia="Times New Roman" w:hAnsi="Times New Roman" w:cs="Times New Roman"/>
                <w:sz w:val="20"/>
                <w:szCs w:val="20"/>
              </w:rPr>
              <w:t xml:space="preserve">that were </w:t>
            </w:r>
            <w:r>
              <w:rPr>
                <w:rFonts w:ascii="Times New Roman" w:eastAsia="Times New Roman" w:hAnsi="Times New Roman" w:cs="Times New Roman"/>
                <w:sz w:val="20"/>
                <w:szCs w:val="20"/>
              </w:rPr>
              <w:t xml:space="preserve">unwilling to get vaccinated against COVID-19 </w:t>
            </w:r>
            <w:r w:rsidRPr="00B01E37">
              <w:rPr>
                <w:rFonts w:ascii="Times New Roman" w:eastAsia="Times New Roman" w:hAnsi="Times New Roman" w:cs="Times New Roman"/>
                <w:sz w:val="20"/>
                <w:szCs w:val="20"/>
              </w:rPr>
              <w:t>as reported by the individual studies.</w:t>
            </w:r>
            <w:bookmarkStart w:id="0" w:name="_GoBack"/>
            <w:bookmarkEnd w:id="0"/>
          </w:p>
        </w:tc>
      </w:tr>
    </w:tbl>
    <w:p w:rsidR="006B21EC" w:rsidRDefault="006B21EC"/>
    <w:sectPr w:rsidR="006B21EC" w:rsidSect="003F59B6">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roid Sans Fallback">
    <w:altName w:val="MV Bol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e1MDcwMjU0Nrc0NTZS0lEKTi0uzszPAykwqgUAFDNvGSwAAAA="/>
  </w:docVars>
  <w:rsids>
    <w:rsidRoot w:val="00CF11AF"/>
    <w:rsid w:val="00300F44"/>
    <w:rsid w:val="003206D6"/>
    <w:rsid w:val="003460AC"/>
    <w:rsid w:val="00360F5A"/>
    <w:rsid w:val="00386649"/>
    <w:rsid w:val="003F59B6"/>
    <w:rsid w:val="0043773B"/>
    <w:rsid w:val="00452F69"/>
    <w:rsid w:val="004A3283"/>
    <w:rsid w:val="004A4161"/>
    <w:rsid w:val="006B21EC"/>
    <w:rsid w:val="00732C4E"/>
    <w:rsid w:val="008779FD"/>
    <w:rsid w:val="00B116E4"/>
    <w:rsid w:val="00B752C8"/>
    <w:rsid w:val="00BB5B7E"/>
    <w:rsid w:val="00C11A40"/>
    <w:rsid w:val="00CF11AF"/>
    <w:rsid w:val="00EF7E4B"/>
    <w:rsid w:val="00F2103C"/>
    <w:rsid w:val="00FA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1132E"/>
  <w15:chartTrackingRefBased/>
  <w15:docId w15:val="{42E8E56F-2AE9-4987-A7A9-CC39C13F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1AF"/>
    <w:pPr>
      <w:suppressAutoHyphens/>
      <w:spacing w:after="200" w:line="276" w:lineRule="auto"/>
    </w:pPr>
    <w:rPr>
      <w:rFonts w:ascii="Calibri" w:eastAsia="Droid Sans Fallback"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unhideWhenUsed/>
    <w:qFormat/>
    <w:rsid w:val="00CF11AF"/>
    <w:pPr>
      <w:spacing w:line="240" w:lineRule="auto"/>
    </w:pPr>
    <w:rPr>
      <w:i/>
      <w:iCs/>
      <w:color w:val="44546A" w:themeColor="text2"/>
      <w:sz w:val="18"/>
      <w:szCs w:val="18"/>
    </w:rPr>
  </w:style>
  <w:style w:type="character" w:styleId="LineNumber">
    <w:name w:val="line number"/>
    <w:basedOn w:val="DefaultParagraphFont"/>
    <w:uiPriority w:val="99"/>
    <w:semiHidden/>
    <w:unhideWhenUsed/>
    <w:rsid w:val="00CF1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4042</Words>
  <Characters>23041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King'ori</dc:creator>
  <cp:keywords/>
  <dc:description/>
  <cp:lastModifiedBy>Pauline King'ori</cp:lastModifiedBy>
  <cp:revision>3</cp:revision>
  <dcterms:created xsi:type="dcterms:W3CDTF">2023-05-03T11:30:00Z</dcterms:created>
  <dcterms:modified xsi:type="dcterms:W3CDTF">2023-05-15T10:34:00Z</dcterms:modified>
</cp:coreProperties>
</file>