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F12B" w14:textId="0661F385" w:rsidR="008C261A" w:rsidRPr="0097433A" w:rsidRDefault="00ED6907" w:rsidP="008C261A">
      <w:pPr>
        <w:spacing w:after="0"/>
        <w:rPr>
          <w:b/>
          <w:bCs/>
          <w:lang w:val="en-AU"/>
        </w:rPr>
      </w:pPr>
      <w:r>
        <w:rPr>
          <w:rFonts w:cstheme="minorHAnsi"/>
          <w:b/>
          <w:bCs/>
          <w:lang w:val="en-AU"/>
        </w:rPr>
        <w:t>Supplementary</w:t>
      </w:r>
      <w:r>
        <w:rPr>
          <w:rFonts w:cstheme="minorHAnsi"/>
          <w:b/>
          <w:bCs/>
          <w:lang w:val="en-AU"/>
        </w:rPr>
        <w:t xml:space="preserve"> </w:t>
      </w:r>
      <w:r w:rsidR="008C261A" w:rsidRPr="0097433A">
        <w:rPr>
          <w:b/>
          <w:bCs/>
          <w:lang w:val="en-AU"/>
        </w:rPr>
        <w:t xml:space="preserve">Table </w:t>
      </w:r>
      <w:r>
        <w:rPr>
          <w:b/>
          <w:bCs/>
          <w:lang w:val="en-AU"/>
        </w:rPr>
        <w:t>4</w:t>
      </w:r>
      <w:r w:rsidR="008C261A" w:rsidRPr="0097433A">
        <w:rPr>
          <w:b/>
          <w:bCs/>
          <w:lang w:val="en-AU"/>
        </w:rPr>
        <w:t xml:space="preserve">. Familiarity with </w:t>
      </w:r>
      <w:r w:rsidR="0026205D">
        <w:rPr>
          <w:b/>
          <w:bCs/>
          <w:lang w:val="en-AU"/>
        </w:rPr>
        <w:t>Physical Activity and Sedentary Behaviour</w:t>
      </w:r>
      <w:r w:rsidR="008C261A" w:rsidRPr="0097433A">
        <w:rPr>
          <w:b/>
          <w:bCs/>
          <w:lang w:val="en-AU"/>
        </w:rPr>
        <w:t xml:space="preserve"> guidelines among </w:t>
      </w:r>
      <w:r w:rsidR="0026205D">
        <w:rPr>
          <w:b/>
          <w:bCs/>
          <w:lang w:val="en-AU"/>
        </w:rPr>
        <w:t xml:space="preserve">Australian </w:t>
      </w:r>
      <w:r w:rsidR="008C261A" w:rsidRPr="0097433A">
        <w:rPr>
          <w:b/>
          <w:bCs/>
          <w:lang w:val="en-AU"/>
        </w:rPr>
        <w:t>chiropractors</w:t>
      </w:r>
      <w:r w:rsidR="000D45AB">
        <w:rPr>
          <w:b/>
          <w:bCs/>
          <w:lang w:val="en-AU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6741"/>
        <w:gridCol w:w="2319"/>
        <w:gridCol w:w="3678"/>
      </w:tblGrid>
      <w:tr w:rsidR="008C261A" w:rsidRPr="0097433A" w14:paraId="03D94AF6" w14:textId="77777777" w:rsidTr="0083523E">
        <w:trPr>
          <w:trHeight w:val="290"/>
        </w:trPr>
        <w:tc>
          <w:tcPr>
            <w:tcW w:w="79" w:type="pct"/>
          </w:tcPr>
          <w:p w14:paraId="36EAC07C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</w:tcPr>
          <w:p w14:paraId="66E721EC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897" w:type="pct"/>
            <w:shd w:val="clear" w:color="auto" w:fill="auto"/>
            <w:vAlign w:val="bottom"/>
          </w:tcPr>
          <w:p w14:paraId="4C0D4282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n</w:t>
            </w:r>
          </w:p>
        </w:tc>
        <w:tc>
          <w:tcPr>
            <w:tcW w:w="1421" w:type="pct"/>
            <w:shd w:val="clear" w:color="auto" w:fill="auto"/>
            <w:vAlign w:val="bottom"/>
          </w:tcPr>
          <w:p w14:paraId="33BD6505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% (CI)</w:t>
            </w:r>
          </w:p>
        </w:tc>
      </w:tr>
      <w:tr w:rsidR="008C261A" w:rsidRPr="0097433A" w14:paraId="7BFFDA57" w14:textId="77777777" w:rsidTr="0083523E">
        <w:trPr>
          <w:trHeight w:val="290"/>
        </w:trPr>
        <w:tc>
          <w:tcPr>
            <w:tcW w:w="5000" w:type="pct"/>
            <w:gridSpan w:val="4"/>
          </w:tcPr>
          <w:p w14:paraId="421D6030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AU" w:eastAsia="en-AU"/>
              </w:rPr>
              <w:t>Are you familiar with the current Australia's Physical Activity and Sedentary Behaviour Guidelines for Australian Adults -aged 18-64 years published by the Australian Government, Department of Health?</w:t>
            </w:r>
          </w:p>
        </w:tc>
      </w:tr>
      <w:tr w:rsidR="008C261A" w:rsidRPr="0097433A" w14:paraId="210BD8E2" w14:textId="77777777" w:rsidTr="0083523E">
        <w:trPr>
          <w:trHeight w:val="290"/>
        </w:trPr>
        <w:tc>
          <w:tcPr>
            <w:tcW w:w="79" w:type="pct"/>
          </w:tcPr>
          <w:p w14:paraId="216831B2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  <w:hideMark/>
          </w:tcPr>
          <w:p w14:paraId="35473755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Not at all familiar</w:t>
            </w:r>
          </w:p>
        </w:tc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08227E2A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75</w:t>
            </w:r>
          </w:p>
        </w:tc>
        <w:tc>
          <w:tcPr>
            <w:tcW w:w="1421" w:type="pct"/>
            <w:shd w:val="clear" w:color="auto" w:fill="auto"/>
            <w:noWrap/>
            <w:vAlign w:val="bottom"/>
            <w:hideMark/>
          </w:tcPr>
          <w:p w14:paraId="2E4ED345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36.6% (30.2%-43.3%)</w:t>
            </w:r>
          </w:p>
        </w:tc>
      </w:tr>
      <w:tr w:rsidR="008C261A" w:rsidRPr="0097433A" w14:paraId="7CC29C91" w14:textId="77777777" w:rsidTr="0083523E">
        <w:trPr>
          <w:trHeight w:val="290"/>
        </w:trPr>
        <w:tc>
          <w:tcPr>
            <w:tcW w:w="79" w:type="pct"/>
          </w:tcPr>
          <w:p w14:paraId="5E8C0F45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  <w:hideMark/>
          </w:tcPr>
          <w:p w14:paraId="3E32BA9C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Slightly familiar</w:t>
            </w:r>
          </w:p>
        </w:tc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3B2DC5C5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36</w:t>
            </w:r>
          </w:p>
        </w:tc>
        <w:tc>
          <w:tcPr>
            <w:tcW w:w="1421" w:type="pct"/>
            <w:shd w:val="clear" w:color="auto" w:fill="auto"/>
            <w:noWrap/>
            <w:vAlign w:val="bottom"/>
            <w:hideMark/>
          </w:tcPr>
          <w:p w14:paraId="6608DAE6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17.6% (12.8%-23.2%)</w:t>
            </w:r>
          </w:p>
        </w:tc>
      </w:tr>
      <w:tr w:rsidR="008C261A" w:rsidRPr="0097433A" w14:paraId="3664367B" w14:textId="77777777" w:rsidTr="0083523E">
        <w:trPr>
          <w:trHeight w:val="290"/>
        </w:trPr>
        <w:tc>
          <w:tcPr>
            <w:tcW w:w="79" w:type="pct"/>
          </w:tcPr>
          <w:p w14:paraId="50FD5FE9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  <w:hideMark/>
          </w:tcPr>
          <w:p w14:paraId="23554397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Somewhat familiar</w:t>
            </w:r>
          </w:p>
        </w:tc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190EB872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46</w:t>
            </w:r>
          </w:p>
        </w:tc>
        <w:tc>
          <w:tcPr>
            <w:tcW w:w="1421" w:type="pct"/>
            <w:shd w:val="clear" w:color="auto" w:fill="auto"/>
            <w:noWrap/>
            <w:vAlign w:val="bottom"/>
            <w:hideMark/>
          </w:tcPr>
          <w:p w14:paraId="64C6B6EB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22.4% (17.1%-28.5%)</w:t>
            </w:r>
          </w:p>
        </w:tc>
      </w:tr>
      <w:tr w:rsidR="008C261A" w:rsidRPr="0097433A" w14:paraId="063AABED" w14:textId="77777777" w:rsidTr="0083523E">
        <w:trPr>
          <w:trHeight w:val="290"/>
        </w:trPr>
        <w:tc>
          <w:tcPr>
            <w:tcW w:w="79" w:type="pct"/>
          </w:tcPr>
          <w:p w14:paraId="3D8ACFBF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  <w:hideMark/>
          </w:tcPr>
          <w:p w14:paraId="11509BAB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Moderately familiar</w:t>
            </w:r>
          </w:p>
        </w:tc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5C70BB52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1421" w:type="pct"/>
            <w:shd w:val="clear" w:color="auto" w:fill="auto"/>
            <w:noWrap/>
            <w:vAlign w:val="bottom"/>
            <w:hideMark/>
          </w:tcPr>
          <w:p w14:paraId="6BCF2E93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16.6% (12%-22.1%)</w:t>
            </w:r>
          </w:p>
        </w:tc>
      </w:tr>
      <w:tr w:rsidR="008C261A" w:rsidRPr="0097433A" w14:paraId="47B35AD2" w14:textId="77777777" w:rsidTr="0083523E">
        <w:trPr>
          <w:trHeight w:val="290"/>
        </w:trPr>
        <w:tc>
          <w:tcPr>
            <w:tcW w:w="79" w:type="pct"/>
          </w:tcPr>
          <w:p w14:paraId="13E25394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603" w:type="pct"/>
            <w:shd w:val="clear" w:color="auto" w:fill="auto"/>
            <w:noWrap/>
            <w:vAlign w:val="bottom"/>
            <w:hideMark/>
          </w:tcPr>
          <w:p w14:paraId="6CAD1C3F" w14:textId="77777777" w:rsidR="008C261A" w:rsidRPr="0097433A" w:rsidRDefault="008C261A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Extremely familiar</w:t>
            </w:r>
          </w:p>
        </w:tc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482181AA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1421" w:type="pct"/>
            <w:shd w:val="clear" w:color="auto" w:fill="auto"/>
            <w:noWrap/>
            <w:vAlign w:val="bottom"/>
            <w:hideMark/>
          </w:tcPr>
          <w:p w14:paraId="48783C6F" w14:textId="77777777" w:rsidR="008C261A" w:rsidRPr="0097433A" w:rsidRDefault="008C261A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6.8% (4%-10.9%)</w:t>
            </w:r>
          </w:p>
        </w:tc>
      </w:tr>
    </w:tbl>
    <w:p w14:paraId="46B004BA" w14:textId="77777777" w:rsidR="008C261A" w:rsidRPr="0097433A" w:rsidRDefault="008C261A" w:rsidP="008C261A">
      <w:pPr>
        <w:rPr>
          <w:b/>
          <w:bCs/>
          <w:lang w:val="en-AU"/>
        </w:rPr>
      </w:pPr>
    </w:p>
    <w:p w14:paraId="69B236A0" w14:textId="77777777" w:rsidR="008C261A" w:rsidRPr="0097433A" w:rsidRDefault="008C261A" w:rsidP="008C261A">
      <w:pPr>
        <w:rPr>
          <w:rFonts w:ascii="Arial" w:hAnsi="Arial" w:cs="Arial"/>
          <w:sz w:val="20"/>
          <w:szCs w:val="20"/>
          <w:lang w:val="en-GB"/>
        </w:rPr>
      </w:pPr>
      <w:r w:rsidRPr="0097433A">
        <w:rPr>
          <w:rFonts w:ascii="Arial" w:hAnsi="Arial" w:cs="Arial"/>
          <w:sz w:val="20"/>
          <w:szCs w:val="20"/>
          <w:lang w:val="en-GB"/>
        </w:rPr>
        <w:br w:type="page"/>
      </w:r>
    </w:p>
    <w:p w14:paraId="36F2B4F6" w14:textId="77777777" w:rsidR="002A7893" w:rsidRDefault="002A7893"/>
    <w:sectPr w:rsidR="002A7893" w:rsidSect="008C26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1A"/>
    <w:rsid w:val="000D45AB"/>
    <w:rsid w:val="0026205D"/>
    <w:rsid w:val="002A7893"/>
    <w:rsid w:val="008C261A"/>
    <w:rsid w:val="00E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38370"/>
  <w15:chartTrackingRefBased/>
  <w15:docId w15:val="{448E9B2E-8C33-4F23-833C-9EE7AE70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Matt Fernandez</cp:lastModifiedBy>
  <cp:revision>4</cp:revision>
  <dcterms:created xsi:type="dcterms:W3CDTF">2023-04-12T00:41:00Z</dcterms:created>
  <dcterms:modified xsi:type="dcterms:W3CDTF">2023-04-26T05:02:00Z</dcterms:modified>
</cp:coreProperties>
</file>