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0D9C6" w14:textId="77777777" w:rsidR="00A95A7F" w:rsidRPr="00664424" w:rsidRDefault="00A95A7F" w:rsidP="00A95A7F">
      <w:pPr>
        <w:spacing w:line="480" w:lineRule="auto"/>
        <w:rPr>
          <w:rStyle w:val="Hyperlink"/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C645C5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Supplementary Material</w:t>
      </w:r>
    </w:p>
    <w:p w14:paraId="746F384C" w14:textId="77777777" w:rsidR="00A95A7F" w:rsidRPr="00B03787" w:rsidRDefault="00A95A7F" w:rsidP="00A95A7F">
      <w:pPr>
        <w:spacing w:line="276" w:lineRule="auto"/>
        <w:rPr>
          <w:b/>
          <w:sz w:val="24"/>
          <w:szCs w:val="24"/>
        </w:rPr>
      </w:pPr>
      <w:r w:rsidRPr="00B03787">
        <w:rPr>
          <w:b/>
          <w:noProof/>
          <w:sz w:val="24"/>
          <w:szCs w:val="24"/>
        </w:rPr>
        <w:drawing>
          <wp:inline distT="0" distB="0" distL="0" distR="0" wp14:anchorId="3C382AD2" wp14:editId="51CF994C">
            <wp:extent cx="5207905" cy="3801533"/>
            <wp:effectExtent l="0" t="0" r="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410" cy="381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FC4BA" w14:textId="77777777" w:rsidR="00A95A7F" w:rsidRPr="00664424" w:rsidRDefault="00A95A7F" w:rsidP="00A95A7F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644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6644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64424">
        <w:rPr>
          <w:rFonts w:ascii="Times New Roman" w:hAnsi="Times New Roman" w:cs="Times New Roman"/>
          <w:b/>
          <w:sz w:val="24"/>
          <w:szCs w:val="24"/>
        </w:rPr>
        <w:t>Fig. S1</w:t>
      </w:r>
      <w:r w:rsidRPr="00664424">
        <w:rPr>
          <w:rFonts w:ascii="Times New Roman" w:hAnsi="Times New Roman" w:cs="Times New Roman"/>
          <w:sz w:val="24"/>
          <w:szCs w:val="24"/>
        </w:rPr>
        <w:t xml:space="preserve"> Preparation of porous PLCL microspheres with different needle sizes (18G, 20G, 21G and 26G). A) Schematic diagram of microfluidic device. </w:t>
      </w:r>
      <w:r w:rsidRPr="00664424">
        <w:rPr>
          <w:rFonts w:ascii="Times New Roman" w:eastAsia="SimSun" w:hAnsi="Times New Roman" w:cs="Times New Roman"/>
          <w:sz w:val="24"/>
          <w:szCs w:val="24"/>
        </w:rPr>
        <w:t>B) Stereomicroscope and SEM characterization of porous PLCL microspheres. Red box: enlarged partial view; P: pore structure; Scale bars: 250 µm, local magnification bars: 20 µm. C, D) Statistical results of the diameter and pore size of microspheres.</w:t>
      </w:r>
    </w:p>
    <w:p w14:paraId="62BAFCFE" w14:textId="77777777" w:rsidR="00A95A7F" w:rsidRPr="006C1558" w:rsidRDefault="00A95A7F" w:rsidP="00A95A7F">
      <w:pPr>
        <w:rPr>
          <w:b/>
          <w:color w:val="000000" w:themeColor="text1"/>
        </w:rPr>
      </w:pPr>
      <w:r w:rsidRPr="006C1558">
        <w:rPr>
          <w:b/>
          <w:color w:val="000000" w:themeColor="text1"/>
        </w:rPr>
        <w:br w:type="page"/>
      </w:r>
    </w:p>
    <w:p w14:paraId="3A888BEB" w14:textId="77777777" w:rsidR="00A95A7F" w:rsidRPr="00B03787" w:rsidRDefault="00A95A7F" w:rsidP="00A95A7F">
      <w:pPr>
        <w:spacing w:line="276" w:lineRule="auto"/>
        <w:rPr>
          <w:rFonts w:eastAsia="SimSun"/>
          <w:sz w:val="24"/>
          <w:szCs w:val="24"/>
        </w:rPr>
      </w:pPr>
      <w:r w:rsidRPr="00B03787">
        <w:rPr>
          <w:rFonts w:eastAsia="SimSun"/>
          <w:noProof/>
          <w:sz w:val="24"/>
          <w:szCs w:val="24"/>
        </w:rPr>
        <w:lastRenderedPageBreak/>
        <w:drawing>
          <wp:inline distT="0" distB="0" distL="0" distR="0" wp14:anchorId="2438DEBD" wp14:editId="34C5C23E">
            <wp:extent cx="5350933" cy="34002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737" cy="341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8293" w14:textId="77777777" w:rsidR="00A95A7F" w:rsidRPr="00664424" w:rsidRDefault="00A95A7F" w:rsidP="00A95A7F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644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6644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64424">
        <w:rPr>
          <w:rFonts w:ascii="Times New Roman" w:hAnsi="Times New Roman" w:cs="Times New Roman"/>
          <w:b/>
          <w:sz w:val="24"/>
          <w:szCs w:val="24"/>
        </w:rPr>
        <w:t>Fig. S2</w:t>
      </w:r>
      <w:r w:rsidRPr="00664424">
        <w:rPr>
          <w:rFonts w:ascii="Times New Roman" w:hAnsi="Times New Roman" w:cs="Times New Roman"/>
          <w:sz w:val="24"/>
          <w:szCs w:val="24"/>
        </w:rPr>
        <w:t xml:space="preserve"> Preparation of </w:t>
      </w:r>
      <w:r w:rsidRPr="00664424">
        <w:rPr>
          <w:rFonts w:ascii="Times New Roman" w:eastAsia="DengXian" w:hAnsi="Times New Roman" w:cs="Times New Roman"/>
          <w:sz w:val="24"/>
          <w:szCs w:val="24"/>
        </w:rPr>
        <w:t xml:space="preserve">porous </w:t>
      </w:r>
      <w:r w:rsidRPr="00664424">
        <w:rPr>
          <w:rFonts w:ascii="Times New Roman" w:hAnsi="Times New Roman" w:cs="Times New Roman"/>
          <w:sz w:val="24"/>
          <w:szCs w:val="24"/>
        </w:rPr>
        <w:t xml:space="preserve">PLCL microspheres with different gelatin concentrations (2.5%, 5.0%, 7.5% and 10.0%). </w:t>
      </w:r>
      <w:r w:rsidRPr="00664424">
        <w:rPr>
          <w:rFonts w:ascii="Times New Roman" w:eastAsia="SimSun" w:hAnsi="Times New Roman" w:cs="Times New Roman"/>
          <w:sz w:val="24"/>
          <w:szCs w:val="24"/>
        </w:rPr>
        <w:t>A) Stereomicroscopy and SEM characterization. The schematic shows the pore distribution. Red box: enlarged partial view; P: pore structure; B: bridge. Scale bars: 250 µm, local magnification bars: 20 µm. B, C) Statistical results of the diameter and pore size of microspheres.</w:t>
      </w:r>
    </w:p>
    <w:p w14:paraId="14DA10D4" w14:textId="77777777" w:rsidR="00A95A7F" w:rsidRPr="006C1558" w:rsidRDefault="00A95A7F" w:rsidP="00A95A7F">
      <w:pPr>
        <w:rPr>
          <w:b/>
          <w:color w:val="000000" w:themeColor="text1"/>
        </w:rPr>
      </w:pPr>
      <w:r w:rsidRPr="006C1558">
        <w:rPr>
          <w:b/>
          <w:color w:val="000000" w:themeColor="text1"/>
        </w:rPr>
        <w:br w:type="page"/>
      </w:r>
    </w:p>
    <w:p w14:paraId="0CC45D2D" w14:textId="77777777" w:rsidR="00A95A7F" w:rsidRPr="00B03787" w:rsidRDefault="00A95A7F" w:rsidP="00A95A7F">
      <w:pPr>
        <w:spacing w:line="276" w:lineRule="auto"/>
        <w:rPr>
          <w:rFonts w:eastAsia="SimSun"/>
          <w:sz w:val="24"/>
          <w:szCs w:val="24"/>
        </w:rPr>
      </w:pPr>
      <w:r>
        <w:rPr>
          <w:rFonts w:eastAsia="SimSun"/>
          <w:noProof/>
          <w:sz w:val="24"/>
          <w:szCs w:val="24"/>
        </w:rPr>
        <w:lastRenderedPageBreak/>
        <w:drawing>
          <wp:inline distT="0" distB="0" distL="0" distR="0" wp14:anchorId="21B9863D" wp14:editId="655F9119">
            <wp:extent cx="5086350" cy="3843850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595" cy="384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737C0" w14:textId="77777777" w:rsidR="00A95A7F" w:rsidRPr="00664424" w:rsidRDefault="00A95A7F" w:rsidP="00A95A7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644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6644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64424">
        <w:rPr>
          <w:rFonts w:ascii="Times New Roman" w:hAnsi="Times New Roman" w:cs="Times New Roman"/>
          <w:b/>
          <w:sz w:val="24"/>
          <w:szCs w:val="24"/>
        </w:rPr>
        <w:t xml:space="preserve">Fig. S3 </w:t>
      </w:r>
      <w:r w:rsidRPr="00664424">
        <w:rPr>
          <w:rFonts w:ascii="Times New Roman" w:eastAsia="SimSun" w:hAnsi="Times New Roman" w:cs="Times New Roman"/>
          <w:sz w:val="24"/>
          <w:szCs w:val="24"/>
        </w:rPr>
        <w:t>Physical properties characterization of porous PLCL, PLGA and PCL microspheres</w:t>
      </w:r>
      <w:r w:rsidRPr="00664424">
        <w:rPr>
          <w:rFonts w:ascii="Times New Roman" w:hAnsi="Times New Roman" w:cs="Times New Roman"/>
          <w:bCs/>
          <w:sz w:val="24"/>
          <w:szCs w:val="24"/>
        </w:rPr>
        <w:t xml:space="preserve">. A) </w:t>
      </w:r>
      <w:r w:rsidRPr="00664424">
        <w:rPr>
          <w:rFonts w:ascii="Times New Roman" w:eastAsia="SimSun" w:hAnsi="Times New Roman" w:cs="Times New Roman"/>
          <w:sz w:val="24"/>
          <w:szCs w:val="24"/>
        </w:rPr>
        <w:t>The morphology of different microspheres after press</w:t>
      </w:r>
      <w:r w:rsidRPr="006644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424">
        <w:rPr>
          <w:rFonts w:ascii="Times New Roman" w:eastAsia="DengXian" w:hAnsi="Times New Roman" w:cs="Times New Roman"/>
          <w:bCs/>
          <w:sz w:val="24"/>
          <w:szCs w:val="24"/>
        </w:rPr>
        <w:t xml:space="preserve">a </w:t>
      </w:r>
      <w:r w:rsidRPr="00664424">
        <w:rPr>
          <w:rFonts w:ascii="Times New Roman" w:hAnsi="Times New Roman" w:cs="Times New Roman"/>
          <w:bCs/>
          <w:sz w:val="24"/>
          <w:szCs w:val="24"/>
        </w:rPr>
        <w:t>single press for 30 s and 2 min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64424">
        <w:rPr>
          <w:rFonts w:ascii="Times New Roman" w:hAnsi="Times New Roman" w:cs="Times New Roman"/>
          <w:bCs/>
          <w:sz w:val="24"/>
          <w:szCs w:val="24"/>
        </w:rPr>
        <w:t xml:space="preserve">. The schematic </w:t>
      </w:r>
      <w:r w:rsidRPr="00664424">
        <w:rPr>
          <w:rFonts w:ascii="Times New Roman" w:eastAsia="DengXian" w:hAnsi="Times New Roman" w:cs="Times New Roman"/>
          <w:bCs/>
          <w:sz w:val="24"/>
          <w:szCs w:val="24"/>
        </w:rPr>
        <w:t>shows</w:t>
      </w:r>
      <w:r w:rsidRPr="00664424">
        <w:rPr>
          <w:rFonts w:ascii="Times New Roman" w:hAnsi="Times New Roman" w:cs="Times New Roman"/>
          <w:bCs/>
          <w:sz w:val="24"/>
          <w:szCs w:val="24"/>
        </w:rPr>
        <w:t xml:space="preserve"> the morphological recovery of different polymeric microspheres.</w:t>
      </w:r>
    </w:p>
    <w:p w14:paraId="3562A7A1" w14:textId="77777777" w:rsidR="00A95A7F" w:rsidRPr="006C1558" w:rsidRDefault="00A95A7F" w:rsidP="00A95A7F">
      <w:pPr>
        <w:rPr>
          <w:b/>
          <w:color w:val="000000" w:themeColor="text1"/>
        </w:rPr>
      </w:pPr>
      <w:r w:rsidRPr="006C1558">
        <w:rPr>
          <w:b/>
          <w:color w:val="000000" w:themeColor="text1"/>
        </w:rPr>
        <w:br w:type="page"/>
      </w:r>
    </w:p>
    <w:p w14:paraId="24C58E07" w14:textId="77777777" w:rsidR="00A95A7F" w:rsidRPr="00B03787" w:rsidRDefault="00A95A7F" w:rsidP="00A95A7F">
      <w:pPr>
        <w:spacing w:line="276" w:lineRule="auto"/>
        <w:ind w:firstLineChars="250" w:firstLine="600"/>
        <w:rPr>
          <w:bCs/>
          <w:sz w:val="24"/>
          <w:szCs w:val="24"/>
        </w:rPr>
      </w:pPr>
      <w:r w:rsidRPr="00B03787">
        <w:rPr>
          <w:bCs/>
          <w:noProof/>
          <w:sz w:val="24"/>
          <w:szCs w:val="24"/>
        </w:rPr>
        <w:lastRenderedPageBreak/>
        <w:drawing>
          <wp:inline distT="0" distB="0" distL="0" distR="0" wp14:anchorId="1E4E5C1A" wp14:editId="3F301A20">
            <wp:extent cx="4191000" cy="2452234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942" cy="24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66168" w14:textId="77777777" w:rsidR="00A95A7F" w:rsidRPr="00664424" w:rsidRDefault="00A95A7F" w:rsidP="00A95A7F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644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6644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64424">
        <w:rPr>
          <w:rFonts w:ascii="Times New Roman" w:hAnsi="Times New Roman" w:cs="Times New Roman"/>
          <w:b/>
          <w:sz w:val="24"/>
          <w:szCs w:val="24"/>
        </w:rPr>
        <w:t xml:space="preserve">Fig. S4 </w:t>
      </w:r>
      <w:r w:rsidRPr="00664424">
        <w:rPr>
          <w:rFonts w:ascii="Times New Roman" w:hAnsi="Times New Roman" w:cs="Times New Roman"/>
          <w:bCs/>
          <w:sz w:val="24"/>
          <w:szCs w:val="24"/>
        </w:rPr>
        <w:t>Characteristics of muscle ECM hydrogels with different concentrations (1% and 2%)</w:t>
      </w:r>
      <w:r w:rsidRPr="00664424">
        <w:rPr>
          <w:rFonts w:ascii="Times New Roman" w:eastAsia="SimSun" w:hAnsi="Times New Roman" w:cs="Times New Roman"/>
          <w:sz w:val="24"/>
          <w:szCs w:val="24"/>
        </w:rPr>
        <w:t>. A, B) One percent muscle ECM was not able to form a hydrogel, and the 2% muscle ECM hydrogel was unstable and could not be clamped.</w:t>
      </w:r>
    </w:p>
    <w:p w14:paraId="2633BBD5" w14:textId="77777777" w:rsidR="00A95A7F" w:rsidRPr="00914028" w:rsidRDefault="00A95A7F" w:rsidP="00A95A7F">
      <w:pPr>
        <w:rPr>
          <w:rFonts w:eastAsia="STKaiti"/>
          <w:bCs/>
          <w:color w:val="000000" w:themeColor="text1"/>
          <w:sz w:val="24"/>
          <w:szCs w:val="24"/>
        </w:rPr>
      </w:pPr>
      <w:r w:rsidRPr="006C1558">
        <w:rPr>
          <w:rFonts w:eastAsia="STKaiti"/>
          <w:bCs/>
          <w:color w:val="000000" w:themeColor="text1"/>
          <w:sz w:val="24"/>
          <w:szCs w:val="24"/>
        </w:rPr>
        <w:br w:type="page"/>
      </w:r>
      <w:r>
        <w:rPr>
          <w:rFonts w:eastAsia="SimSun"/>
          <w:noProof/>
          <w:sz w:val="24"/>
          <w:szCs w:val="24"/>
        </w:rPr>
        <w:lastRenderedPageBreak/>
        <w:drawing>
          <wp:inline distT="0" distB="0" distL="0" distR="0" wp14:anchorId="33671ECF" wp14:editId="1615B53B">
            <wp:extent cx="5370608" cy="206586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654" cy="206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A72F" w14:textId="77777777" w:rsidR="00A95A7F" w:rsidRPr="00664424" w:rsidRDefault="00A95A7F" w:rsidP="00A95A7F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644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6644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64424">
        <w:rPr>
          <w:rFonts w:ascii="Times New Roman" w:hAnsi="Times New Roman" w:cs="Times New Roman"/>
          <w:b/>
          <w:sz w:val="24"/>
          <w:szCs w:val="24"/>
        </w:rPr>
        <w:t xml:space="preserve">Fig. S5 </w:t>
      </w:r>
      <w:r w:rsidRPr="00664424">
        <w:rPr>
          <w:rFonts w:ascii="Times New Roman" w:eastAsia="SimSun" w:hAnsi="Times New Roman" w:cs="Times New Roman"/>
          <w:sz w:val="24"/>
          <w:szCs w:val="24"/>
        </w:rPr>
        <w:t>A) Flow cytometric results of primary macrophages treated with different composites for 1 day, mainly observing the expression of CD206</w:t>
      </w:r>
      <w:r w:rsidRPr="00664424">
        <w:rPr>
          <w:rFonts w:ascii="Times New Roman" w:eastAsia="SimSun" w:hAnsi="Times New Roman" w:cs="Times New Roman"/>
          <w:sz w:val="24"/>
          <w:szCs w:val="24"/>
          <w:vertAlign w:val="superscript"/>
        </w:rPr>
        <w:t>+</w:t>
      </w:r>
      <w:r w:rsidRPr="00664424">
        <w:rPr>
          <w:rFonts w:ascii="Times New Roman" w:eastAsia="SimSun" w:hAnsi="Times New Roman" w:cs="Times New Roman"/>
          <w:sz w:val="24"/>
          <w:szCs w:val="24"/>
        </w:rPr>
        <w:t xml:space="preserve"> gated cells. B-C) Histogram of CD206 expression after 1 day of treatment and statistical graph of the proportion of CD206</w:t>
      </w:r>
      <w:r w:rsidRPr="00664424">
        <w:rPr>
          <w:rFonts w:ascii="Times New Roman" w:eastAsia="SimSun" w:hAnsi="Times New Roman" w:cs="Times New Roman"/>
          <w:sz w:val="24"/>
          <w:szCs w:val="24"/>
          <w:vertAlign w:val="superscript"/>
        </w:rPr>
        <w:t>+</w:t>
      </w:r>
      <w:r w:rsidRPr="00664424">
        <w:rPr>
          <w:rFonts w:ascii="Times New Roman" w:eastAsia="SimSun" w:hAnsi="Times New Roman" w:cs="Times New Roman"/>
          <w:sz w:val="24"/>
          <w:szCs w:val="24"/>
        </w:rPr>
        <w:t xml:space="preserve"> positive cells.</w:t>
      </w:r>
    </w:p>
    <w:p w14:paraId="524F7084" w14:textId="77777777" w:rsidR="00A95A7F" w:rsidRPr="006C1558" w:rsidRDefault="00A95A7F" w:rsidP="00A95A7F">
      <w:pPr>
        <w:rPr>
          <w:rFonts w:eastAsia="STKaiti"/>
          <w:bCs/>
          <w:color w:val="000000" w:themeColor="text1"/>
          <w:sz w:val="24"/>
          <w:szCs w:val="24"/>
        </w:rPr>
      </w:pPr>
      <w:r w:rsidRPr="006C1558">
        <w:rPr>
          <w:rFonts w:eastAsia="STKaiti"/>
          <w:bCs/>
          <w:color w:val="000000" w:themeColor="text1"/>
          <w:sz w:val="24"/>
          <w:szCs w:val="24"/>
        </w:rPr>
        <w:br w:type="page"/>
      </w:r>
    </w:p>
    <w:p w14:paraId="4C9C6BDE" w14:textId="77777777" w:rsidR="00A95A7F" w:rsidRPr="006C1558" w:rsidRDefault="00A95A7F" w:rsidP="00A95A7F">
      <w:pPr>
        <w:pStyle w:val="AbstractSummary"/>
        <w:shd w:val="clear" w:color="auto" w:fill="FFFFFF"/>
        <w:spacing w:beforeLines="50" w:before="156" w:line="360" w:lineRule="auto"/>
        <w:jc w:val="center"/>
        <w:rPr>
          <w:rFonts w:eastAsia="STKaiti"/>
          <w:bCs/>
          <w:color w:val="000000" w:themeColor="text1"/>
          <w:lang w:eastAsia="zh-CN"/>
        </w:rPr>
      </w:pPr>
      <w:r>
        <w:rPr>
          <w:rFonts w:eastAsia="STKaiti"/>
          <w:bCs/>
          <w:noProof/>
          <w:color w:val="000000" w:themeColor="text1"/>
          <w:lang w:eastAsia="zh-CN"/>
        </w:rPr>
        <w:lastRenderedPageBreak/>
        <w:drawing>
          <wp:inline distT="0" distB="0" distL="0" distR="0" wp14:anchorId="59D65D97" wp14:editId="0FD15CCC">
            <wp:extent cx="5486400" cy="369506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2FD6A" w14:textId="77777777" w:rsidR="00A95A7F" w:rsidRPr="00664424" w:rsidRDefault="00A95A7F" w:rsidP="00A95A7F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6644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6644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64424">
        <w:rPr>
          <w:rFonts w:ascii="Times New Roman" w:hAnsi="Times New Roman" w:cs="Times New Roman"/>
          <w:b/>
          <w:sz w:val="24"/>
          <w:szCs w:val="24"/>
        </w:rPr>
        <w:t xml:space="preserve">Fig. S6 </w:t>
      </w:r>
      <w:r w:rsidRPr="00664424">
        <w:rPr>
          <w:rFonts w:ascii="Times New Roman" w:eastAsia="SimSun" w:hAnsi="Times New Roman" w:cs="Times New Roman"/>
          <w:sz w:val="24"/>
          <w:szCs w:val="24"/>
        </w:rPr>
        <w:t>Luminex detected the secretion of inflammation-related factors after treatment of primary macrophages with different composites for 1 day (n=3 per group).</w:t>
      </w:r>
    </w:p>
    <w:p w14:paraId="4A209636" w14:textId="77777777" w:rsidR="00A95A7F" w:rsidRPr="006C1558" w:rsidRDefault="00A95A7F" w:rsidP="00A95A7F">
      <w:pPr>
        <w:rPr>
          <w:b/>
          <w:color w:val="000000" w:themeColor="text1"/>
        </w:rPr>
      </w:pPr>
      <w:r w:rsidRPr="006C1558">
        <w:rPr>
          <w:b/>
          <w:color w:val="000000" w:themeColor="text1"/>
        </w:rPr>
        <w:br w:type="page"/>
      </w:r>
    </w:p>
    <w:p w14:paraId="5F2F7320" w14:textId="77777777" w:rsidR="00A95A7F" w:rsidRPr="00B03787" w:rsidRDefault="00A95A7F" w:rsidP="00A95A7F">
      <w:pPr>
        <w:spacing w:line="276" w:lineRule="auto"/>
        <w:rPr>
          <w:rFonts w:eastAsia="SimSun"/>
          <w:sz w:val="24"/>
          <w:szCs w:val="24"/>
        </w:rPr>
      </w:pPr>
      <w:r w:rsidRPr="00B03787">
        <w:rPr>
          <w:rFonts w:eastAsia="SimSun"/>
          <w:noProof/>
          <w:sz w:val="24"/>
          <w:szCs w:val="24"/>
        </w:rPr>
        <w:lastRenderedPageBreak/>
        <w:drawing>
          <wp:inline distT="0" distB="0" distL="0" distR="0" wp14:anchorId="6DE1CA02" wp14:editId="0A0FAF02">
            <wp:extent cx="5467045" cy="2167467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790" cy="217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86D7" w14:textId="77777777" w:rsidR="00A95A7F" w:rsidRPr="00664424" w:rsidRDefault="00A95A7F" w:rsidP="00A95A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44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r w:rsidRPr="006644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64424">
        <w:rPr>
          <w:rFonts w:ascii="Times New Roman" w:hAnsi="Times New Roman" w:cs="Times New Roman"/>
          <w:b/>
          <w:sz w:val="24"/>
          <w:szCs w:val="24"/>
        </w:rPr>
        <w:t xml:space="preserve">Fig. S7 </w:t>
      </w:r>
      <w:r w:rsidRPr="00664424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Pr="00664424">
        <w:rPr>
          <w:rFonts w:ascii="Times New Roman" w:eastAsia="SimSun" w:hAnsi="Times New Roman" w:cs="Times New Roman"/>
          <w:bCs/>
          <w:sz w:val="24"/>
          <w:szCs w:val="24"/>
        </w:rPr>
        <w:t>Hemocompatibility analysis of different materials. B) The statistical results of the hemolysis rate (n=3 per group).</w:t>
      </w:r>
    </w:p>
    <w:p w14:paraId="2421B562" w14:textId="77777777" w:rsidR="00A95A7F" w:rsidRPr="00664424" w:rsidRDefault="00A95A7F" w:rsidP="00A95A7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7B8B9073" w14:textId="77777777" w:rsidR="00755780" w:rsidRDefault="00755780"/>
    <w:sectPr w:rsidR="00755780" w:rsidSect="00416F95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Kaiti">
    <w:altName w:val="华文楷体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8988371"/>
      <w:docPartObj>
        <w:docPartGallery w:val="Page Numbers (Bottom of Page)"/>
        <w:docPartUnique/>
      </w:docPartObj>
    </w:sdtPr>
    <w:sdtEndPr/>
    <w:sdtContent>
      <w:p w14:paraId="16B99202" w14:textId="77777777" w:rsidR="008A42B9" w:rsidRDefault="00A95A7F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D1DF9">
          <w:rPr>
            <w:noProof/>
            <w:lang w:val="zh-CN"/>
          </w:rPr>
          <w:t>30</w:t>
        </w:r>
        <w:r>
          <w:fldChar w:fldCharType="end"/>
        </w:r>
      </w:p>
    </w:sdtContent>
  </w:sdt>
  <w:p w14:paraId="682305A1" w14:textId="77777777" w:rsidR="008A42B9" w:rsidRDefault="00A95A7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7F"/>
    <w:rsid w:val="00755780"/>
    <w:rsid w:val="00A9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5FA7A"/>
  <w15:chartTrackingRefBased/>
  <w15:docId w15:val="{4A29FF0D-7EDA-4D54-B895-4E2A56C6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A7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A95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95A7F"/>
    <w:rPr>
      <w:rFonts w:eastAsiaTheme="minorEastAsia"/>
      <w:kern w:val="2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qFormat/>
    <w:rsid w:val="00A95A7F"/>
    <w:rPr>
      <w:color w:val="0563C1" w:themeColor="hyperlink"/>
      <w:u w:val="single"/>
    </w:rPr>
  </w:style>
  <w:style w:type="paragraph" w:customStyle="1" w:styleId="AbstractSummary">
    <w:name w:val="Abstract/Summary"/>
    <w:basedOn w:val="Normal"/>
    <w:qFormat/>
    <w:rsid w:val="00A95A7F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298</Words>
  <Characters>1702</Characters>
  <Application>Microsoft Office Word</Application>
  <DocSecurity>0</DocSecurity>
  <Lines>14</Lines>
  <Paragraphs>3</Paragraphs>
  <ScaleCrop>false</ScaleCrop>
  <Company>Springer Nature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2023-05-04T08:07:00Z</dcterms:created>
  <dcterms:modified xsi:type="dcterms:W3CDTF">2023-05-04T08:07:00Z</dcterms:modified>
</cp:coreProperties>
</file>