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4E311" w14:textId="77777777" w:rsidR="00114BF9" w:rsidRDefault="00114BF9" w:rsidP="00114BF9">
      <w:pPr>
        <w:spacing w:after="0"/>
      </w:pPr>
      <w:r>
        <w:t>Supplemental</w:t>
      </w:r>
      <w:r w:rsidR="009D2494">
        <w:t xml:space="preserve"> Information</w:t>
      </w:r>
    </w:p>
    <w:p w14:paraId="4747CA48" w14:textId="77777777" w:rsidR="009D2494" w:rsidRDefault="009D2494" w:rsidP="00114BF9">
      <w:pPr>
        <w:spacing w:after="0"/>
      </w:pPr>
    </w:p>
    <w:p w14:paraId="24A5A05A" w14:textId="5B0A5AED" w:rsidR="009D2494" w:rsidRDefault="00A85676" w:rsidP="00114BF9">
      <w:pPr>
        <w:spacing w:after="0"/>
      </w:pPr>
      <w:bookmarkStart w:id="0" w:name="_Hlk44313144"/>
      <w:r>
        <w:rPr>
          <w:rFonts w:ascii="Arial" w:hAnsi="Arial" w:cs="Arial"/>
          <w:szCs w:val="24"/>
        </w:rPr>
        <w:t xml:space="preserve">Industrial Sources and </w:t>
      </w:r>
      <w:r w:rsidR="00F42007">
        <w:rPr>
          <w:rFonts w:ascii="Arial" w:hAnsi="Arial" w:cs="Arial"/>
          <w:szCs w:val="24"/>
        </w:rPr>
        <w:t>E</w:t>
      </w:r>
      <w:r>
        <w:rPr>
          <w:rFonts w:ascii="Arial" w:hAnsi="Arial" w:cs="Arial"/>
          <w:szCs w:val="24"/>
        </w:rPr>
        <w:t xml:space="preserve">nvironmental </w:t>
      </w:r>
      <w:r w:rsidR="00F42007">
        <w:rPr>
          <w:rFonts w:ascii="Arial" w:hAnsi="Arial" w:cs="Arial"/>
          <w:szCs w:val="24"/>
        </w:rPr>
        <w:t>C</w:t>
      </w:r>
      <w:r>
        <w:rPr>
          <w:rFonts w:ascii="Arial" w:hAnsi="Arial" w:cs="Arial"/>
          <w:szCs w:val="24"/>
        </w:rPr>
        <w:t xml:space="preserve">ycling of </w:t>
      </w:r>
      <w:r w:rsidRPr="0093585C">
        <w:t xml:space="preserve">Per- and Polyfluoroalkyl Substances </w:t>
      </w:r>
      <w:r>
        <w:t>(PFAS) to a Wastewater Treatment Plant in Ontario, Canada</w:t>
      </w:r>
      <w:bookmarkEnd w:id="0"/>
      <w:r w:rsidDel="00A85676">
        <w:rPr>
          <w:rFonts w:ascii="Arial" w:hAnsi="Arial" w:cs="Arial"/>
          <w:szCs w:val="24"/>
        </w:rPr>
        <w:t xml:space="preserve"> </w:t>
      </w:r>
    </w:p>
    <w:p w14:paraId="010559FE" w14:textId="77777777" w:rsidR="009D2494" w:rsidRPr="000F0E7F" w:rsidRDefault="009D2494" w:rsidP="009D2494">
      <w:pPr>
        <w:rPr>
          <w:rFonts w:asciiTheme="majorHAnsi" w:hAnsiTheme="majorHAnsi" w:cstheme="majorHAnsi"/>
        </w:rPr>
      </w:pPr>
      <w:r w:rsidRPr="000F0E7F">
        <w:rPr>
          <w:rFonts w:asciiTheme="majorHAnsi" w:hAnsiTheme="majorHAnsi" w:cstheme="majorHAnsi"/>
        </w:rPr>
        <w:t>*Corresponding author</w:t>
      </w:r>
    </w:p>
    <w:p w14:paraId="66D30004" w14:textId="536B2DEE" w:rsidR="00624818" w:rsidRDefault="00624818" w:rsidP="009D2494">
      <w:pPr>
        <w:spacing w:after="0" w:line="240" w:lineRule="auto"/>
        <w:rPr>
          <w:rFonts w:asciiTheme="majorHAnsi" w:hAnsiTheme="majorHAnsi" w:cstheme="majorHAnsi"/>
        </w:rPr>
      </w:pPr>
      <w:r>
        <w:rPr>
          <w:rFonts w:asciiTheme="majorHAnsi" w:hAnsiTheme="majorHAnsi" w:cstheme="majorHAnsi"/>
        </w:rPr>
        <w:t>Mark Payne</w:t>
      </w:r>
    </w:p>
    <w:p w14:paraId="51CDD56F" w14:textId="561059EE" w:rsidR="00624818" w:rsidRDefault="00624818" w:rsidP="009D2494">
      <w:pPr>
        <w:spacing w:after="0" w:line="240" w:lineRule="auto"/>
        <w:rPr>
          <w:rFonts w:asciiTheme="majorHAnsi" w:hAnsiTheme="majorHAnsi" w:cstheme="majorHAnsi"/>
        </w:rPr>
      </w:pPr>
      <w:r>
        <w:rPr>
          <w:rFonts w:asciiTheme="majorHAnsi" w:hAnsiTheme="majorHAnsi" w:cstheme="majorHAnsi"/>
        </w:rPr>
        <w:t>Environmental Monitoring and Enforcement</w:t>
      </w:r>
    </w:p>
    <w:p w14:paraId="4C56F147" w14:textId="0E52148A" w:rsidR="00624818" w:rsidRDefault="001159BF" w:rsidP="009D2494">
      <w:pPr>
        <w:spacing w:after="0" w:line="240" w:lineRule="auto"/>
        <w:rPr>
          <w:rFonts w:asciiTheme="majorHAnsi" w:hAnsiTheme="majorHAnsi" w:cstheme="majorHAnsi"/>
        </w:rPr>
      </w:pPr>
      <w:r>
        <w:rPr>
          <w:rFonts w:asciiTheme="majorHAnsi" w:hAnsiTheme="majorHAnsi" w:cstheme="majorHAnsi"/>
        </w:rPr>
        <w:t>The Regional Municipality of York</w:t>
      </w:r>
    </w:p>
    <w:p w14:paraId="20480A2F" w14:textId="4965F069" w:rsidR="00624818" w:rsidRDefault="00624818" w:rsidP="009D2494">
      <w:pPr>
        <w:spacing w:after="0" w:line="240" w:lineRule="auto"/>
        <w:rPr>
          <w:rFonts w:asciiTheme="majorHAnsi" w:hAnsiTheme="majorHAnsi" w:cstheme="majorHAnsi"/>
        </w:rPr>
      </w:pPr>
      <w:r>
        <w:rPr>
          <w:rFonts w:asciiTheme="majorHAnsi" w:hAnsiTheme="majorHAnsi" w:cstheme="majorHAnsi"/>
        </w:rPr>
        <w:t>17250 Yonge St</w:t>
      </w:r>
    </w:p>
    <w:p w14:paraId="66C4C2AF" w14:textId="419692D4" w:rsidR="00624818" w:rsidRDefault="00624818" w:rsidP="009D2494">
      <w:pPr>
        <w:spacing w:after="0" w:line="240" w:lineRule="auto"/>
        <w:rPr>
          <w:rFonts w:asciiTheme="majorHAnsi" w:hAnsiTheme="majorHAnsi" w:cstheme="majorHAnsi"/>
        </w:rPr>
      </w:pPr>
      <w:r>
        <w:rPr>
          <w:rFonts w:asciiTheme="majorHAnsi" w:hAnsiTheme="majorHAnsi" w:cstheme="majorHAnsi"/>
        </w:rPr>
        <w:t>Newmarket, ON, L3Y 6Z1</w:t>
      </w:r>
    </w:p>
    <w:p w14:paraId="488BB511" w14:textId="77777777" w:rsidR="00624818" w:rsidRDefault="00624818" w:rsidP="009D2494">
      <w:pPr>
        <w:spacing w:after="0" w:line="240" w:lineRule="auto"/>
        <w:rPr>
          <w:rFonts w:asciiTheme="majorHAnsi" w:hAnsiTheme="majorHAnsi" w:cstheme="majorHAnsi"/>
        </w:rPr>
      </w:pPr>
    </w:p>
    <w:p w14:paraId="14438967" w14:textId="681781A5" w:rsidR="009D2494" w:rsidRPr="000F0E7F" w:rsidRDefault="009D2494" w:rsidP="009D2494">
      <w:pPr>
        <w:spacing w:after="0" w:line="240" w:lineRule="auto"/>
        <w:rPr>
          <w:rFonts w:asciiTheme="majorHAnsi" w:hAnsiTheme="majorHAnsi" w:cstheme="majorHAnsi"/>
        </w:rPr>
      </w:pPr>
      <w:r w:rsidRPr="000F0E7F">
        <w:rPr>
          <w:rFonts w:asciiTheme="majorHAnsi" w:hAnsiTheme="majorHAnsi" w:cstheme="majorHAnsi"/>
        </w:rPr>
        <w:t xml:space="preserve">Phone: </w:t>
      </w:r>
      <w:r w:rsidR="00624818">
        <w:rPr>
          <w:rFonts w:asciiTheme="majorHAnsi" w:hAnsiTheme="majorHAnsi" w:cstheme="majorHAnsi"/>
        </w:rPr>
        <w:t>1 877 464 9675 x75194</w:t>
      </w:r>
    </w:p>
    <w:p w14:paraId="1D151413" w14:textId="1E676E95" w:rsidR="009D2494" w:rsidRDefault="009D2494" w:rsidP="009D2494">
      <w:pPr>
        <w:spacing w:after="0"/>
      </w:pPr>
      <w:r w:rsidRPr="000F0E7F">
        <w:rPr>
          <w:rFonts w:asciiTheme="majorHAnsi" w:hAnsiTheme="majorHAnsi" w:cstheme="majorHAnsi"/>
        </w:rPr>
        <w:t xml:space="preserve">Email: </w:t>
      </w:r>
      <w:r w:rsidR="00624818">
        <w:rPr>
          <w:rFonts w:asciiTheme="majorHAnsi" w:hAnsiTheme="majorHAnsi" w:cstheme="majorHAnsi"/>
        </w:rPr>
        <w:t>mark.payne@york.ca</w:t>
      </w:r>
    </w:p>
    <w:p w14:paraId="4CAFD612" w14:textId="77777777" w:rsidR="009D2494" w:rsidRDefault="009D2494" w:rsidP="00114BF9">
      <w:pPr>
        <w:spacing w:after="0"/>
      </w:pPr>
    </w:p>
    <w:p w14:paraId="10B46116" w14:textId="77777777" w:rsidR="009D2494" w:rsidRDefault="009D2494" w:rsidP="00114BF9">
      <w:pPr>
        <w:spacing w:after="0"/>
      </w:pPr>
    </w:p>
    <w:p w14:paraId="72FD35B9" w14:textId="77777777" w:rsidR="009D2494" w:rsidRDefault="009D2494" w:rsidP="00114BF9">
      <w:pPr>
        <w:spacing w:after="0"/>
      </w:pPr>
    </w:p>
    <w:p w14:paraId="7702E4E7" w14:textId="77777777" w:rsidR="009D2494" w:rsidRDefault="009D2494" w:rsidP="00114BF9">
      <w:pPr>
        <w:spacing w:after="0"/>
      </w:pPr>
    </w:p>
    <w:p w14:paraId="451464EF" w14:textId="77777777" w:rsidR="009D2494" w:rsidRDefault="009D2494" w:rsidP="00114BF9">
      <w:pPr>
        <w:spacing w:after="0"/>
      </w:pPr>
    </w:p>
    <w:p w14:paraId="3A70F7C5" w14:textId="77777777" w:rsidR="009D2494" w:rsidRDefault="009D2494">
      <w:pPr>
        <w:rPr>
          <w:b/>
        </w:rPr>
      </w:pPr>
      <w:r>
        <w:rPr>
          <w:b/>
        </w:rPr>
        <w:br w:type="page"/>
      </w:r>
    </w:p>
    <w:p w14:paraId="1ADE1D55" w14:textId="77777777" w:rsidR="00114BF9" w:rsidRDefault="00114BF9" w:rsidP="00114BF9">
      <w:pPr>
        <w:spacing w:after="0"/>
        <w:rPr>
          <w:b/>
        </w:rPr>
      </w:pPr>
      <w:r w:rsidRPr="009D2494">
        <w:rPr>
          <w:b/>
        </w:rPr>
        <w:t>Sample Collection and Analysis</w:t>
      </w:r>
    </w:p>
    <w:p w14:paraId="5617F469" w14:textId="77777777" w:rsidR="009D2494" w:rsidRPr="009D2494" w:rsidRDefault="009D2494" w:rsidP="00114BF9">
      <w:pPr>
        <w:spacing w:after="0"/>
        <w:rPr>
          <w:b/>
        </w:rPr>
      </w:pPr>
    </w:p>
    <w:p w14:paraId="70083243" w14:textId="38AACE24" w:rsidR="00114BF9" w:rsidRDefault="00114BF9" w:rsidP="00114BF9">
      <w:pPr>
        <w:spacing w:after="0" w:line="240" w:lineRule="auto"/>
      </w:pPr>
      <w:r>
        <w:t xml:space="preserve">For </w:t>
      </w:r>
      <w:r w:rsidR="00E05E0A">
        <w:t xml:space="preserve">sites </w:t>
      </w:r>
      <w:r w:rsidR="009D2494">
        <w:t>1, 2, 3, 7, 8, 9 and 10</w:t>
      </w:r>
      <w:r w:rsidR="00F42007">
        <w:t xml:space="preserve">, </w:t>
      </w:r>
      <w:r>
        <w:t>samples were collected at the last sanitary sewer maintenance access hole leaving each facility. However, for Site</w:t>
      </w:r>
      <w:r w:rsidR="009D2494">
        <w:t xml:space="preserve">s 5 and 6 </w:t>
      </w:r>
      <w:r>
        <w:t>samples were collected straight from the site’s holding tank as the</w:t>
      </w:r>
      <w:r w:rsidR="001E1A83">
        <w:t xml:space="preserve"> site is</w:t>
      </w:r>
      <w:r>
        <w:t xml:space="preserve"> not directly connected to a municipal wastewater system. Sampling for this study occurred between June 25, </w:t>
      </w:r>
      <w:proofErr w:type="gramStart"/>
      <w:r>
        <w:t>2019</w:t>
      </w:r>
      <w:proofErr w:type="gramEnd"/>
      <w:r>
        <w:t xml:space="preserve"> and September 11, 2019. Composite sampling was initially intended for all the facilities selected for this study. Due to physical challenges, such as the differences in the chamber layout and the location of the maintenance access hole, an automatic sampler was only able to be set up for Site</w:t>
      </w:r>
      <w:r w:rsidR="009D2494">
        <w:t>s 2, 8, 9 and 10</w:t>
      </w:r>
      <w:r>
        <w:t xml:space="preserve">.  Grab sampling was performed for the rest of the facilities.  </w:t>
      </w:r>
    </w:p>
    <w:p w14:paraId="057D378B" w14:textId="77777777" w:rsidR="00114BF9" w:rsidRDefault="00114BF9" w:rsidP="00114BF9">
      <w:pPr>
        <w:spacing w:after="0" w:line="240" w:lineRule="auto"/>
      </w:pPr>
    </w:p>
    <w:p w14:paraId="2FC88512" w14:textId="77777777" w:rsidR="00114BF9" w:rsidRDefault="00114BF9" w:rsidP="00114BF9">
      <w:pPr>
        <w:spacing w:after="0" w:line="240" w:lineRule="auto"/>
      </w:pPr>
      <w:r>
        <w:t xml:space="preserve">Prior to the initial sampling event at each selected </w:t>
      </w:r>
      <w:r w:rsidR="009D2494">
        <w:t>site</w:t>
      </w:r>
      <w:r>
        <w:t>, deionized (DI) water was put through all the sampling equipment used for this study in order to create a set of instrument blank samples for an</w:t>
      </w:r>
      <w:r w:rsidR="009D2494">
        <w:t>alysis</w:t>
      </w:r>
      <w:r>
        <w:t>.</w:t>
      </w:r>
    </w:p>
    <w:p w14:paraId="3AA5D882" w14:textId="77777777" w:rsidR="00114BF9" w:rsidRDefault="00114BF9" w:rsidP="00114BF9">
      <w:pPr>
        <w:spacing w:after="0" w:line="240" w:lineRule="auto"/>
      </w:pPr>
      <w:r>
        <w:t xml:space="preserve"> </w:t>
      </w:r>
    </w:p>
    <w:p w14:paraId="076FCC52" w14:textId="77777777" w:rsidR="00114BF9" w:rsidRDefault="00114BF9" w:rsidP="00114BF9">
      <w:pPr>
        <w:spacing w:after="0" w:line="240" w:lineRule="auto"/>
      </w:pPr>
      <w:r>
        <w:t>Composite Sampling</w:t>
      </w:r>
    </w:p>
    <w:p w14:paraId="66FE1824" w14:textId="77777777" w:rsidR="00114BF9" w:rsidRDefault="00114BF9" w:rsidP="00114BF9">
      <w:pPr>
        <w:spacing w:after="0" w:line="240" w:lineRule="auto"/>
      </w:pPr>
    </w:p>
    <w:p w14:paraId="3CF0F951" w14:textId="11F2D335" w:rsidR="00114BF9" w:rsidRDefault="00787ABE" w:rsidP="00114BF9">
      <w:pPr>
        <w:spacing w:after="0" w:line="240" w:lineRule="auto"/>
      </w:pPr>
      <w:r>
        <w:t xml:space="preserve">A </w:t>
      </w:r>
      <w:r w:rsidR="00114BF9">
        <w:t xml:space="preserve">HACH AS950 autosampler was used for collecting composite samples for this study.  The device was configured with eight 1.9 L clear glass bottles, </w:t>
      </w:r>
      <w:r w:rsidR="007D094C">
        <w:t xml:space="preserve">HACH </w:t>
      </w:r>
      <w:r w:rsidR="00114BF9">
        <w:t>silicone pump tubing 3/8”</w:t>
      </w:r>
      <w:r w:rsidR="005049A6">
        <w:t xml:space="preserve"> (95mm)</w:t>
      </w:r>
      <w:r w:rsidR="00114BF9">
        <w:t xml:space="preserve"> internal diameter for the internal portion of the hosing, and </w:t>
      </w:r>
      <w:proofErr w:type="spellStart"/>
      <w:r w:rsidR="00114BF9">
        <w:t>Kuri</w:t>
      </w:r>
      <w:proofErr w:type="spellEnd"/>
      <w:r w:rsidR="00114BF9">
        <w:t xml:space="preserve">-Tec </w:t>
      </w:r>
      <w:proofErr w:type="spellStart"/>
      <w:r w:rsidR="00114BF9">
        <w:t>Klearon</w:t>
      </w:r>
      <w:proofErr w:type="spellEnd"/>
      <w:r w:rsidR="00114BF9">
        <w:t xml:space="preserve"> K010 phthalate free by </w:t>
      </w:r>
      <w:proofErr w:type="spellStart"/>
      <w:r w:rsidR="00114BF9">
        <w:t>Kuriyama</w:t>
      </w:r>
      <w:proofErr w:type="spellEnd"/>
      <w:r w:rsidR="00114BF9">
        <w:t xml:space="preserve"> 3/8” </w:t>
      </w:r>
      <w:r w:rsidR="005049A6">
        <w:t xml:space="preserve">(95mm) </w:t>
      </w:r>
      <w:r w:rsidR="00114BF9">
        <w:t>internal diameter (ranging</w:t>
      </w:r>
      <w:r w:rsidR="001E1A83">
        <w:t xml:space="preserve"> in length</w:t>
      </w:r>
      <w:r w:rsidR="00114BF9">
        <w:t xml:space="preserve"> between 20’</w:t>
      </w:r>
      <w:r w:rsidR="0087556E">
        <w:t>/ 6.1m</w:t>
      </w:r>
      <w:r w:rsidR="00114BF9">
        <w:t xml:space="preserve"> and 25’</w:t>
      </w:r>
      <w:r w:rsidR="0087556E">
        <w:t>/7.6m</w:t>
      </w:r>
      <w:r w:rsidR="00114BF9">
        <w:t xml:space="preserve"> depending on the depth of the maintenance access hole being sampled)</w:t>
      </w:r>
      <w:r w:rsidR="00114BF9" w:rsidRPr="00C91F13">
        <w:t xml:space="preserve"> </w:t>
      </w:r>
      <w:r w:rsidR="00114BF9">
        <w:t>for the external portion of the hosing. For each composite sampling location, a 24-hour composite sample was collected daily for three consecutive days.  Since the device is only capable of housing up to 8 glass bottles, it was programmed to collect three sets of hourly samples and deposit them into one clear glass bottle in order to make a 24-hours composite.  The target volume for each sample was set to 8 litres. However, due to low flow situation</w:t>
      </w:r>
      <w:r w:rsidR="00CC12FA">
        <w:t>s</w:t>
      </w:r>
      <w:r w:rsidR="00114BF9">
        <w:t xml:space="preserve"> which usually occurred during overnight hours, the autosampler may not be able to achieve the target volume.  Whenever this situation occurred, complimentary grab samples were done by manually running the autosampler at the end of the 24-hours sampling period to make up the required volume.  </w:t>
      </w:r>
      <w:r w:rsidR="00114BF9" w:rsidRPr="00F01D72">
        <w:t xml:space="preserve">The </w:t>
      </w:r>
      <w:r w:rsidR="00114BF9">
        <w:t xml:space="preserve">discrete samples were combined in a 16L stainless steel bucket to make the </w:t>
      </w:r>
      <w:r w:rsidR="00114BF9" w:rsidRPr="00F01D72">
        <w:t>composite</w:t>
      </w:r>
      <w:r w:rsidR="00114BF9" w:rsidRPr="00C9215A">
        <w:t xml:space="preserve"> </w:t>
      </w:r>
      <w:r w:rsidR="00114BF9">
        <w:t xml:space="preserve">sample.  The bulk sample </w:t>
      </w:r>
      <w:r w:rsidR="00114BF9" w:rsidRPr="00C9215A">
        <w:t>was then subsampled into the require</w:t>
      </w:r>
      <w:r w:rsidR="00114BF9" w:rsidRPr="001754CF">
        <w:t>d types of bottles</w:t>
      </w:r>
      <w:r w:rsidR="00114BF9">
        <w:t>.</w:t>
      </w:r>
    </w:p>
    <w:p w14:paraId="2E7426E3" w14:textId="77777777" w:rsidR="00114BF9" w:rsidRDefault="00114BF9" w:rsidP="00114BF9">
      <w:pPr>
        <w:spacing w:after="0" w:line="240" w:lineRule="auto"/>
      </w:pPr>
    </w:p>
    <w:p w14:paraId="3904ACAE" w14:textId="77777777" w:rsidR="00114BF9" w:rsidRDefault="00114BF9" w:rsidP="00114BF9">
      <w:pPr>
        <w:spacing w:after="0" w:line="240" w:lineRule="auto"/>
      </w:pPr>
      <w:r>
        <w:t>Grab Sampling</w:t>
      </w:r>
    </w:p>
    <w:p w14:paraId="03615D5D" w14:textId="77777777" w:rsidR="00114BF9" w:rsidRDefault="00114BF9" w:rsidP="00114BF9">
      <w:pPr>
        <w:spacing w:after="0" w:line="240" w:lineRule="auto"/>
      </w:pPr>
    </w:p>
    <w:p w14:paraId="49477D92" w14:textId="04B06E18" w:rsidR="00114BF9" w:rsidRDefault="00114BF9" w:rsidP="00114BF9">
      <w:pPr>
        <w:spacing w:after="0" w:line="240" w:lineRule="auto"/>
      </w:pPr>
      <w:r>
        <w:t xml:space="preserve">Depending on the access maintenance hole layout and the location of the invert of the sanitary lateral, the following grab sampling methods were employed: </w:t>
      </w:r>
    </w:p>
    <w:p w14:paraId="56A91A23" w14:textId="77777777" w:rsidR="00114BF9" w:rsidRDefault="00114BF9" w:rsidP="00114BF9">
      <w:pPr>
        <w:spacing w:after="0" w:line="240" w:lineRule="auto"/>
      </w:pPr>
    </w:p>
    <w:p w14:paraId="305C9139" w14:textId="77777777" w:rsidR="00114BF9" w:rsidRDefault="00114BF9" w:rsidP="00114BF9">
      <w:pPr>
        <w:spacing w:after="0" w:line="240" w:lineRule="auto"/>
        <w:ind w:firstLine="720"/>
      </w:pPr>
      <w:r>
        <w:t>Sampling Pump</w:t>
      </w:r>
    </w:p>
    <w:p w14:paraId="6A3C0FBF" w14:textId="77777777" w:rsidR="00114BF9" w:rsidRDefault="00114BF9" w:rsidP="00114BF9">
      <w:pPr>
        <w:spacing w:after="0" w:line="240" w:lineRule="auto"/>
      </w:pPr>
    </w:p>
    <w:p w14:paraId="1D34FCA3" w14:textId="5DBC418F" w:rsidR="00114BF9" w:rsidRDefault="00CC12FA" w:rsidP="00114BF9">
      <w:pPr>
        <w:spacing w:after="0" w:line="240" w:lineRule="auto"/>
      </w:pPr>
      <w:r>
        <w:t xml:space="preserve">A </w:t>
      </w:r>
      <w:r w:rsidR="00114BF9">
        <w:t>HACH Sigma model 3206 portable pump was used for grab sampling at Site</w:t>
      </w:r>
      <w:r w:rsidR="009D2494">
        <w:t>s 4 and 7</w:t>
      </w:r>
      <w:r w:rsidR="00114BF9">
        <w:t xml:space="preserve">. This sampling pump is essentially the same as the pumping mechanism of the autosampler.  The same two types of hosing used for the autosampler were used for the sampling pump.  New hosing was used for each sampling site. Samples were drawn from the waste stream in the maintenance access hole into a sixteen (16) litre stainless steel bucket and approximately eight (8) litres of samples were collected for each sampling event.  Subsequently, the bulk samples were subsampled into the required types of bottles.  Three sets of grab samples were collected on </w:t>
      </w:r>
      <w:r w:rsidR="00E63A3A">
        <w:t xml:space="preserve">consecutive days. </w:t>
      </w:r>
    </w:p>
    <w:p w14:paraId="14CCC26C" w14:textId="77777777" w:rsidR="00114BF9" w:rsidRDefault="00114BF9" w:rsidP="00114BF9">
      <w:pPr>
        <w:spacing w:after="0" w:line="240" w:lineRule="auto"/>
      </w:pPr>
    </w:p>
    <w:p w14:paraId="0E4B6E79" w14:textId="09568960" w:rsidR="00114BF9" w:rsidRDefault="00114BF9" w:rsidP="00114BF9">
      <w:pPr>
        <w:spacing w:after="0" w:line="240" w:lineRule="auto"/>
      </w:pPr>
      <w:r>
        <w:t xml:space="preserve">For Site </w:t>
      </w:r>
      <w:r w:rsidR="009D2494">
        <w:t>3</w:t>
      </w:r>
      <w:r>
        <w:t>, the first sample was collected with the sampling pump.  However, the location of the discharge pipe and the layout of the lateral invert in the maintenance access hole chamber of this site made it difficult to collect sample</w:t>
      </w:r>
      <w:r w:rsidR="00CC12FA">
        <w:t>s</w:t>
      </w:r>
      <w:r>
        <w:t xml:space="preserve"> with this method.  Since the discharge pipe is situated higher than the invert, this made sampling with a stainless bucket possible for subsequent samples at this site.  The bucket was lower</w:t>
      </w:r>
      <w:r w:rsidR="001E1A83">
        <w:t>ed</w:t>
      </w:r>
      <w:r>
        <w:t xml:space="preserve"> to the outfall of the discharge pipe in the chamber to collect the sample.  </w:t>
      </w:r>
    </w:p>
    <w:p w14:paraId="7ED9C523" w14:textId="77777777" w:rsidR="00114BF9" w:rsidRDefault="00114BF9" w:rsidP="00114BF9">
      <w:pPr>
        <w:spacing w:after="0" w:line="240" w:lineRule="auto"/>
      </w:pPr>
    </w:p>
    <w:p w14:paraId="036CBDDD" w14:textId="77777777" w:rsidR="00114BF9" w:rsidRDefault="00114BF9" w:rsidP="00114BF9">
      <w:pPr>
        <w:spacing w:after="0" w:line="240" w:lineRule="auto"/>
      </w:pPr>
      <w:r>
        <w:t>The pump’s internal and external hosing were replaced with new ones prior to deployment for the next sampling site.</w:t>
      </w:r>
    </w:p>
    <w:p w14:paraId="7DBC7B5B" w14:textId="77777777" w:rsidR="00114BF9" w:rsidRDefault="00114BF9" w:rsidP="00114BF9">
      <w:pPr>
        <w:spacing w:after="0" w:line="240" w:lineRule="auto"/>
        <w:ind w:firstLine="720"/>
      </w:pPr>
    </w:p>
    <w:p w14:paraId="42D55B7A" w14:textId="77777777" w:rsidR="00114BF9" w:rsidRDefault="00114BF9" w:rsidP="00114BF9">
      <w:pPr>
        <w:spacing w:after="0" w:line="240" w:lineRule="auto"/>
        <w:ind w:firstLine="720"/>
      </w:pPr>
      <w:r>
        <w:t>Sampling Pole and Bucket</w:t>
      </w:r>
    </w:p>
    <w:p w14:paraId="0E233642" w14:textId="77777777" w:rsidR="00114BF9" w:rsidRDefault="00114BF9" w:rsidP="00114BF9">
      <w:pPr>
        <w:spacing w:after="0" w:line="240" w:lineRule="auto"/>
      </w:pPr>
    </w:p>
    <w:p w14:paraId="77E53AC5" w14:textId="02A4C6D7" w:rsidR="00114BF9" w:rsidRDefault="00114BF9" w:rsidP="00114BF9">
      <w:pPr>
        <w:spacing w:after="0" w:line="240" w:lineRule="auto"/>
      </w:pPr>
      <w:r>
        <w:t xml:space="preserve">For Site </w:t>
      </w:r>
      <w:r w:rsidR="00595AF6">
        <w:t>1</w:t>
      </w:r>
      <w:r>
        <w:t>, due to the physical layout of the maintenance access hole and the position of the discharge pipe in the chamber, sampling with a pump was not possible.  Therefore, a sampling pole, which is capable of housing a PET500 plastic bottle, was used to collect the</w:t>
      </w:r>
      <w:r w:rsidR="00595AF6">
        <w:t xml:space="preserve"> first</w:t>
      </w:r>
      <w:r>
        <w:t xml:space="preserve"> samples.</w:t>
      </w:r>
      <w:r w:rsidR="00D626BB">
        <w:t xml:space="preserve"> </w:t>
      </w:r>
      <w:proofErr w:type="gramStart"/>
      <w:r w:rsidR="00595AF6">
        <w:rPr>
          <w:rStyle w:val="ui-provider"/>
        </w:rPr>
        <w:t>Since</w:t>
      </w:r>
      <w:proofErr w:type="gramEnd"/>
      <w:r w:rsidR="00595AF6">
        <w:rPr>
          <w:rStyle w:val="ui-provider"/>
        </w:rPr>
        <w:t xml:space="preserve"> the discharge pipe is also elevated from the invert and sampling subsequent samples at this location were collected directly with a stainless steel bucket.</w:t>
      </w:r>
    </w:p>
    <w:p w14:paraId="300C8BA2" w14:textId="77777777" w:rsidR="00114BF9" w:rsidRDefault="00114BF9" w:rsidP="00114BF9">
      <w:pPr>
        <w:spacing w:after="0" w:line="240" w:lineRule="auto"/>
      </w:pPr>
    </w:p>
    <w:p w14:paraId="6C558743" w14:textId="77777777" w:rsidR="00114BF9" w:rsidRDefault="00114BF9" w:rsidP="00114BF9">
      <w:pPr>
        <w:spacing w:after="0" w:line="240" w:lineRule="auto"/>
      </w:pPr>
    </w:p>
    <w:p w14:paraId="28330522" w14:textId="77777777" w:rsidR="00737EBE" w:rsidRDefault="00737EBE" w:rsidP="00114BF9">
      <w:pPr>
        <w:spacing w:after="0" w:line="240" w:lineRule="auto"/>
      </w:pPr>
    </w:p>
    <w:p w14:paraId="4858C37D" w14:textId="77777777" w:rsidR="00737EBE" w:rsidRDefault="00737EBE" w:rsidP="00114BF9">
      <w:pPr>
        <w:spacing w:after="0" w:line="240" w:lineRule="auto"/>
      </w:pPr>
    </w:p>
    <w:p w14:paraId="10507FF5" w14:textId="77777777" w:rsidR="00C4218B" w:rsidRDefault="00C4218B" w:rsidP="00114BF9">
      <w:pPr>
        <w:spacing w:after="0" w:line="240" w:lineRule="auto"/>
      </w:pPr>
    </w:p>
    <w:p w14:paraId="7B49A2E8" w14:textId="77777777" w:rsidR="00C4218B" w:rsidRDefault="00C4218B" w:rsidP="00114BF9">
      <w:pPr>
        <w:spacing w:after="0" w:line="240" w:lineRule="auto"/>
      </w:pPr>
    </w:p>
    <w:p w14:paraId="52FB945E" w14:textId="77777777" w:rsidR="00C4218B" w:rsidRDefault="00C4218B" w:rsidP="00114BF9">
      <w:pPr>
        <w:spacing w:after="0" w:line="240" w:lineRule="auto"/>
      </w:pPr>
    </w:p>
    <w:p w14:paraId="1877BE2E" w14:textId="77777777" w:rsidR="00C4218B" w:rsidRDefault="00C4218B" w:rsidP="00114BF9">
      <w:pPr>
        <w:spacing w:after="0" w:line="240" w:lineRule="auto"/>
      </w:pPr>
    </w:p>
    <w:p w14:paraId="44C7B0FE" w14:textId="77777777" w:rsidR="00C4218B" w:rsidRDefault="00C4218B" w:rsidP="00114BF9">
      <w:pPr>
        <w:spacing w:after="0" w:line="240" w:lineRule="auto"/>
      </w:pPr>
    </w:p>
    <w:p w14:paraId="3BDDE8A6" w14:textId="77777777" w:rsidR="00737EBE" w:rsidRDefault="00737EBE" w:rsidP="00114BF9">
      <w:pPr>
        <w:spacing w:after="0" w:line="240" w:lineRule="auto"/>
      </w:pPr>
    </w:p>
    <w:p w14:paraId="4B33031E" w14:textId="77777777" w:rsidR="00114BF9" w:rsidRDefault="00114BF9" w:rsidP="00114BF9">
      <w:pPr>
        <w:spacing w:after="0"/>
      </w:pPr>
    </w:p>
    <w:p w14:paraId="7F0B756E" w14:textId="77777777" w:rsidR="00445C7D" w:rsidRDefault="00445C7D" w:rsidP="00114BF9">
      <w:pPr>
        <w:spacing w:after="0"/>
      </w:pPr>
    </w:p>
    <w:p w14:paraId="75A4ED80" w14:textId="77777777" w:rsidR="00445C7D" w:rsidRDefault="00445C7D" w:rsidP="00114BF9">
      <w:pPr>
        <w:spacing w:after="0"/>
      </w:pPr>
    </w:p>
    <w:p w14:paraId="5338411C" w14:textId="77777777" w:rsidR="00445C7D" w:rsidRDefault="00445C7D" w:rsidP="00114BF9">
      <w:pPr>
        <w:spacing w:after="0"/>
      </w:pPr>
    </w:p>
    <w:p w14:paraId="3026A185" w14:textId="77777777" w:rsidR="00445C7D" w:rsidRDefault="00445C7D" w:rsidP="00114BF9">
      <w:pPr>
        <w:spacing w:after="0"/>
      </w:pPr>
    </w:p>
    <w:p w14:paraId="550F36B1" w14:textId="77777777" w:rsidR="00445C7D" w:rsidRDefault="00445C7D" w:rsidP="00114BF9">
      <w:pPr>
        <w:spacing w:after="0"/>
      </w:pPr>
    </w:p>
    <w:p w14:paraId="43B21A2A" w14:textId="77777777" w:rsidR="00445C7D" w:rsidRDefault="00445C7D" w:rsidP="00114BF9">
      <w:pPr>
        <w:spacing w:after="0"/>
      </w:pPr>
    </w:p>
    <w:p w14:paraId="22A28C62" w14:textId="77777777" w:rsidR="00445C7D" w:rsidRDefault="00445C7D" w:rsidP="00114BF9">
      <w:pPr>
        <w:spacing w:after="0"/>
      </w:pPr>
    </w:p>
    <w:p w14:paraId="50F05E3F" w14:textId="77777777" w:rsidR="00445C7D" w:rsidRDefault="00445C7D" w:rsidP="00114BF9">
      <w:pPr>
        <w:spacing w:after="0"/>
      </w:pPr>
    </w:p>
    <w:p w14:paraId="305C7E24" w14:textId="77777777" w:rsidR="00114BF9" w:rsidRDefault="00114BF9" w:rsidP="00114BF9">
      <w:pPr>
        <w:spacing w:after="0"/>
      </w:pPr>
    </w:p>
    <w:p w14:paraId="675FEA17" w14:textId="77777777" w:rsidR="00114BF9" w:rsidRDefault="00114BF9" w:rsidP="00114BF9">
      <w:pPr>
        <w:spacing w:after="0"/>
      </w:pPr>
    </w:p>
    <w:p w14:paraId="409266FB" w14:textId="77777777" w:rsidR="00F42007" w:rsidRDefault="00F42007" w:rsidP="00114BF9">
      <w:pPr>
        <w:spacing w:after="0"/>
      </w:pPr>
    </w:p>
    <w:p w14:paraId="5DFF1552" w14:textId="77777777" w:rsidR="00F42007" w:rsidRDefault="00F42007" w:rsidP="00114BF9">
      <w:pPr>
        <w:spacing w:after="0"/>
      </w:pPr>
    </w:p>
    <w:p w14:paraId="10002280" w14:textId="77777777" w:rsidR="00114BF9" w:rsidRPr="007D277D" w:rsidRDefault="00114BF9" w:rsidP="00114BF9">
      <w:pPr>
        <w:pStyle w:val="Heading2"/>
        <w:spacing w:after="240" w:line="240" w:lineRule="auto"/>
        <w:rPr>
          <w:sz w:val="24"/>
        </w:rPr>
      </w:pPr>
      <w:r w:rsidRPr="007D277D">
        <w:rPr>
          <w:sz w:val="24"/>
        </w:rPr>
        <w:t>Sample Preparation and Analysis</w:t>
      </w:r>
    </w:p>
    <w:p w14:paraId="7038359B" w14:textId="6EF7FC34" w:rsidR="00114BF9" w:rsidRPr="007D277D" w:rsidRDefault="00114BF9" w:rsidP="00114BF9">
      <w:pPr>
        <w:autoSpaceDE w:val="0"/>
        <w:autoSpaceDN w:val="0"/>
        <w:spacing w:after="240" w:line="240" w:lineRule="auto"/>
        <w:rPr>
          <w:rFonts w:ascii="Arial" w:eastAsia="Calibri" w:hAnsi="Arial" w:cs="Arial"/>
          <w:szCs w:val="24"/>
        </w:rPr>
      </w:pPr>
      <w:r w:rsidRPr="007D277D">
        <w:rPr>
          <w:rFonts w:ascii="Arial" w:eastAsia="Calibri" w:hAnsi="Arial" w:cs="Arial"/>
          <w:szCs w:val="24"/>
        </w:rPr>
        <w:t>PFAS target analytes were quantified using internal calibration with linear regression, 1/x weighting and coefficients of determination (R</w:t>
      </w:r>
      <w:r w:rsidRPr="007D277D">
        <w:rPr>
          <w:rFonts w:ascii="Arial" w:eastAsia="Calibri" w:hAnsi="Arial" w:cs="Arial"/>
          <w:szCs w:val="24"/>
          <w:vertAlign w:val="superscript"/>
        </w:rPr>
        <w:t>2</w:t>
      </w:r>
      <w:r w:rsidRPr="007D277D">
        <w:rPr>
          <w:rFonts w:ascii="Arial" w:eastAsia="Calibri" w:hAnsi="Arial" w:cs="Arial"/>
          <w:szCs w:val="24"/>
        </w:rPr>
        <w:t xml:space="preserve">) greater than 0.990. Seven levels of standards were used to establish the calibration curve for each target compound.  The accuracy of calibration standards </w:t>
      </w:r>
      <w:proofErr w:type="gramStart"/>
      <w:r w:rsidRPr="007D277D">
        <w:rPr>
          <w:rFonts w:ascii="Arial" w:eastAsia="Calibri" w:hAnsi="Arial" w:cs="Arial"/>
          <w:szCs w:val="24"/>
        </w:rPr>
        <w:t>are</w:t>
      </w:r>
      <w:proofErr w:type="gramEnd"/>
      <w:r w:rsidRPr="007D277D">
        <w:rPr>
          <w:rFonts w:ascii="Arial" w:eastAsia="Calibri" w:hAnsi="Arial" w:cs="Arial"/>
          <w:szCs w:val="24"/>
        </w:rPr>
        <w:t xml:space="preserve"> required to fall between ± 30% for the lowest concentration level and ± 20% for all other levels.  One reagent blank with HPLC grade water, one method blank and two method spikes with preserved tap water were processed with each batch of samples for quality assurance/quality control (QA/QC).  </w:t>
      </w:r>
      <w:r w:rsidR="007B32FE">
        <w:rPr>
          <w:rFonts w:ascii="Arial" w:eastAsia="Calibri" w:hAnsi="Arial" w:cs="Arial"/>
          <w:szCs w:val="24"/>
        </w:rPr>
        <w:t>As previously described in Kleywegt et al., 2020, b</w:t>
      </w:r>
      <w:r w:rsidRPr="007D277D">
        <w:rPr>
          <w:rFonts w:ascii="Arial" w:eastAsia="Calibri" w:hAnsi="Arial" w:cs="Arial"/>
          <w:szCs w:val="24"/>
        </w:rPr>
        <w:t xml:space="preserve">lanks were fortified with </w:t>
      </w:r>
      <w:proofErr w:type="gramStart"/>
      <w:r w:rsidRPr="007D277D">
        <w:rPr>
          <w:rFonts w:ascii="Arial" w:eastAsia="Calibri" w:hAnsi="Arial" w:cs="Arial"/>
          <w:szCs w:val="24"/>
        </w:rPr>
        <w:t>isotopically-labelled</w:t>
      </w:r>
      <w:proofErr w:type="gramEnd"/>
      <w:r w:rsidRPr="007D277D">
        <w:rPr>
          <w:rFonts w:ascii="Arial" w:eastAsia="Calibri" w:hAnsi="Arial" w:cs="Arial"/>
          <w:szCs w:val="24"/>
        </w:rPr>
        <w:t xml:space="preserve"> surrogate and internal standards as with the samples, while method spikes were fortified with both native compounds and the isotopically-labelled surrogate and internal standards.  Five labelled standards,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-PFOA,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4</w:t>
      </w:r>
      <w:r w:rsidRPr="007D277D">
        <w:rPr>
          <w:rFonts w:ascii="Arial" w:eastAsia="Calibri" w:hAnsi="Arial" w:cs="Arial"/>
          <w:szCs w:val="24"/>
        </w:rPr>
        <w:t xml:space="preserve">-PFOA,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5</w:t>
      </w:r>
      <w:r w:rsidRPr="007D277D">
        <w:rPr>
          <w:rFonts w:ascii="Arial" w:eastAsia="Calibri" w:hAnsi="Arial" w:cs="Arial"/>
          <w:szCs w:val="24"/>
        </w:rPr>
        <w:t xml:space="preserve">-PFNA,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-PFDA and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4</w:t>
      </w:r>
      <w:r w:rsidRPr="007D277D">
        <w:rPr>
          <w:rFonts w:ascii="Arial" w:eastAsia="Calibri" w:hAnsi="Arial" w:cs="Arial"/>
          <w:szCs w:val="24"/>
        </w:rPr>
        <w:t xml:space="preserve">-PFOS, were first used in 2005.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-PFDoA, </w:t>
      </w:r>
      <w:r w:rsidRPr="007D277D">
        <w:rPr>
          <w:rFonts w:ascii="Arial" w:eastAsia="Calibri" w:hAnsi="Arial" w:cs="Arial"/>
          <w:szCs w:val="24"/>
          <w:vertAlign w:val="superscript"/>
        </w:rPr>
        <w:t>18</w:t>
      </w:r>
      <w:r w:rsidRPr="007D277D">
        <w:rPr>
          <w:rFonts w:ascii="Arial" w:eastAsia="Calibri" w:hAnsi="Arial" w:cs="Arial"/>
          <w:szCs w:val="24"/>
        </w:rPr>
        <w:t>-O</w:t>
      </w:r>
      <w:r w:rsidRPr="007D277D">
        <w:rPr>
          <w:rFonts w:ascii="Arial" w:eastAsia="Calibri" w:hAnsi="Arial" w:cs="Arial"/>
          <w:szCs w:val="24"/>
          <w:vertAlign w:val="subscript"/>
        </w:rPr>
        <w:t>2</w:t>
      </w:r>
      <w:r w:rsidRPr="007D277D">
        <w:rPr>
          <w:rFonts w:ascii="Arial" w:eastAsia="Calibri" w:hAnsi="Arial" w:cs="Arial"/>
          <w:szCs w:val="24"/>
        </w:rPr>
        <w:t xml:space="preserve">-PFHxS,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8</w:t>
      </w:r>
      <w:r w:rsidRPr="007D277D">
        <w:rPr>
          <w:rFonts w:ascii="Arial" w:eastAsia="Calibri" w:hAnsi="Arial" w:cs="Arial"/>
          <w:szCs w:val="24"/>
        </w:rPr>
        <w:t>-PFOSA,</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4</w:t>
      </w:r>
      <w:r w:rsidRPr="007D277D">
        <w:rPr>
          <w:rFonts w:ascii="Arial" w:eastAsia="Calibri" w:hAnsi="Arial" w:cs="Arial"/>
          <w:szCs w:val="24"/>
        </w:rPr>
        <w:t xml:space="preserve">-PFBA,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-PFHxA,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4</w:t>
      </w:r>
      <w:r w:rsidRPr="007D277D">
        <w:rPr>
          <w:rFonts w:ascii="Arial" w:eastAsia="Calibri" w:hAnsi="Arial" w:cs="Arial"/>
          <w:szCs w:val="24"/>
        </w:rPr>
        <w:t xml:space="preserve">-PFHpA,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-PFHpA,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-PFUnA and </w:t>
      </w:r>
      <w:r w:rsidRPr="007D277D">
        <w:rPr>
          <w:rFonts w:ascii="Arial" w:eastAsia="Calibri" w:hAnsi="Arial" w:cs="Arial"/>
          <w:szCs w:val="24"/>
          <w:vertAlign w:val="superscript"/>
        </w:rPr>
        <w:t>13</w:t>
      </w:r>
      <w:r w:rsidRPr="007D277D">
        <w:rPr>
          <w:rFonts w:ascii="Arial" w:eastAsia="Calibri" w:hAnsi="Arial" w:cs="Arial"/>
          <w:szCs w:val="24"/>
        </w:rPr>
        <w:t>C</w:t>
      </w:r>
      <w:r w:rsidRPr="007D277D">
        <w:rPr>
          <w:rFonts w:ascii="Arial" w:eastAsia="Calibri" w:hAnsi="Arial" w:cs="Arial"/>
          <w:szCs w:val="24"/>
          <w:vertAlign w:val="subscript"/>
        </w:rPr>
        <w:t>2</w:t>
      </w:r>
      <w:r w:rsidRPr="007D277D">
        <w:rPr>
          <w:rFonts w:ascii="Arial" w:eastAsia="Calibri" w:hAnsi="Arial" w:cs="Arial"/>
          <w:szCs w:val="24"/>
        </w:rPr>
        <w:t xml:space="preserve">-PFTeA were added into sample preparation and analysis over time to facilitate accurate isotope dilution quantification of the target analytes. Method detection limits (MDL) were determined based on the standard deviation of calculated results for spike replicates and ranged from 0.5 to 1 ng/L as listed in </w:t>
      </w:r>
      <w:r w:rsidR="007E2EFF">
        <w:rPr>
          <w:rFonts w:ascii="Arial" w:eastAsia="Calibri" w:hAnsi="Arial" w:cs="Arial"/>
          <w:szCs w:val="24"/>
        </w:rPr>
        <w:t>Supplemental Data Table S</w:t>
      </w:r>
      <w:r w:rsidR="004C4A0E">
        <w:rPr>
          <w:rFonts w:ascii="Arial" w:eastAsia="Calibri" w:hAnsi="Arial" w:cs="Arial"/>
          <w:szCs w:val="24"/>
        </w:rPr>
        <w:t>1</w:t>
      </w:r>
      <w:r w:rsidRPr="007D277D">
        <w:rPr>
          <w:rFonts w:ascii="Arial" w:eastAsia="Calibri" w:hAnsi="Arial" w:cs="Arial"/>
          <w:szCs w:val="24"/>
        </w:rPr>
        <w:t xml:space="preserve">.  </w:t>
      </w:r>
    </w:p>
    <w:p w14:paraId="376D627C" w14:textId="77777777" w:rsidR="00114BF9" w:rsidRDefault="00114BF9" w:rsidP="00114BF9">
      <w:pPr>
        <w:rPr>
          <w:b/>
          <w:bCs/>
        </w:rPr>
      </w:pPr>
    </w:p>
    <w:p w14:paraId="7A680D87" w14:textId="37AE73A9" w:rsidR="00114BF9" w:rsidRPr="002027E3" w:rsidRDefault="00114BF9" w:rsidP="00114BF9">
      <w:pPr>
        <w:rPr>
          <w:sz w:val="20"/>
          <w:szCs w:val="20"/>
        </w:rPr>
      </w:pPr>
      <w:r w:rsidRPr="002027E3">
        <w:t xml:space="preserve">Table </w:t>
      </w:r>
      <w:r w:rsidR="009D2494">
        <w:t>S</w:t>
      </w:r>
      <w:r w:rsidR="004C4A0E">
        <w:t>1</w:t>
      </w:r>
      <w:r w:rsidRPr="002027E3">
        <w:t xml:space="preserve">: List of Per – and Polyfluoroalkyl Substances (PFAS) quantitatively analyzed, associated acronym, Chemical Abstract Number (CAS no.), Method Detection Limit (MDL) </w:t>
      </w:r>
    </w:p>
    <w:tbl>
      <w:tblPr>
        <w:tblStyle w:val="TableGrid"/>
        <w:tblW w:w="4192"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1257"/>
        <w:gridCol w:w="2395"/>
        <w:gridCol w:w="883"/>
      </w:tblGrid>
      <w:tr w:rsidR="00114BF9" w:rsidRPr="002027E3" w14:paraId="7829DFFD" w14:textId="77777777" w:rsidTr="00237E76">
        <w:trPr>
          <w:trHeight w:val="288"/>
        </w:trPr>
        <w:tc>
          <w:tcPr>
            <w:tcW w:w="2038" w:type="pct"/>
            <w:tcBorders>
              <w:top w:val="single" w:sz="4" w:space="0" w:color="auto"/>
              <w:bottom w:val="single" w:sz="4" w:space="0" w:color="auto"/>
            </w:tcBorders>
            <w:noWrap/>
            <w:hideMark/>
          </w:tcPr>
          <w:p w14:paraId="04DBF61F" w14:textId="77777777" w:rsidR="00114BF9" w:rsidRPr="002027E3" w:rsidRDefault="00114BF9" w:rsidP="00237E76">
            <w:pPr>
              <w:rPr>
                <w:b/>
                <w:szCs w:val="24"/>
              </w:rPr>
            </w:pPr>
            <w:r w:rsidRPr="002027E3">
              <w:rPr>
                <w:b/>
                <w:szCs w:val="24"/>
              </w:rPr>
              <w:t>Parameter</w:t>
            </w:r>
          </w:p>
        </w:tc>
        <w:tc>
          <w:tcPr>
            <w:tcW w:w="783" w:type="pct"/>
            <w:tcBorders>
              <w:top w:val="single" w:sz="4" w:space="0" w:color="auto"/>
              <w:bottom w:val="single" w:sz="4" w:space="0" w:color="auto"/>
            </w:tcBorders>
            <w:noWrap/>
            <w:hideMark/>
          </w:tcPr>
          <w:p w14:paraId="057DC354" w14:textId="77777777" w:rsidR="00114BF9" w:rsidRPr="002027E3" w:rsidRDefault="00114BF9" w:rsidP="00237E76">
            <w:pPr>
              <w:jc w:val="center"/>
              <w:rPr>
                <w:b/>
                <w:szCs w:val="24"/>
              </w:rPr>
            </w:pPr>
            <w:r w:rsidRPr="002027E3">
              <w:rPr>
                <w:b/>
                <w:szCs w:val="24"/>
              </w:rPr>
              <w:t>Acronym</w:t>
            </w:r>
          </w:p>
        </w:tc>
        <w:tc>
          <w:tcPr>
            <w:tcW w:w="1618" w:type="pct"/>
            <w:tcBorders>
              <w:top w:val="single" w:sz="4" w:space="0" w:color="auto"/>
              <w:bottom w:val="single" w:sz="4" w:space="0" w:color="auto"/>
            </w:tcBorders>
          </w:tcPr>
          <w:p w14:paraId="44BB2C9B" w14:textId="77777777" w:rsidR="00114BF9" w:rsidRPr="002027E3" w:rsidRDefault="00114BF9" w:rsidP="00237E76">
            <w:pPr>
              <w:jc w:val="center"/>
              <w:rPr>
                <w:b/>
                <w:szCs w:val="24"/>
              </w:rPr>
            </w:pPr>
            <w:r w:rsidRPr="002027E3">
              <w:rPr>
                <w:b/>
                <w:szCs w:val="24"/>
              </w:rPr>
              <w:t>CAS No.</w:t>
            </w:r>
          </w:p>
        </w:tc>
        <w:tc>
          <w:tcPr>
            <w:tcW w:w="561" w:type="pct"/>
            <w:tcBorders>
              <w:top w:val="single" w:sz="4" w:space="0" w:color="auto"/>
              <w:bottom w:val="single" w:sz="4" w:space="0" w:color="auto"/>
            </w:tcBorders>
            <w:noWrap/>
            <w:hideMark/>
          </w:tcPr>
          <w:p w14:paraId="5BAB0DE6" w14:textId="77777777" w:rsidR="00114BF9" w:rsidRPr="002027E3" w:rsidRDefault="00114BF9" w:rsidP="00237E76">
            <w:pPr>
              <w:jc w:val="center"/>
              <w:rPr>
                <w:b/>
                <w:szCs w:val="24"/>
              </w:rPr>
            </w:pPr>
            <w:r w:rsidRPr="002027E3">
              <w:rPr>
                <w:b/>
                <w:szCs w:val="24"/>
              </w:rPr>
              <w:t>MDL</w:t>
            </w:r>
          </w:p>
          <w:p w14:paraId="4C41175B" w14:textId="77777777" w:rsidR="00114BF9" w:rsidRPr="002027E3" w:rsidRDefault="00114BF9" w:rsidP="00237E76">
            <w:pPr>
              <w:jc w:val="center"/>
              <w:rPr>
                <w:b/>
                <w:szCs w:val="24"/>
              </w:rPr>
            </w:pPr>
            <w:r w:rsidRPr="002027E3">
              <w:rPr>
                <w:b/>
                <w:szCs w:val="24"/>
              </w:rPr>
              <w:t>(ng/L)</w:t>
            </w:r>
          </w:p>
        </w:tc>
      </w:tr>
      <w:tr w:rsidR="00114BF9" w:rsidRPr="002027E3" w14:paraId="7AFD0146" w14:textId="77777777" w:rsidTr="00237E76">
        <w:trPr>
          <w:trHeight w:val="288"/>
        </w:trPr>
        <w:tc>
          <w:tcPr>
            <w:tcW w:w="2038" w:type="pct"/>
            <w:tcBorders>
              <w:top w:val="single" w:sz="4" w:space="0" w:color="auto"/>
            </w:tcBorders>
            <w:noWrap/>
            <w:vAlign w:val="center"/>
          </w:tcPr>
          <w:p w14:paraId="7982D642" w14:textId="1D883E2B" w:rsidR="00114BF9" w:rsidRPr="002027E3" w:rsidRDefault="00114BF9" w:rsidP="00237E76">
            <w:pPr>
              <w:rPr>
                <w:szCs w:val="24"/>
              </w:rPr>
            </w:pPr>
            <w:bookmarkStart w:id="1" w:name="_Hlk43969673"/>
            <w:proofErr w:type="spellStart"/>
            <w:r w:rsidRPr="002027E3">
              <w:rPr>
                <w:szCs w:val="24"/>
              </w:rPr>
              <w:t>Perflu</w:t>
            </w:r>
            <w:r w:rsidR="007E2B48">
              <w:rPr>
                <w:szCs w:val="24"/>
              </w:rPr>
              <w:t>o</w:t>
            </w:r>
            <w:r w:rsidRPr="002027E3">
              <w:rPr>
                <w:szCs w:val="24"/>
              </w:rPr>
              <w:t>robutane</w:t>
            </w:r>
            <w:proofErr w:type="spellEnd"/>
            <w:r w:rsidRPr="002027E3">
              <w:rPr>
                <w:szCs w:val="24"/>
              </w:rPr>
              <w:t xml:space="preserve"> sulfonic acid</w:t>
            </w:r>
          </w:p>
        </w:tc>
        <w:tc>
          <w:tcPr>
            <w:tcW w:w="783" w:type="pct"/>
            <w:tcBorders>
              <w:top w:val="single" w:sz="4" w:space="0" w:color="auto"/>
            </w:tcBorders>
            <w:noWrap/>
            <w:vAlign w:val="center"/>
          </w:tcPr>
          <w:p w14:paraId="2B628ACE" w14:textId="77777777" w:rsidR="00114BF9" w:rsidRPr="002027E3" w:rsidRDefault="00114BF9" w:rsidP="00237E76">
            <w:pPr>
              <w:jc w:val="center"/>
              <w:rPr>
                <w:szCs w:val="24"/>
              </w:rPr>
            </w:pPr>
            <w:r w:rsidRPr="002027E3">
              <w:rPr>
                <w:szCs w:val="24"/>
              </w:rPr>
              <w:t>PFBS</w:t>
            </w:r>
          </w:p>
        </w:tc>
        <w:tc>
          <w:tcPr>
            <w:tcW w:w="1618" w:type="pct"/>
            <w:tcBorders>
              <w:top w:val="single" w:sz="4" w:space="0" w:color="auto"/>
            </w:tcBorders>
            <w:vAlign w:val="center"/>
          </w:tcPr>
          <w:p w14:paraId="7E73B8CE" w14:textId="77777777" w:rsidR="00114BF9" w:rsidRPr="002027E3" w:rsidRDefault="00114BF9" w:rsidP="00237E76">
            <w:pPr>
              <w:jc w:val="center"/>
              <w:rPr>
                <w:szCs w:val="24"/>
              </w:rPr>
            </w:pPr>
            <w:r w:rsidRPr="002027E3">
              <w:rPr>
                <w:szCs w:val="24"/>
              </w:rPr>
              <w:t>375-73-5</w:t>
            </w:r>
          </w:p>
        </w:tc>
        <w:tc>
          <w:tcPr>
            <w:tcW w:w="561" w:type="pct"/>
            <w:tcBorders>
              <w:top w:val="single" w:sz="4" w:space="0" w:color="auto"/>
            </w:tcBorders>
            <w:noWrap/>
            <w:vAlign w:val="center"/>
          </w:tcPr>
          <w:p w14:paraId="3885AAFA" w14:textId="77777777" w:rsidR="00114BF9" w:rsidRPr="002027E3" w:rsidRDefault="00114BF9" w:rsidP="00237E76">
            <w:pPr>
              <w:jc w:val="center"/>
              <w:rPr>
                <w:szCs w:val="24"/>
              </w:rPr>
            </w:pPr>
            <w:r w:rsidRPr="002027E3">
              <w:rPr>
                <w:szCs w:val="24"/>
              </w:rPr>
              <w:t>1</w:t>
            </w:r>
          </w:p>
        </w:tc>
      </w:tr>
      <w:tr w:rsidR="00114BF9" w:rsidRPr="002027E3" w14:paraId="15245593" w14:textId="77777777" w:rsidTr="00237E76">
        <w:trPr>
          <w:trHeight w:val="288"/>
        </w:trPr>
        <w:tc>
          <w:tcPr>
            <w:tcW w:w="2038" w:type="pct"/>
            <w:noWrap/>
            <w:vAlign w:val="center"/>
          </w:tcPr>
          <w:p w14:paraId="5726CD12" w14:textId="77777777" w:rsidR="00114BF9" w:rsidRPr="002027E3" w:rsidRDefault="00114BF9" w:rsidP="00237E76">
            <w:pPr>
              <w:rPr>
                <w:szCs w:val="24"/>
              </w:rPr>
            </w:pPr>
            <w:proofErr w:type="spellStart"/>
            <w:r w:rsidRPr="002027E3">
              <w:rPr>
                <w:szCs w:val="24"/>
              </w:rPr>
              <w:t>Perfluorobutanoic</w:t>
            </w:r>
            <w:proofErr w:type="spellEnd"/>
            <w:r w:rsidRPr="002027E3">
              <w:rPr>
                <w:szCs w:val="24"/>
              </w:rPr>
              <w:t xml:space="preserve"> acid</w:t>
            </w:r>
          </w:p>
        </w:tc>
        <w:tc>
          <w:tcPr>
            <w:tcW w:w="783" w:type="pct"/>
            <w:noWrap/>
            <w:vAlign w:val="center"/>
          </w:tcPr>
          <w:p w14:paraId="06960216" w14:textId="77777777" w:rsidR="00114BF9" w:rsidRPr="002027E3" w:rsidRDefault="00114BF9" w:rsidP="00237E76">
            <w:pPr>
              <w:jc w:val="center"/>
              <w:rPr>
                <w:szCs w:val="24"/>
              </w:rPr>
            </w:pPr>
            <w:r w:rsidRPr="002027E3">
              <w:rPr>
                <w:szCs w:val="24"/>
              </w:rPr>
              <w:t>PFBA</w:t>
            </w:r>
          </w:p>
        </w:tc>
        <w:tc>
          <w:tcPr>
            <w:tcW w:w="1618" w:type="pct"/>
            <w:vAlign w:val="center"/>
          </w:tcPr>
          <w:p w14:paraId="43DAB19A" w14:textId="77777777" w:rsidR="00114BF9" w:rsidRPr="002027E3" w:rsidRDefault="00114BF9" w:rsidP="00237E76">
            <w:pPr>
              <w:jc w:val="center"/>
              <w:rPr>
                <w:szCs w:val="24"/>
              </w:rPr>
            </w:pPr>
            <w:r w:rsidRPr="002027E3">
              <w:rPr>
                <w:szCs w:val="24"/>
              </w:rPr>
              <w:t>375-22-4</w:t>
            </w:r>
          </w:p>
        </w:tc>
        <w:tc>
          <w:tcPr>
            <w:tcW w:w="561" w:type="pct"/>
            <w:noWrap/>
            <w:vAlign w:val="center"/>
          </w:tcPr>
          <w:p w14:paraId="37DC2FD8" w14:textId="77777777" w:rsidR="00114BF9" w:rsidRPr="002027E3" w:rsidRDefault="00114BF9" w:rsidP="00237E76">
            <w:pPr>
              <w:jc w:val="center"/>
              <w:rPr>
                <w:szCs w:val="24"/>
              </w:rPr>
            </w:pPr>
            <w:r w:rsidRPr="002027E3">
              <w:rPr>
                <w:szCs w:val="24"/>
              </w:rPr>
              <w:t>1</w:t>
            </w:r>
          </w:p>
        </w:tc>
      </w:tr>
      <w:tr w:rsidR="00114BF9" w:rsidRPr="002027E3" w14:paraId="14B25F33" w14:textId="77777777" w:rsidTr="00237E76">
        <w:trPr>
          <w:trHeight w:val="288"/>
        </w:trPr>
        <w:tc>
          <w:tcPr>
            <w:tcW w:w="2038" w:type="pct"/>
            <w:noWrap/>
            <w:vAlign w:val="center"/>
          </w:tcPr>
          <w:p w14:paraId="2DF3B5A8" w14:textId="1A3B698D" w:rsidR="00114BF9" w:rsidRPr="002027E3" w:rsidRDefault="00114BF9" w:rsidP="00237E76">
            <w:pPr>
              <w:rPr>
                <w:szCs w:val="24"/>
              </w:rPr>
            </w:pPr>
            <w:bookmarkStart w:id="2" w:name="_Hlk43995367"/>
            <w:bookmarkEnd w:id="1"/>
            <w:proofErr w:type="spellStart"/>
            <w:r w:rsidRPr="002027E3">
              <w:rPr>
                <w:szCs w:val="24"/>
              </w:rPr>
              <w:t>Perflu</w:t>
            </w:r>
            <w:r w:rsidR="007E2B48">
              <w:rPr>
                <w:szCs w:val="24"/>
              </w:rPr>
              <w:t>o</w:t>
            </w:r>
            <w:r w:rsidRPr="002027E3">
              <w:rPr>
                <w:szCs w:val="24"/>
              </w:rPr>
              <w:t>ropentanoic</w:t>
            </w:r>
            <w:proofErr w:type="spellEnd"/>
            <w:r w:rsidRPr="002027E3">
              <w:rPr>
                <w:szCs w:val="24"/>
              </w:rPr>
              <w:t xml:space="preserve"> acid</w:t>
            </w:r>
            <w:bookmarkEnd w:id="2"/>
          </w:p>
        </w:tc>
        <w:tc>
          <w:tcPr>
            <w:tcW w:w="783" w:type="pct"/>
            <w:noWrap/>
            <w:vAlign w:val="center"/>
          </w:tcPr>
          <w:p w14:paraId="798CABEB" w14:textId="77777777" w:rsidR="00114BF9" w:rsidRPr="002027E3" w:rsidRDefault="00114BF9" w:rsidP="00237E76">
            <w:pPr>
              <w:jc w:val="center"/>
              <w:rPr>
                <w:szCs w:val="24"/>
              </w:rPr>
            </w:pPr>
            <w:proofErr w:type="spellStart"/>
            <w:r w:rsidRPr="002027E3">
              <w:rPr>
                <w:szCs w:val="24"/>
              </w:rPr>
              <w:t>PFPeA</w:t>
            </w:r>
            <w:proofErr w:type="spellEnd"/>
          </w:p>
        </w:tc>
        <w:tc>
          <w:tcPr>
            <w:tcW w:w="1618" w:type="pct"/>
            <w:vAlign w:val="center"/>
          </w:tcPr>
          <w:p w14:paraId="24AC57ED" w14:textId="77777777" w:rsidR="00114BF9" w:rsidRPr="002027E3" w:rsidRDefault="00114BF9" w:rsidP="00237E76">
            <w:pPr>
              <w:jc w:val="center"/>
              <w:rPr>
                <w:szCs w:val="24"/>
              </w:rPr>
            </w:pPr>
            <w:r w:rsidRPr="002027E3">
              <w:rPr>
                <w:szCs w:val="24"/>
              </w:rPr>
              <w:t>2706-90-3</w:t>
            </w:r>
          </w:p>
        </w:tc>
        <w:tc>
          <w:tcPr>
            <w:tcW w:w="561" w:type="pct"/>
            <w:noWrap/>
            <w:vAlign w:val="center"/>
          </w:tcPr>
          <w:p w14:paraId="02B5D4D3" w14:textId="77777777" w:rsidR="00114BF9" w:rsidRPr="002027E3" w:rsidRDefault="00114BF9" w:rsidP="00237E76">
            <w:pPr>
              <w:jc w:val="center"/>
              <w:rPr>
                <w:szCs w:val="24"/>
              </w:rPr>
            </w:pPr>
            <w:r w:rsidRPr="002027E3">
              <w:rPr>
                <w:szCs w:val="24"/>
              </w:rPr>
              <w:t>1</w:t>
            </w:r>
          </w:p>
        </w:tc>
      </w:tr>
      <w:tr w:rsidR="00114BF9" w:rsidRPr="002027E3" w14:paraId="15FDBB7D" w14:textId="77777777" w:rsidTr="00237E76">
        <w:trPr>
          <w:trHeight w:val="288"/>
        </w:trPr>
        <w:tc>
          <w:tcPr>
            <w:tcW w:w="2038" w:type="pct"/>
            <w:noWrap/>
            <w:vAlign w:val="center"/>
          </w:tcPr>
          <w:p w14:paraId="19FAD204" w14:textId="77777777" w:rsidR="00114BF9" w:rsidRPr="002027E3" w:rsidRDefault="00114BF9" w:rsidP="00237E76">
            <w:pPr>
              <w:rPr>
                <w:szCs w:val="24"/>
              </w:rPr>
            </w:pPr>
            <w:bookmarkStart w:id="3" w:name="_Hlk43995312"/>
            <w:proofErr w:type="spellStart"/>
            <w:r w:rsidRPr="002027E3">
              <w:rPr>
                <w:szCs w:val="24"/>
              </w:rPr>
              <w:t>Perflurohexanoic</w:t>
            </w:r>
            <w:proofErr w:type="spellEnd"/>
            <w:r w:rsidRPr="002027E3">
              <w:rPr>
                <w:szCs w:val="24"/>
              </w:rPr>
              <w:t xml:space="preserve"> acid</w:t>
            </w:r>
            <w:bookmarkEnd w:id="3"/>
          </w:p>
        </w:tc>
        <w:tc>
          <w:tcPr>
            <w:tcW w:w="783" w:type="pct"/>
            <w:noWrap/>
            <w:vAlign w:val="center"/>
          </w:tcPr>
          <w:p w14:paraId="4657AD8F" w14:textId="77777777" w:rsidR="00114BF9" w:rsidRPr="002027E3" w:rsidRDefault="00114BF9" w:rsidP="00237E76">
            <w:pPr>
              <w:jc w:val="center"/>
              <w:rPr>
                <w:szCs w:val="24"/>
              </w:rPr>
            </w:pPr>
            <w:proofErr w:type="spellStart"/>
            <w:r w:rsidRPr="002027E3">
              <w:rPr>
                <w:szCs w:val="24"/>
              </w:rPr>
              <w:t>PFHxA</w:t>
            </w:r>
            <w:proofErr w:type="spellEnd"/>
          </w:p>
        </w:tc>
        <w:tc>
          <w:tcPr>
            <w:tcW w:w="1618" w:type="pct"/>
            <w:vAlign w:val="center"/>
          </w:tcPr>
          <w:p w14:paraId="2CAA1314" w14:textId="77777777" w:rsidR="00114BF9" w:rsidRPr="002027E3" w:rsidRDefault="00114BF9" w:rsidP="00237E76">
            <w:pPr>
              <w:jc w:val="center"/>
              <w:rPr>
                <w:szCs w:val="24"/>
              </w:rPr>
            </w:pPr>
            <w:r w:rsidRPr="002027E3">
              <w:rPr>
                <w:szCs w:val="24"/>
              </w:rPr>
              <w:t>307-24-4</w:t>
            </w:r>
          </w:p>
        </w:tc>
        <w:tc>
          <w:tcPr>
            <w:tcW w:w="561" w:type="pct"/>
            <w:noWrap/>
            <w:vAlign w:val="center"/>
          </w:tcPr>
          <w:p w14:paraId="13AAAEB9" w14:textId="77777777" w:rsidR="00114BF9" w:rsidRPr="002027E3" w:rsidRDefault="00114BF9" w:rsidP="00237E76">
            <w:pPr>
              <w:jc w:val="center"/>
              <w:rPr>
                <w:szCs w:val="24"/>
              </w:rPr>
            </w:pPr>
            <w:r w:rsidRPr="002027E3">
              <w:rPr>
                <w:szCs w:val="24"/>
              </w:rPr>
              <w:t>1</w:t>
            </w:r>
          </w:p>
        </w:tc>
      </w:tr>
      <w:tr w:rsidR="00114BF9" w:rsidRPr="002027E3" w14:paraId="1ACE9733" w14:textId="77777777" w:rsidTr="00237E76">
        <w:trPr>
          <w:trHeight w:val="288"/>
        </w:trPr>
        <w:tc>
          <w:tcPr>
            <w:tcW w:w="2038" w:type="pct"/>
            <w:noWrap/>
            <w:vAlign w:val="center"/>
          </w:tcPr>
          <w:p w14:paraId="420E5A70" w14:textId="77777777" w:rsidR="00114BF9" w:rsidRPr="002027E3" w:rsidRDefault="00114BF9" w:rsidP="00237E76">
            <w:pPr>
              <w:rPr>
                <w:szCs w:val="24"/>
              </w:rPr>
            </w:pPr>
            <w:proofErr w:type="spellStart"/>
            <w:r w:rsidRPr="002027E3">
              <w:rPr>
                <w:szCs w:val="24"/>
              </w:rPr>
              <w:t>Perfluorohexane</w:t>
            </w:r>
            <w:proofErr w:type="spellEnd"/>
            <w:r w:rsidRPr="002027E3">
              <w:rPr>
                <w:szCs w:val="24"/>
              </w:rPr>
              <w:t xml:space="preserve"> sulfonate</w:t>
            </w:r>
          </w:p>
        </w:tc>
        <w:tc>
          <w:tcPr>
            <w:tcW w:w="783" w:type="pct"/>
            <w:noWrap/>
            <w:vAlign w:val="center"/>
          </w:tcPr>
          <w:p w14:paraId="3BB06516" w14:textId="77777777" w:rsidR="00114BF9" w:rsidRPr="002027E3" w:rsidRDefault="00114BF9" w:rsidP="00237E76">
            <w:pPr>
              <w:jc w:val="center"/>
              <w:rPr>
                <w:szCs w:val="24"/>
              </w:rPr>
            </w:pPr>
            <w:proofErr w:type="spellStart"/>
            <w:r w:rsidRPr="002027E3">
              <w:rPr>
                <w:szCs w:val="24"/>
              </w:rPr>
              <w:t>PFHxS</w:t>
            </w:r>
            <w:proofErr w:type="spellEnd"/>
          </w:p>
        </w:tc>
        <w:tc>
          <w:tcPr>
            <w:tcW w:w="1618" w:type="pct"/>
            <w:vAlign w:val="center"/>
          </w:tcPr>
          <w:p w14:paraId="7922D421" w14:textId="77777777" w:rsidR="00114BF9" w:rsidRPr="002027E3" w:rsidRDefault="00114BF9" w:rsidP="00237E76">
            <w:pPr>
              <w:jc w:val="center"/>
              <w:rPr>
                <w:szCs w:val="24"/>
              </w:rPr>
            </w:pPr>
            <w:r w:rsidRPr="002027E3">
              <w:rPr>
                <w:szCs w:val="24"/>
              </w:rPr>
              <w:t>355-46-4</w:t>
            </w:r>
          </w:p>
        </w:tc>
        <w:tc>
          <w:tcPr>
            <w:tcW w:w="561" w:type="pct"/>
            <w:noWrap/>
            <w:vAlign w:val="center"/>
          </w:tcPr>
          <w:p w14:paraId="4830FFB5" w14:textId="77777777" w:rsidR="00114BF9" w:rsidRPr="002027E3" w:rsidRDefault="00114BF9" w:rsidP="00237E76">
            <w:pPr>
              <w:jc w:val="center"/>
              <w:rPr>
                <w:szCs w:val="24"/>
              </w:rPr>
            </w:pPr>
            <w:r w:rsidRPr="002027E3">
              <w:rPr>
                <w:szCs w:val="24"/>
              </w:rPr>
              <w:t>1</w:t>
            </w:r>
          </w:p>
        </w:tc>
      </w:tr>
      <w:tr w:rsidR="00114BF9" w:rsidRPr="002027E3" w14:paraId="17A234C2" w14:textId="77777777" w:rsidTr="00237E76">
        <w:trPr>
          <w:trHeight w:val="288"/>
        </w:trPr>
        <w:tc>
          <w:tcPr>
            <w:tcW w:w="2038" w:type="pct"/>
            <w:noWrap/>
            <w:vAlign w:val="center"/>
          </w:tcPr>
          <w:p w14:paraId="028B4E35" w14:textId="77777777" w:rsidR="00114BF9" w:rsidRPr="002027E3" w:rsidRDefault="00114BF9" w:rsidP="00237E76">
            <w:pPr>
              <w:rPr>
                <w:szCs w:val="24"/>
              </w:rPr>
            </w:pPr>
            <w:proofErr w:type="spellStart"/>
            <w:r w:rsidRPr="002027E3">
              <w:rPr>
                <w:szCs w:val="24"/>
              </w:rPr>
              <w:t>Perfluoroheptanoic</w:t>
            </w:r>
            <w:proofErr w:type="spellEnd"/>
            <w:r w:rsidRPr="002027E3">
              <w:rPr>
                <w:szCs w:val="24"/>
              </w:rPr>
              <w:t xml:space="preserve"> acid</w:t>
            </w:r>
          </w:p>
        </w:tc>
        <w:tc>
          <w:tcPr>
            <w:tcW w:w="783" w:type="pct"/>
            <w:noWrap/>
            <w:vAlign w:val="center"/>
          </w:tcPr>
          <w:p w14:paraId="3543F017" w14:textId="77777777" w:rsidR="00114BF9" w:rsidRPr="002027E3" w:rsidRDefault="00114BF9" w:rsidP="00237E76">
            <w:pPr>
              <w:jc w:val="center"/>
              <w:rPr>
                <w:szCs w:val="24"/>
              </w:rPr>
            </w:pPr>
            <w:proofErr w:type="spellStart"/>
            <w:r w:rsidRPr="002027E3">
              <w:rPr>
                <w:szCs w:val="24"/>
              </w:rPr>
              <w:t>PFHpA</w:t>
            </w:r>
            <w:proofErr w:type="spellEnd"/>
          </w:p>
        </w:tc>
        <w:tc>
          <w:tcPr>
            <w:tcW w:w="1618" w:type="pct"/>
            <w:vAlign w:val="center"/>
          </w:tcPr>
          <w:p w14:paraId="0A5E7BFA" w14:textId="77777777" w:rsidR="00114BF9" w:rsidRPr="002027E3" w:rsidRDefault="00114BF9" w:rsidP="00237E76">
            <w:pPr>
              <w:jc w:val="center"/>
              <w:rPr>
                <w:szCs w:val="24"/>
              </w:rPr>
            </w:pPr>
            <w:r w:rsidRPr="002027E3">
              <w:rPr>
                <w:szCs w:val="24"/>
              </w:rPr>
              <w:t>375-85-9</w:t>
            </w:r>
          </w:p>
        </w:tc>
        <w:tc>
          <w:tcPr>
            <w:tcW w:w="561" w:type="pct"/>
            <w:noWrap/>
            <w:vAlign w:val="center"/>
          </w:tcPr>
          <w:p w14:paraId="65C6D33A" w14:textId="77777777" w:rsidR="00114BF9" w:rsidRPr="002027E3" w:rsidRDefault="00114BF9" w:rsidP="00237E76">
            <w:pPr>
              <w:jc w:val="center"/>
              <w:rPr>
                <w:szCs w:val="24"/>
              </w:rPr>
            </w:pPr>
            <w:r w:rsidRPr="002027E3">
              <w:rPr>
                <w:szCs w:val="24"/>
              </w:rPr>
              <w:t>1</w:t>
            </w:r>
          </w:p>
        </w:tc>
      </w:tr>
      <w:tr w:rsidR="00114BF9" w:rsidRPr="002027E3" w14:paraId="2FB73428" w14:textId="77777777" w:rsidTr="00237E76">
        <w:trPr>
          <w:trHeight w:val="288"/>
        </w:trPr>
        <w:tc>
          <w:tcPr>
            <w:tcW w:w="2038" w:type="pct"/>
            <w:noWrap/>
            <w:vAlign w:val="center"/>
          </w:tcPr>
          <w:p w14:paraId="44CEC467" w14:textId="77777777" w:rsidR="00114BF9" w:rsidRPr="002027E3" w:rsidRDefault="00114BF9" w:rsidP="00237E76">
            <w:pPr>
              <w:rPr>
                <w:szCs w:val="24"/>
              </w:rPr>
            </w:pPr>
            <w:proofErr w:type="spellStart"/>
            <w:r w:rsidRPr="002027E3">
              <w:rPr>
                <w:szCs w:val="24"/>
              </w:rPr>
              <w:t>Perfluorooctane</w:t>
            </w:r>
            <w:proofErr w:type="spellEnd"/>
            <w:r w:rsidRPr="002027E3">
              <w:rPr>
                <w:szCs w:val="24"/>
              </w:rPr>
              <w:t xml:space="preserve"> sulfonamide</w:t>
            </w:r>
          </w:p>
        </w:tc>
        <w:tc>
          <w:tcPr>
            <w:tcW w:w="783" w:type="pct"/>
            <w:noWrap/>
            <w:vAlign w:val="center"/>
          </w:tcPr>
          <w:p w14:paraId="4B5179A9" w14:textId="2538A0EF" w:rsidR="00114BF9" w:rsidRPr="002027E3" w:rsidRDefault="00794C65" w:rsidP="00237E76">
            <w:pPr>
              <w:jc w:val="center"/>
              <w:rPr>
                <w:szCs w:val="24"/>
              </w:rPr>
            </w:pPr>
            <w:r>
              <w:rPr>
                <w:szCs w:val="24"/>
              </w:rPr>
              <w:t>P</w:t>
            </w:r>
            <w:r w:rsidR="00114BF9" w:rsidRPr="002027E3">
              <w:rPr>
                <w:szCs w:val="24"/>
              </w:rPr>
              <w:t>FOSA</w:t>
            </w:r>
          </w:p>
        </w:tc>
        <w:tc>
          <w:tcPr>
            <w:tcW w:w="1618" w:type="pct"/>
            <w:vAlign w:val="center"/>
          </w:tcPr>
          <w:p w14:paraId="0FB524DC" w14:textId="77777777" w:rsidR="00114BF9" w:rsidRPr="002027E3" w:rsidRDefault="00114BF9" w:rsidP="00237E76">
            <w:pPr>
              <w:jc w:val="center"/>
              <w:rPr>
                <w:szCs w:val="24"/>
              </w:rPr>
            </w:pPr>
            <w:r w:rsidRPr="002027E3">
              <w:rPr>
                <w:rFonts w:ascii="Arial" w:hAnsi="Arial" w:cs="Arial"/>
                <w:color w:val="222222"/>
                <w:szCs w:val="24"/>
                <w:shd w:val="clear" w:color="auto" w:fill="FFFFFF"/>
              </w:rPr>
              <w:t>754-91-6</w:t>
            </w:r>
          </w:p>
        </w:tc>
        <w:tc>
          <w:tcPr>
            <w:tcW w:w="561" w:type="pct"/>
            <w:noWrap/>
            <w:vAlign w:val="center"/>
          </w:tcPr>
          <w:p w14:paraId="3353C4F2" w14:textId="77777777" w:rsidR="00114BF9" w:rsidRPr="002027E3" w:rsidRDefault="00114BF9" w:rsidP="00237E76">
            <w:pPr>
              <w:jc w:val="center"/>
              <w:rPr>
                <w:szCs w:val="24"/>
              </w:rPr>
            </w:pPr>
            <w:r w:rsidRPr="002027E3">
              <w:rPr>
                <w:szCs w:val="24"/>
              </w:rPr>
              <w:t>0.5</w:t>
            </w:r>
          </w:p>
        </w:tc>
      </w:tr>
      <w:tr w:rsidR="00114BF9" w:rsidRPr="002027E3" w14:paraId="068124A4" w14:textId="77777777" w:rsidTr="00237E76">
        <w:trPr>
          <w:trHeight w:val="288"/>
        </w:trPr>
        <w:tc>
          <w:tcPr>
            <w:tcW w:w="2038" w:type="pct"/>
            <w:noWrap/>
            <w:vAlign w:val="center"/>
          </w:tcPr>
          <w:p w14:paraId="2258BDDF" w14:textId="77777777" w:rsidR="00114BF9" w:rsidRPr="002027E3" w:rsidRDefault="00114BF9" w:rsidP="00237E76">
            <w:pPr>
              <w:rPr>
                <w:szCs w:val="24"/>
              </w:rPr>
            </w:pPr>
            <w:r w:rsidRPr="002027E3">
              <w:rPr>
                <w:szCs w:val="24"/>
              </w:rPr>
              <w:t>Perfluorooctanoic acid</w:t>
            </w:r>
          </w:p>
        </w:tc>
        <w:tc>
          <w:tcPr>
            <w:tcW w:w="783" w:type="pct"/>
            <w:noWrap/>
            <w:vAlign w:val="center"/>
          </w:tcPr>
          <w:p w14:paraId="4178D799" w14:textId="77777777" w:rsidR="00114BF9" w:rsidRPr="002027E3" w:rsidRDefault="00114BF9" w:rsidP="00237E76">
            <w:pPr>
              <w:jc w:val="center"/>
              <w:rPr>
                <w:szCs w:val="24"/>
              </w:rPr>
            </w:pPr>
            <w:r w:rsidRPr="002027E3">
              <w:rPr>
                <w:szCs w:val="24"/>
              </w:rPr>
              <w:t>PFOA</w:t>
            </w:r>
          </w:p>
        </w:tc>
        <w:tc>
          <w:tcPr>
            <w:tcW w:w="1618" w:type="pct"/>
            <w:vAlign w:val="center"/>
          </w:tcPr>
          <w:p w14:paraId="53F3DC47" w14:textId="77777777" w:rsidR="00114BF9" w:rsidRPr="002027E3" w:rsidRDefault="00114BF9" w:rsidP="00237E76">
            <w:pPr>
              <w:jc w:val="center"/>
              <w:rPr>
                <w:szCs w:val="24"/>
              </w:rPr>
            </w:pPr>
            <w:r w:rsidRPr="002027E3">
              <w:rPr>
                <w:szCs w:val="24"/>
              </w:rPr>
              <w:t>335-67-1</w:t>
            </w:r>
          </w:p>
        </w:tc>
        <w:tc>
          <w:tcPr>
            <w:tcW w:w="561" w:type="pct"/>
            <w:noWrap/>
            <w:vAlign w:val="center"/>
          </w:tcPr>
          <w:p w14:paraId="4D566583" w14:textId="77777777" w:rsidR="00114BF9" w:rsidRPr="002027E3" w:rsidRDefault="00114BF9" w:rsidP="00237E76">
            <w:pPr>
              <w:jc w:val="center"/>
              <w:rPr>
                <w:szCs w:val="24"/>
              </w:rPr>
            </w:pPr>
            <w:r w:rsidRPr="002027E3">
              <w:rPr>
                <w:szCs w:val="24"/>
              </w:rPr>
              <w:t>0.5</w:t>
            </w:r>
          </w:p>
        </w:tc>
      </w:tr>
      <w:tr w:rsidR="00114BF9" w:rsidRPr="002027E3" w14:paraId="76CBB091" w14:textId="77777777" w:rsidTr="00237E76">
        <w:trPr>
          <w:trHeight w:val="288"/>
        </w:trPr>
        <w:tc>
          <w:tcPr>
            <w:tcW w:w="2038" w:type="pct"/>
            <w:noWrap/>
            <w:vAlign w:val="center"/>
          </w:tcPr>
          <w:p w14:paraId="23675716" w14:textId="77777777" w:rsidR="00114BF9" w:rsidRPr="002027E3" w:rsidRDefault="00114BF9" w:rsidP="00237E76">
            <w:pPr>
              <w:rPr>
                <w:szCs w:val="24"/>
              </w:rPr>
            </w:pPr>
            <w:proofErr w:type="spellStart"/>
            <w:r w:rsidRPr="002027E3">
              <w:rPr>
                <w:szCs w:val="24"/>
              </w:rPr>
              <w:t>Perfluorooctane</w:t>
            </w:r>
            <w:proofErr w:type="spellEnd"/>
            <w:r w:rsidRPr="002027E3">
              <w:rPr>
                <w:szCs w:val="24"/>
              </w:rPr>
              <w:t xml:space="preserve"> sulfonate</w:t>
            </w:r>
          </w:p>
        </w:tc>
        <w:tc>
          <w:tcPr>
            <w:tcW w:w="783" w:type="pct"/>
            <w:noWrap/>
            <w:vAlign w:val="center"/>
          </w:tcPr>
          <w:p w14:paraId="4E84A09D" w14:textId="77777777" w:rsidR="00114BF9" w:rsidRPr="002027E3" w:rsidRDefault="00114BF9" w:rsidP="00237E76">
            <w:pPr>
              <w:jc w:val="center"/>
              <w:rPr>
                <w:szCs w:val="24"/>
              </w:rPr>
            </w:pPr>
            <w:r w:rsidRPr="002027E3">
              <w:rPr>
                <w:szCs w:val="24"/>
              </w:rPr>
              <w:t>PFOS</w:t>
            </w:r>
          </w:p>
        </w:tc>
        <w:tc>
          <w:tcPr>
            <w:tcW w:w="1618" w:type="pct"/>
            <w:vAlign w:val="center"/>
          </w:tcPr>
          <w:p w14:paraId="511274A9" w14:textId="77777777" w:rsidR="00114BF9" w:rsidRPr="002027E3" w:rsidRDefault="00114BF9" w:rsidP="00237E76">
            <w:pPr>
              <w:jc w:val="center"/>
              <w:rPr>
                <w:szCs w:val="24"/>
              </w:rPr>
            </w:pPr>
            <w:r w:rsidRPr="002027E3">
              <w:rPr>
                <w:szCs w:val="24"/>
              </w:rPr>
              <w:t>1763-23-1</w:t>
            </w:r>
          </w:p>
        </w:tc>
        <w:tc>
          <w:tcPr>
            <w:tcW w:w="561" w:type="pct"/>
            <w:noWrap/>
            <w:vAlign w:val="center"/>
          </w:tcPr>
          <w:p w14:paraId="4C125820" w14:textId="77777777" w:rsidR="00114BF9" w:rsidRPr="002027E3" w:rsidRDefault="00114BF9" w:rsidP="00237E76">
            <w:pPr>
              <w:jc w:val="center"/>
              <w:rPr>
                <w:szCs w:val="24"/>
              </w:rPr>
            </w:pPr>
            <w:r w:rsidRPr="002027E3">
              <w:rPr>
                <w:szCs w:val="24"/>
              </w:rPr>
              <w:t>0.5</w:t>
            </w:r>
          </w:p>
        </w:tc>
      </w:tr>
      <w:tr w:rsidR="00114BF9" w:rsidRPr="002027E3" w14:paraId="2CD17F69" w14:textId="77777777" w:rsidTr="00237E76">
        <w:trPr>
          <w:trHeight w:val="288"/>
        </w:trPr>
        <w:tc>
          <w:tcPr>
            <w:tcW w:w="2038" w:type="pct"/>
            <w:noWrap/>
            <w:vAlign w:val="center"/>
          </w:tcPr>
          <w:p w14:paraId="7F41AEEC" w14:textId="77777777" w:rsidR="00114BF9" w:rsidRPr="002027E3" w:rsidRDefault="00114BF9" w:rsidP="00237E76">
            <w:pPr>
              <w:rPr>
                <w:szCs w:val="24"/>
              </w:rPr>
            </w:pPr>
            <w:proofErr w:type="spellStart"/>
            <w:r w:rsidRPr="002027E3">
              <w:rPr>
                <w:szCs w:val="24"/>
              </w:rPr>
              <w:t>Perfluorononanoic</w:t>
            </w:r>
            <w:proofErr w:type="spellEnd"/>
            <w:r w:rsidRPr="002027E3">
              <w:rPr>
                <w:szCs w:val="24"/>
              </w:rPr>
              <w:t xml:space="preserve"> acid</w:t>
            </w:r>
          </w:p>
        </w:tc>
        <w:tc>
          <w:tcPr>
            <w:tcW w:w="783" w:type="pct"/>
            <w:noWrap/>
            <w:vAlign w:val="center"/>
          </w:tcPr>
          <w:p w14:paraId="15E08481" w14:textId="77777777" w:rsidR="00114BF9" w:rsidRPr="002027E3" w:rsidRDefault="00114BF9" w:rsidP="00237E76">
            <w:pPr>
              <w:jc w:val="center"/>
              <w:rPr>
                <w:szCs w:val="24"/>
              </w:rPr>
            </w:pPr>
            <w:r w:rsidRPr="002027E3">
              <w:rPr>
                <w:szCs w:val="24"/>
              </w:rPr>
              <w:t>PFNA</w:t>
            </w:r>
          </w:p>
        </w:tc>
        <w:tc>
          <w:tcPr>
            <w:tcW w:w="1618" w:type="pct"/>
            <w:vAlign w:val="center"/>
          </w:tcPr>
          <w:p w14:paraId="61480A93" w14:textId="77777777" w:rsidR="00114BF9" w:rsidRPr="002027E3" w:rsidRDefault="00114BF9" w:rsidP="00237E76">
            <w:pPr>
              <w:jc w:val="center"/>
              <w:rPr>
                <w:szCs w:val="24"/>
              </w:rPr>
            </w:pPr>
            <w:r w:rsidRPr="002027E3">
              <w:rPr>
                <w:szCs w:val="24"/>
              </w:rPr>
              <w:t>375-95-1</w:t>
            </w:r>
          </w:p>
        </w:tc>
        <w:tc>
          <w:tcPr>
            <w:tcW w:w="561" w:type="pct"/>
            <w:noWrap/>
            <w:vAlign w:val="center"/>
          </w:tcPr>
          <w:p w14:paraId="23CA8EB5" w14:textId="77777777" w:rsidR="00114BF9" w:rsidRPr="002027E3" w:rsidRDefault="00114BF9" w:rsidP="00237E76">
            <w:pPr>
              <w:jc w:val="center"/>
              <w:rPr>
                <w:szCs w:val="24"/>
              </w:rPr>
            </w:pPr>
            <w:r w:rsidRPr="002027E3">
              <w:rPr>
                <w:szCs w:val="24"/>
              </w:rPr>
              <w:t>0.5</w:t>
            </w:r>
          </w:p>
        </w:tc>
      </w:tr>
      <w:tr w:rsidR="00114BF9" w:rsidRPr="002027E3" w14:paraId="4A1F7AD3" w14:textId="77777777" w:rsidTr="00237E76">
        <w:trPr>
          <w:trHeight w:val="288"/>
        </w:trPr>
        <w:tc>
          <w:tcPr>
            <w:tcW w:w="2038" w:type="pct"/>
            <w:noWrap/>
            <w:vAlign w:val="center"/>
          </w:tcPr>
          <w:p w14:paraId="7C11A7D2" w14:textId="77777777" w:rsidR="00114BF9" w:rsidRPr="002027E3" w:rsidRDefault="00114BF9" w:rsidP="00237E76">
            <w:pPr>
              <w:rPr>
                <w:szCs w:val="24"/>
              </w:rPr>
            </w:pPr>
            <w:proofErr w:type="spellStart"/>
            <w:r w:rsidRPr="002027E3">
              <w:rPr>
                <w:szCs w:val="24"/>
              </w:rPr>
              <w:t>Perfluorodecanoic</w:t>
            </w:r>
            <w:proofErr w:type="spellEnd"/>
            <w:r w:rsidRPr="002027E3">
              <w:rPr>
                <w:szCs w:val="24"/>
              </w:rPr>
              <w:t xml:space="preserve"> acid</w:t>
            </w:r>
          </w:p>
        </w:tc>
        <w:tc>
          <w:tcPr>
            <w:tcW w:w="783" w:type="pct"/>
            <w:noWrap/>
            <w:vAlign w:val="center"/>
          </w:tcPr>
          <w:p w14:paraId="4C602AD5" w14:textId="77777777" w:rsidR="00114BF9" w:rsidRPr="002027E3" w:rsidRDefault="00114BF9" w:rsidP="00237E76">
            <w:pPr>
              <w:jc w:val="center"/>
              <w:rPr>
                <w:szCs w:val="24"/>
              </w:rPr>
            </w:pPr>
            <w:r w:rsidRPr="002027E3">
              <w:rPr>
                <w:szCs w:val="24"/>
              </w:rPr>
              <w:t>PFDA</w:t>
            </w:r>
          </w:p>
        </w:tc>
        <w:tc>
          <w:tcPr>
            <w:tcW w:w="1618" w:type="pct"/>
            <w:vAlign w:val="center"/>
          </w:tcPr>
          <w:p w14:paraId="20581DD9" w14:textId="77777777" w:rsidR="00114BF9" w:rsidRPr="002027E3" w:rsidRDefault="00114BF9" w:rsidP="00237E76">
            <w:pPr>
              <w:jc w:val="center"/>
              <w:rPr>
                <w:szCs w:val="24"/>
              </w:rPr>
            </w:pPr>
            <w:r w:rsidRPr="002027E3">
              <w:rPr>
                <w:szCs w:val="24"/>
              </w:rPr>
              <w:t>335-76-2</w:t>
            </w:r>
          </w:p>
        </w:tc>
        <w:tc>
          <w:tcPr>
            <w:tcW w:w="561" w:type="pct"/>
            <w:noWrap/>
            <w:vAlign w:val="center"/>
          </w:tcPr>
          <w:p w14:paraId="6F7DD9F5" w14:textId="77777777" w:rsidR="00114BF9" w:rsidRPr="002027E3" w:rsidRDefault="00114BF9" w:rsidP="00237E76">
            <w:pPr>
              <w:jc w:val="center"/>
              <w:rPr>
                <w:szCs w:val="24"/>
              </w:rPr>
            </w:pPr>
            <w:r w:rsidRPr="002027E3">
              <w:rPr>
                <w:szCs w:val="24"/>
              </w:rPr>
              <w:t>0.5</w:t>
            </w:r>
          </w:p>
        </w:tc>
      </w:tr>
      <w:tr w:rsidR="00114BF9" w:rsidRPr="002027E3" w14:paraId="5281E325" w14:textId="77777777" w:rsidTr="00237E76">
        <w:trPr>
          <w:trHeight w:val="288"/>
        </w:trPr>
        <w:tc>
          <w:tcPr>
            <w:tcW w:w="2038" w:type="pct"/>
            <w:noWrap/>
            <w:vAlign w:val="center"/>
          </w:tcPr>
          <w:p w14:paraId="34B7BD01" w14:textId="77777777" w:rsidR="00114BF9" w:rsidRPr="002027E3" w:rsidRDefault="00114BF9" w:rsidP="00237E76">
            <w:pPr>
              <w:rPr>
                <w:szCs w:val="24"/>
              </w:rPr>
            </w:pPr>
            <w:proofErr w:type="spellStart"/>
            <w:r w:rsidRPr="002027E3">
              <w:rPr>
                <w:szCs w:val="24"/>
              </w:rPr>
              <w:t>Perfluorodecane</w:t>
            </w:r>
            <w:proofErr w:type="spellEnd"/>
            <w:r w:rsidRPr="002027E3">
              <w:rPr>
                <w:szCs w:val="24"/>
              </w:rPr>
              <w:t xml:space="preserve"> sulfonate</w:t>
            </w:r>
          </w:p>
        </w:tc>
        <w:tc>
          <w:tcPr>
            <w:tcW w:w="783" w:type="pct"/>
            <w:noWrap/>
            <w:vAlign w:val="center"/>
          </w:tcPr>
          <w:p w14:paraId="07DAACBA" w14:textId="77777777" w:rsidR="00114BF9" w:rsidRPr="002027E3" w:rsidRDefault="00114BF9" w:rsidP="00237E76">
            <w:pPr>
              <w:jc w:val="center"/>
              <w:rPr>
                <w:szCs w:val="24"/>
              </w:rPr>
            </w:pPr>
            <w:r w:rsidRPr="002027E3">
              <w:rPr>
                <w:szCs w:val="24"/>
              </w:rPr>
              <w:t>PFDS</w:t>
            </w:r>
          </w:p>
        </w:tc>
        <w:tc>
          <w:tcPr>
            <w:tcW w:w="1618" w:type="pct"/>
            <w:vAlign w:val="center"/>
          </w:tcPr>
          <w:p w14:paraId="6B211B7B" w14:textId="77777777" w:rsidR="00114BF9" w:rsidRPr="002027E3" w:rsidRDefault="00114BF9" w:rsidP="00237E76">
            <w:pPr>
              <w:jc w:val="center"/>
              <w:rPr>
                <w:szCs w:val="24"/>
              </w:rPr>
            </w:pPr>
            <w:r w:rsidRPr="002027E3">
              <w:rPr>
                <w:szCs w:val="24"/>
              </w:rPr>
              <w:t>335-77-3</w:t>
            </w:r>
          </w:p>
        </w:tc>
        <w:tc>
          <w:tcPr>
            <w:tcW w:w="561" w:type="pct"/>
            <w:noWrap/>
            <w:vAlign w:val="center"/>
          </w:tcPr>
          <w:p w14:paraId="70283B8F" w14:textId="77777777" w:rsidR="00114BF9" w:rsidRPr="002027E3" w:rsidRDefault="00114BF9" w:rsidP="00237E76">
            <w:pPr>
              <w:jc w:val="center"/>
              <w:rPr>
                <w:szCs w:val="24"/>
              </w:rPr>
            </w:pPr>
            <w:r w:rsidRPr="002027E3">
              <w:rPr>
                <w:szCs w:val="24"/>
              </w:rPr>
              <w:t>1</w:t>
            </w:r>
          </w:p>
        </w:tc>
      </w:tr>
      <w:tr w:rsidR="00114BF9" w:rsidRPr="002027E3" w14:paraId="7C1615FE" w14:textId="77777777" w:rsidTr="00237E76">
        <w:trPr>
          <w:trHeight w:val="288"/>
        </w:trPr>
        <w:tc>
          <w:tcPr>
            <w:tcW w:w="2038" w:type="pct"/>
            <w:noWrap/>
            <w:vAlign w:val="center"/>
          </w:tcPr>
          <w:p w14:paraId="5BF3E891" w14:textId="77777777" w:rsidR="00114BF9" w:rsidRPr="002027E3" w:rsidRDefault="00114BF9" w:rsidP="00237E76">
            <w:pPr>
              <w:rPr>
                <w:szCs w:val="24"/>
              </w:rPr>
            </w:pPr>
            <w:proofErr w:type="spellStart"/>
            <w:r w:rsidRPr="002027E3">
              <w:rPr>
                <w:szCs w:val="24"/>
              </w:rPr>
              <w:t>Perfluoroundecanoic</w:t>
            </w:r>
            <w:proofErr w:type="spellEnd"/>
            <w:r w:rsidRPr="002027E3">
              <w:rPr>
                <w:szCs w:val="24"/>
              </w:rPr>
              <w:t xml:space="preserve"> acid</w:t>
            </w:r>
          </w:p>
        </w:tc>
        <w:tc>
          <w:tcPr>
            <w:tcW w:w="783" w:type="pct"/>
            <w:noWrap/>
            <w:vAlign w:val="center"/>
          </w:tcPr>
          <w:p w14:paraId="372DF29F" w14:textId="77777777" w:rsidR="00114BF9" w:rsidRPr="002027E3" w:rsidRDefault="00114BF9" w:rsidP="00237E76">
            <w:pPr>
              <w:jc w:val="center"/>
              <w:rPr>
                <w:szCs w:val="24"/>
              </w:rPr>
            </w:pPr>
            <w:proofErr w:type="spellStart"/>
            <w:r w:rsidRPr="002027E3">
              <w:rPr>
                <w:szCs w:val="24"/>
              </w:rPr>
              <w:t>PFUnDA</w:t>
            </w:r>
            <w:proofErr w:type="spellEnd"/>
          </w:p>
        </w:tc>
        <w:tc>
          <w:tcPr>
            <w:tcW w:w="1618" w:type="pct"/>
            <w:vAlign w:val="center"/>
          </w:tcPr>
          <w:p w14:paraId="78C17F78" w14:textId="77777777" w:rsidR="00114BF9" w:rsidRPr="002027E3" w:rsidRDefault="00114BF9" w:rsidP="00237E76">
            <w:pPr>
              <w:jc w:val="center"/>
              <w:rPr>
                <w:szCs w:val="24"/>
              </w:rPr>
            </w:pPr>
            <w:r w:rsidRPr="002027E3">
              <w:rPr>
                <w:szCs w:val="24"/>
              </w:rPr>
              <w:t>2058-94-8</w:t>
            </w:r>
          </w:p>
        </w:tc>
        <w:tc>
          <w:tcPr>
            <w:tcW w:w="561" w:type="pct"/>
            <w:noWrap/>
            <w:vAlign w:val="center"/>
          </w:tcPr>
          <w:p w14:paraId="32442A43" w14:textId="77777777" w:rsidR="00114BF9" w:rsidRPr="002027E3" w:rsidRDefault="00114BF9" w:rsidP="00237E76">
            <w:pPr>
              <w:jc w:val="center"/>
              <w:rPr>
                <w:szCs w:val="24"/>
              </w:rPr>
            </w:pPr>
            <w:r w:rsidRPr="002027E3">
              <w:rPr>
                <w:szCs w:val="24"/>
              </w:rPr>
              <w:t>1</w:t>
            </w:r>
          </w:p>
        </w:tc>
      </w:tr>
      <w:tr w:rsidR="00114BF9" w:rsidRPr="002027E3" w14:paraId="01C48BF8" w14:textId="77777777" w:rsidTr="00237E76">
        <w:trPr>
          <w:trHeight w:val="288"/>
        </w:trPr>
        <w:tc>
          <w:tcPr>
            <w:tcW w:w="2038" w:type="pct"/>
            <w:noWrap/>
            <w:vAlign w:val="center"/>
          </w:tcPr>
          <w:p w14:paraId="7656A050" w14:textId="77777777" w:rsidR="00114BF9" w:rsidRPr="002027E3" w:rsidRDefault="00114BF9" w:rsidP="00237E76">
            <w:pPr>
              <w:rPr>
                <w:szCs w:val="24"/>
              </w:rPr>
            </w:pPr>
            <w:proofErr w:type="spellStart"/>
            <w:r w:rsidRPr="002027E3">
              <w:rPr>
                <w:szCs w:val="24"/>
              </w:rPr>
              <w:t>Perfluorododecanoic</w:t>
            </w:r>
            <w:proofErr w:type="spellEnd"/>
            <w:r w:rsidRPr="002027E3">
              <w:rPr>
                <w:szCs w:val="24"/>
              </w:rPr>
              <w:t xml:space="preserve"> acid</w:t>
            </w:r>
          </w:p>
        </w:tc>
        <w:tc>
          <w:tcPr>
            <w:tcW w:w="783" w:type="pct"/>
            <w:noWrap/>
            <w:vAlign w:val="center"/>
          </w:tcPr>
          <w:p w14:paraId="745124C1" w14:textId="77777777" w:rsidR="00114BF9" w:rsidRPr="002027E3" w:rsidRDefault="00114BF9" w:rsidP="00237E76">
            <w:pPr>
              <w:jc w:val="center"/>
              <w:rPr>
                <w:szCs w:val="24"/>
              </w:rPr>
            </w:pPr>
            <w:proofErr w:type="spellStart"/>
            <w:r w:rsidRPr="002027E3">
              <w:rPr>
                <w:szCs w:val="24"/>
              </w:rPr>
              <w:t>PFDoDA</w:t>
            </w:r>
            <w:proofErr w:type="spellEnd"/>
          </w:p>
        </w:tc>
        <w:tc>
          <w:tcPr>
            <w:tcW w:w="1618" w:type="pct"/>
            <w:vAlign w:val="center"/>
          </w:tcPr>
          <w:p w14:paraId="67FBFE84" w14:textId="77777777" w:rsidR="00114BF9" w:rsidRPr="002027E3" w:rsidRDefault="00114BF9" w:rsidP="00237E76">
            <w:pPr>
              <w:jc w:val="center"/>
              <w:rPr>
                <w:szCs w:val="24"/>
              </w:rPr>
            </w:pPr>
            <w:r w:rsidRPr="002027E3">
              <w:rPr>
                <w:szCs w:val="24"/>
              </w:rPr>
              <w:t>307-55-1</w:t>
            </w:r>
          </w:p>
        </w:tc>
        <w:tc>
          <w:tcPr>
            <w:tcW w:w="561" w:type="pct"/>
            <w:noWrap/>
            <w:vAlign w:val="center"/>
          </w:tcPr>
          <w:p w14:paraId="495FF847" w14:textId="77777777" w:rsidR="00114BF9" w:rsidRPr="002027E3" w:rsidRDefault="00114BF9" w:rsidP="00237E76">
            <w:pPr>
              <w:jc w:val="center"/>
              <w:rPr>
                <w:szCs w:val="24"/>
              </w:rPr>
            </w:pPr>
            <w:r w:rsidRPr="002027E3">
              <w:rPr>
                <w:szCs w:val="24"/>
              </w:rPr>
              <w:t>1</w:t>
            </w:r>
          </w:p>
        </w:tc>
      </w:tr>
    </w:tbl>
    <w:p w14:paraId="6C3A6A34" w14:textId="77777777" w:rsidR="00114BF9" w:rsidRPr="002027E3" w:rsidRDefault="00114BF9" w:rsidP="00114BF9"/>
    <w:p w14:paraId="1809472E" w14:textId="77777777" w:rsidR="00997DD8" w:rsidRDefault="00CE6A5A" w:rsidP="00F61F85"/>
    <w:p w14:paraId="36FC64B0" w14:textId="77777777" w:rsidR="00D85C9B" w:rsidRPr="00D85C9B" w:rsidRDefault="00D85C9B" w:rsidP="00F61F85">
      <w:r>
        <w:rPr>
          <w:noProof/>
          <w:lang w:val="en-US"/>
        </w:rPr>
        <w:t xml:space="preserve">Figure S1: </w:t>
      </w:r>
      <w:r>
        <w:t>Concentrations of Per- and Polyfluoroalkyl Substances (PFAS) monitored at three (3) Circuit Board Manufacturing Sites (8, 9 and 10) in nanogram per litre (ng/L).</w:t>
      </w:r>
    </w:p>
    <w:p w14:paraId="0BAF7787" w14:textId="77777777" w:rsidR="00D85C9B" w:rsidRDefault="00D85C9B" w:rsidP="00F61F85">
      <w:pPr>
        <w:rPr>
          <w:noProof/>
          <w:lang w:val="en-US"/>
        </w:rPr>
      </w:pPr>
    </w:p>
    <w:p w14:paraId="6589235F" w14:textId="49363B9D" w:rsidR="00114BF9" w:rsidRPr="00F85186" w:rsidRDefault="00B52050" w:rsidP="00F61F85">
      <w:r>
        <w:rPr>
          <w:noProof/>
        </w:rPr>
        <w:drawing>
          <wp:inline distT="0" distB="0" distL="0" distR="0" wp14:anchorId="4099D4E5" wp14:editId="02D38D11">
            <wp:extent cx="5943600" cy="4222750"/>
            <wp:effectExtent l="0" t="0" r="0" b="6350"/>
            <wp:docPr id="1" name="Chart 1">
              <a:extLst xmlns:a="http://schemas.openxmlformats.org/drawingml/2006/main">
                <a:ext uri="{FF2B5EF4-FFF2-40B4-BE49-F238E27FC236}">
                  <a16:creationId xmlns:a16="http://schemas.microsoft.com/office/drawing/2014/main" id="{0715F822-99C8-4987-A137-E1CD02107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sectPr w:rsidR="00114BF9" w:rsidRPr="00F8518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7BE3" w14:textId="77777777" w:rsidR="00CE6A5A" w:rsidRDefault="00CE6A5A" w:rsidP="00F72078">
      <w:pPr>
        <w:spacing w:after="0" w:line="240" w:lineRule="auto"/>
      </w:pPr>
      <w:r>
        <w:separator/>
      </w:r>
    </w:p>
  </w:endnote>
  <w:endnote w:type="continuationSeparator" w:id="0">
    <w:p w14:paraId="77E07999" w14:textId="77777777" w:rsidR="00CE6A5A" w:rsidRDefault="00CE6A5A" w:rsidP="00F72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BF4D" w14:textId="77777777" w:rsidR="00F72078" w:rsidRDefault="00F72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36EF" w14:textId="77777777" w:rsidR="00F72078" w:rsidRDefault="00F72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CBE0"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E6645" w14:textId="77777777" w:rsidR="00CE6A5A" w:rsidRDefault="00CE6A5A" w:rsidP="00F72078">
      <w:pPr>
        <w:spacing w:after="0" w:line="240" w:lineRule="auto"/>
      </w:pPr>
      <w:r>
        <w:separator/>
      </w:r>
    </w:p>
  </w:footnote>
  <w:footnote w:type="continuationSeparator" w:id="0">
    <w:p w14:paraId="2EF4EF77" w14:textId="77777777" w:rsidR="00CE6A5A" w:rsidRDefault="00CE6A5A" w:rsidP="00F72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5DD4" w14:textId="77777777" w:rsidR="00F72078" w:rsidRDefault="00F72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C8AF" w14:textId="77777777" w:rsidR="00F72078" w:rsidRDefault="00F720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CD7E" w14:textId="77777777" w:rsidR="00F72078" w:rsidRDefault="00F720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F9"/>
    <w:rsid w:val="00037A2A"/>
    <w:rsid w:val="00055025"/>
    <w:rsid w:val="00073768"/>
    <w:rsid w:val="000A0119"/>
    <w:rsid w:val="000D338C"/>
    <w:rsid w:val="000E1B45"/>
    <w:rsid w:val="00102C7A"/>
    <w:rsid w:val="00114BF9"/>
    <w:rsid w:val="001159BF"/>
    <w:rsid w:val="001C37B4"/>
    <w:rsid w:val="001E1A83"/>
    <w:rsid w:val="001F129E"/>
    <w:rsid w:val="0020344F"/>
    <w:rsid w:val="002114FF"/>
    <w:rsid w:val="00225BE4"/>
    <w:rsid w:val="00237DBC"/>
    <w:rsid w:val="002E682E"/>
    <w:rsid w:val="002E6FF6"/>
    <w:rsid w:val="002F2397"/>
    <w:rsid w:val="00317F1F"/>
    <w:rsid w:val="0036413B"/>
    <w:rsid w:val="00370161"/>
    <w:rsid w:val="00372B6B"/>
    <w:rsid w:val="00404C1A"/>
    <w:rsid w:val="00445C7D"/>
    <w:rsid w:val="00461941"/>
    <w:rsid w:val="00481E4F"/>
    <w:rsid w:val="00487378"/>
    <w:rsid w:val="004A2238"/>
    <w:rsid w:val="004A392D"/>
    <w:rsid w:val="004B347D"/>
    <w:rsid w:val="004B69F7"/>
    <w:rsid w:val="004C4A0E"/>
    <w:rsid w:val="004F1B03"/>
    <w:rsid w:val="004F20C3"/>
    <w:rsid w:val="005049A6"/>
    <w:rsid w:val="0057735C"/>
    <w:rsid w:val="00595AF6"/>
    <w:rsid w:val="005B3DA0"/>
    <w:rsid w:val="00624818"/>
    <w:rsid w:val="00624B02"/>
    <w:rsid w:val="00695E04"/>
    <w:rsid w:val="006C7751"/>
    <w:rsid w:val="006D72AA"/>
    <w:rsid w:val="006E6908"/>
    <w:rsid w:val="007127FF"/>
    <w:rsid w:val="00737EBE"/>
    <w:rsid w:val="00767151"/>
    <w:rsid w:val="007707B1"/>
    <w:rsid w:val="00787ABE"/>
    <w:rsid w:val="00793E56"/>
    <w:rsid w:val="00794C32"/>
    <w:rsid w:val="00794C65"/>
    <w:rsid w:val="007B32FE"/>
    <w:rsid w:val="007D094C"/>
    <w:rsid w:val="007D6DDD"/>
    <w:rsid w:val="007E237C"/>
    <w:rsid w:val="007E2B48"/>
    <w:rsid w:val="007E2EFF"/>
    <w:rsid w:val="00827BE5"/>
    <w:rsid w:val="008607AE"/>
    <w:rsid w:val="0087556E"/>
    <w:rsid w:val="008F085C"/>
    <w:rsid w:val="00923076"/>
    <w:rsid w:val="0095737E"/>
    <w:rsid w:val="0098099F"/>
    <w:rsid w:val="009B1D63"/>
    <w:rsid w:val="009B2AB8"/>
    <w:rsid w:val="009B65DE"/>
    <w:rsid w:val="009D2494"/>
    <w:rsid w:val="00A4736E"/>
    <w:rsid w:val="00A85676"/>
    <w:rsid w:val="00A963FC"/>
    <w:rsid w:val="00AD71CE"/>
    <w:rsid w:val="00AF60F9"/>
    <w:rsid w:val="00B52050"/>
    <w:rsid w:val="00B52F5C"/>
    <w:rsid w:val="00B75CB2"/>
    <w:rsid w:val="00B93223"/>
    <w:rsid w:val="00B9393F"/>
    <w:rsid w:val="00BE33F8"/>
    <w:rsid w:val="00C029AC"/>
    <w:rsid w:val="00C167F9"/>
    <w:rsid w:val="00C4218B"/>
    <w:rsid w:val="00C442F5"/>
    <w:rsid w:val="00C7073A"/>
    <w:rsid w:val="00C93AB7"/>
    <w:rsid w:val="00CB79CB"/>
    <w:rsid w:val="00CC034D"/>
    <w:rsid w:val="00CC12FA"/>
    <w:rsid w:val="00CE6A5A"/>
    <w:rsid w:val="00D626BB"/>
    <w:rsid w:val="00D83F89"/>
    <w:rsid w:val="00D85C9B"/>
    <w:rsid w:val="00E05E0A"/>
    <w:rsid w:val="00E63A3A"/>
    <w:rsid w:val="00F12B51"/>
    <w:rsid w:val="00F17B57"/>
    <w:rsid w:val="00F42007"/>
    <w:rsid w:val="00F52201"/>
    <w:rsid w:val="00F61F85"/>
    <w:rsid w:val="00F72078"/>
    <w:rsid w:val="00F85186"/>
    <w:rsid w:val="00FA62DB"/>
    <w:rsid w:val="00FB11EB"/>
    <w:rsid w:val="00FB59B7"/>
    <w:rsid w:val="00FB774C"/>
    <w:rsid w:val="00FE3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3020A"/>
  <w15:docId w15:val="{4DB73F5E-9B15-4642-92EF-8D34299B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BF9"/>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basedOn w:val="Normal"/>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table" w:styleId="TableGrid">
    <w:name w:val="Table Grid"/>
    <w:basedOn w:val="TableNormal"/>
    <w:uiPriority w:val="59"/>
    <w:unhideWhenUsed/>
    <w:rsid w:val="00114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5B3D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2F2397"/>
    <w:rPr>
      <w:sz w:val="16"/>
      <w:szCs w:val="16"/>
    </w:rPr>
  </w:style>
  <w:style w:type="paragraph" w:styleId="CommentText">
    <w:name w:val="annotation text"/>
    <w:basedOn w:val="Normal"/>
    <w:link w:val="CommentTextChar"/>
    <w:uiPriority w:val="99"/>
    <w:semiHidden/>
    <w:unhideWhenUsed/>
    <w:rsid w:val="002F2397"/>
    <w:pPr>
      <w:spacing w:line="240" w:lineRule="auto"/>
    </w:pPr>
    <w:rPr>
      <w:sz w:val="20"/>
      <w:szCs w:val="20"/>
    </w:rPr>
  </w:style>
  <w:style w:type="character" w:customStyle="1" w:styleId="CommentTextChar">
    <w:name w:val="Comment Text Char"/>
    <w:basedOn w:val="DefaultParagraphFont"/>
    <w:link w:val="CommentText"/>
    <w:uiPriority w:val="99"/>
    <w:semiHidden/>
    <w:rsid w:val="002F2397"/>
    <w:rPr>
      <w:sz w:val="20"/>
      <w:szCs w:val="20"/>
    </w:rPr>
  </w:style>
  <w:style w:type="paragraph" w:styleId="CommentSubject">
    <w:name w:val="annotation subject"/>
    <w:basedOn w:val="CommentText"/>
    <w:next w:val="CommentText"/>
    <w:link w:val="CommentSubjectChar"/>
    <w:uiPriority w:val="99"/>
    <w:semiHidden/>
    <w:unhideWhenUsed/>
    <w:rsid w:val="002F2397"/>
    <w:rPr>
      <w:b/>
      <w:bCs/>
    </w:rPr>
  </w:style>
  <w:style w:type="character" w:customStyle="1" w:styleId="CommentSubjectChar">
    <w:name w:val="Comment Subject Char"/>
    <w:basedOn w:val="CommentTextChar"/>
    <w:link w:val="CommentSubject"/>
    <w:uiPriority w:val="99"/>
    <w:semiHidden/>
    <w:rsid w:val="002F2397"/>
    <w:rPr>
      <w:b/>
      <w:bCs/>
      <w:sz w:val="20"/>
      <w:szCs w:val="20"/>
    </w:rPr>
  </w:style>
  <w:style w:type="paragraph" w:styleId="Revision">
    <w:name w:val="Revision"/>
    <w:hidden/>
    <w:uiPriority w:val="99"/>
    <w:semiHidden/>
    <w:rsid w:val="007D094C"/>
    <w:pPr>
      <w:spacing w:after="0" w:line="240" w:lineRule="auto"/>
    </w:pPr>
    <w:rPr>
      <w:sz w:val="24"/>
    </w:rPr>
  </w:style>
  <w:style w:type="character" w:customStyle="1" w:styleId="ui-provider">
    <w:name w:val="ui-provider"/>
    <w:basedOn w:val="DefaultParagraphFont"/>
    <w:rsid w:val="00595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252506898176212E-2"/>
          <c:y val="5.7142857142857141E-2"/>
          <c:w val="0.75598088700450905"/>
          <c:h val="0.83337351252146108"/>
        </c:manualLayout>
      </c:layout>
      <c:barChart>
        <c:barDir val="col"/>
        <c:grouping val="stacked"/>
        <c:varyColors val="0"/>
        <c:ser>
          <c:idx val="0"/>
          <c:order val="0"/>
          <c:tx>
            <c:strRef>
              <c:f>'Circuit board stat'!$B$16</c:f>
              <c:strCache>
                <c:ptCount val="1"/>
                <c:pt idx="0">
                  <c:v>   PFBA</c:v>
                </c:pt>
              </c:strCache>
            </c:strRef>
          </c:tx>
          <c:spPr>
            <a:solidFill>
              <a:schemeClr val="accent1"/>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stat'!$B$17:$B$25</c:f>
              <c:numCache>
                <c:formatCode>General</c:formatCode>
                <c:ptCount val="9"/>
                <c:pt idx="0">
                  <c:v>4.5999999999999996</c:v>
                </c:pt>
                <c:pt idx="1">
                  <c:v>4.3</c:v>
                </c:pt>
                <c:pt idx="2">
                  <c:v>3.1</c:v>
                </c:pt>
                <c:pt idx="3">
                  <c:v>3.7</c:v>
                </c:pt>
                <c:pt idx="4">
                  <c:v>4</c:v>
                </c:pt>
                <c:pt idx="5">
                  <c:v>3.8</c:v>
                </c:pt>
                <c:pt idx="6">
                  <c:v>2.5</c:v>
                </c:pt>
                <c:pt idx="7">
                  <c:v>2.7</c:v>
                </c:pt>
                <c:pt idx="8">
                  <c:v>2.7</c:v>
                </c:pt>
              </c:numCache>
            </c:numRef>
          </c:val>
          <c:extLst>
            <c:ext xmlns:c16="http://schemas.microsoft.com/office/drawing/2014/chart" uri="{C3380CC4-5D6E-409C-BE32-E72D297353CC}">
              <c16:uniqueId val="{00000000-BC37-4854-BBB7-7F11395F778D}"/>
            </c:ext>
          </c:extLst>
        </c:ser>
        <c:ser>
          <c:idx val="1"/>
          <c:order val="1"/>
          <c:tx>
            <c:strRef>
              <c:f>'Circuit board stat'!$C$16</c:f>
              <c:strCache>
                <c:ptCount val="1"/>
                <c:pt idx="0">
                  <c:v>   PFBS</c:v>
                </c:pt>
              </c:strCache>
            </c:strRef>
          </c:tx>
          <c:spPr>
            <a:solidFill>
              <a:schemeClr val="accent2"/>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stat'!$C$17:$C$25</c:f>
              <c:numCache>
                <c:formatCode>General</c:formatCode>
                <c:ptCount val="9"/>
                <c:pt idx="0">
                  <c:v>0.5</c:v>
                </c:pt>
                <c:pt idx="1">
                  <c:v>0.5</c:v>
                </c:pt>
                <c:pt idx="2">
                  <c:v>0.5</c:v>
                </c:pt>
                <c:pt idx="3">
                  <c:v>0.5</c:v>
                </c:pt>
                <c:pt idx="4">
                  <c:v>0.5</c:v>
                </c:pt>
                <c:pt idx="5">
                  <c:v>0.5</c:v>
                </c:pt>
                <c:pt idx="6">
                  <c:v>0.5</c:v>
                </c:pt>
                <c:pt idx="7">
                  <c:v>1.3</c:v>
                </c:pt>
                <c:pt idx="8">
                  <c:v>0.5</c:v>
                </c:pt>
              </c:numCache>
            </c:numRef>
          </c:val>
          <c:extLst>
            <c:ext xmlns:c16="http://schemas.microsoft.com/office/drawing/2014/chart" uri="{C3380CC4-5D6E-409C-BE32-E72D297353CC}">
              <c16:uniqueId val="{00000001-BC37-4854-BBB7-7F11395F778D}"/>
            </c:ext>
          </c:extLst>
        </c:ser>
        <c:ser>
          <c:idx val="2"/>
          <c:order val="2"/>
          <c:tx>
            <c:strRef>
              <c:f>'Circuit board stat'!$D$16</c:f>
              <c:strCache>
                <c:ptCount val="1"/>
                <c:pt idx="0">
                  <c:v>   PFDA</c:v>
                </c:pt>
              </c:strCache>
            </c:strRef>
          </c:tx>
          <c:spPr>
            <a:solidFill>
              <a:schemeClr val="accent3"/>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stat'!$D$17:$D$25</c:f>
              <c:numCache>
                <c:formatCode>General</c:formatCode>
                <c:ptCount val="9"/>
                <c:pt idx="0">
                  <c:v>0.25</c:v>
                </c:pt>
                <c:pt idx="1">
                  <c:v>0.25</c:v>
                </c:pt>
                <c:pt idx="2">
                  <c:v>0.25</c:v>
                </c:pt>
                <c:pt idx="3">
                  <c:v>0.25</c:v>
                </c:pt>
                <c:pt idx="4">
                  <c:v>0.69</c:v>
                </c:pt>
                <c:pt idx="5">
                  <c:v>0.25</c:v>
                </c:pt>
                <c:pt idx="6">
                  <c:v>0.25</c:v>
                </c:pt>
                <c:pt idx="7">
                  <c:v>0.25</c:v>
                </c:pt>
                <c:pt idx="8">
                  <c:v>0.25</c:v>
                </c:pt>
              </c:numCache>
            </c:numRef>
          </c:val>
          <c:extLst>
            <c:ext xmlns:c16="http://schemas.microsoft.com/office/drawing/2014/chart" uri="{C3380CC4-5D6E-409C-BE32-E72D297353CC}">
              <c16:uniqueId val="{00000002-BC37-4854-BBB7-7F11395F778D}"/>
            </c:ext>
          </c:extLst>
        </c:ser>
        <c:ser>
          <c:idx val="3"/>
          <c:order val="3"/>
          <c:tx>
            <c:strRef>
              <c:f>'Circuit board stat'!$E$16</c:f>
              <c:strCache>
                <c:ptCount val="1"/>
                <c:pt idx="0">
                  <c:v>   PFDoDA</c:v>
                </c:pt>
              </c:strCache>
            </c:strRef>
          </c:tx>
          <c:spPr>
            <a:solidFill>
              <a:schemeClr val="accent4"/>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stat'!$E$17:$E$25</c:f>
              <c:numCache>
                <c:formatCode>General</c:formatCode>
                <c:ptCount val="9"/>
                <c:pt idx="0">
                  <c:v>0.5</c:v>
                </c:pt>
                <c:pt idx="1">
                  <c:v>0.5</c:v>
                </c:pt>
                <c:pt idx="2">
                  <c:v>0.5</c:v>
                </c:pt>
                <c:pt idx="3">
                  <c:v>0.5</c:v>
                </c:pt>
                <c:pt idx="4">
                  <c:v>0.5</c:v>
                </c:pt>
                <c:pt idx="5">
                  <c:v>0.5</c:v>
                </c:pt>
                <c:pt idx="6">
                  <c:v>0.5</c:v>
                </c:pt>
                <c:pt idx="7">
                  <c:v>0.5</c:v>
                </c:pt>
                <c:pt idx="8">
                  <c:v>0.5</c:v>
                </c:pt>
              </c:numCache>
            </c:numRef>
          </c:val>
          <c:extLst>
            <c:ext xmlns:c16="http://schemas.microsoft.com/office/drawing/2014/chart" uri="{C3380CC4-5D6E-409C-BE32-E72D297353CC}">
              <c16:uniqueId val="{00000003-BC37-4854-BBB7-7F11395F778D}"/>
            </c:ext>
          </c:extLst>
        </c:ser>
        <c:ser>
          <c:idx val="4"/>
          <c:order val="4"/>
          <c:tx>
            <c:strRef>
              <c:f>'Circuit board stat'!$F$16</c:f>
              <c:strCache>
                <c:ptCount val="1"/>
                <c:pt idx="0">
                  <c:v>   PFDS</c:v>
                </c:pt>
              </c:strCache>
            </c:strRef>
          </c:tx>
          <c:spPr>
            <a:solidFill>
              <a:schemeClr val="accent5"/>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stat'!$F$17:$F$25</c:f>
              <c:numCache>
                <c:formatCode>General</c:formatCode>
                <c:ptCount val="9"/>
                <c:pt idx="0">
                  <c:v>0.5</c:v>
                </c:pt>
                <c:pt idx="1">
                  <c:v>0.5</c:v>
                </c:pt>
                <c:pt idx="2">
                  <c:v>0.5</c:v>
                </c:pt>
                <c:pt idx="3">
                  <c:v>0.5</c:v>
                </c:pt>
                <c:pt idx="4">
                  <c:v>0.5</c:v>
                </c:pt>
                <c:pt idx="5">
                  <c:v>0.5</c:v>
                </c:pt>
                <c:pt idx="6">
                  <c:v>0.5</c:v>
                </c:pt>
                <c:pt idx="7">
                  <c:v>0.5</c:v>
                </c:pt>
                <c:pt idx="8">
                  <c:v>0.5</c:v>
                </c:pt>
              </c:numCache>
            </c:numRef>
          </c:val>
          <c:extLst>
            <c:ext xmlns:c16="http://schemas.microsoft.com/office/drawing/2014/chart" uri="{C3380CC4-5D6E-409C-BE32-E72D297353CC}">
              <c16:uniqueId val="{00000004-BC37-4854-BBB7-7F11395F778D}"/>
            </c:ext>
          </c:extLst>
        </c:ser>
        <c:ser>
          <c:idx val="5"/>
          <c:order val="5"/>
          <c:tx>
            <c:strRef>
              <c:f>'Circuit board stat'!$G$16</c:f>
              <c:strCache>
                <c:ptCount val="1"/>
                <c:pt idx="0">
                  <c:v>   PFHpA</c:v>
                </c:pt>
              </c:strCache>
            </c:strRef>
          </c:tx>
          <c:spPr>
            <a:solidFill>
              <a:schemeClr val="accent6"/>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stat'!$G$17:$G$25</c:f>
              <c:numCache>
                <c:formatCode>General</c:formatCode>
                <c:ptCount val="9"/>
                <c:pt idx="0">
                  <c:v>0.5</c:v>
                </c:pt>
                <c:pt idx="1">
                  <c:v>1.1000000000000001</c:v>
                </c:pt>
                <c:pt idx="2">
                  <c:v>0.5</c:v>
                </c:pt>
                <c:pt idx="3">
                  <c:v>1.2</c:v>
                </c:pt>
                <c:pt idx="4">
                  <c:v>1.2</c:v>
                </c:pt>
                <c:pt idx="5">
                  <c:v>1.1000000000000001</c:v>
                </c:pt>
                <c:pt idx="6">
                  <c:v>1.2</c:v>
                </c:pt>
                <c:pt idx="7">
                  <c:v>1.4</c:v>
                </c:pt>
                <c:pt idx="8">
                  <c:v>1.3</c:v>
                </c:pt>
              </c:numCache>
            </c:numRef>
          </c:val>
          <c:extLst>
            <c:ext xmlns:c16="http://schemas.microsoft.com/office/drawing/2014/chart" uri="{C3380CC4-5D6E-409C-BE32-E72D297353CC}">
              <c16:uniqueId val="{00000005-BC37-4854-BBB7-7F11395F778D}"/>
            </c:ext>
          </c:extLst>
        </c:ser>
        <c:ser>
          <c:idx val="6"/>
          <c:order val="6"/>
          <c:tx>
            <c:strRef>
              <c:f>'Circuit board stat'!$H$16</c:f>
              <c:strCache>
                <c:ptCount val="1"/>
                <c:pt idx="0">
                  <c:v>   PFHxA</c:v>
                </c:pt>
              </c:strCache>
            </c:strRef>
          </c:tx>
          <c:spPr>
            <a:solidFill>
              <a:schemeClr val="accent1">
                <a:lumMod val="6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stat'!$H$17:$H$25</c:f>
              <c:numCache>
                <c:formatCode>General</c:formatCode>
                <c:ptCount val="9"/>
                <c:pt idx="0">
                  <c:v>2.1</c:v>
                </c:pt>
                <c:pt idx="1">
                  <c:v>2.2000000000000002</c:v>
                </c:pt>
                <c:pt idx="2">
                  <c:v>2</c:v>
                </c:pt>
                <c:pt idx="3">
                  <c:v>2</c:v>
                </c:pt>
                <c:pt idx="4">
                  <c:v>2</c:v>
                </c:pt>
                <c:pt idx="5">
                  <c:v>2.5</c:v>
                </c:pt>
                <c:pt idx="6">
                  <c:v>2.2000000000000002</c:v>
                </c:pt>
                <c:pt idx="7">
                  <c:v>2.4</c:v>
                </c:pt>
                <c:pt idx="8">
                  <c:v>2.2999999999999998</c:v>
                </c:pt>
              </c:numCache>
            </c:numRef>
          </c:val>
          <c:extLst>
            <c:ext xmlns:c16="http://schemas.microsoft.com/office/drawing/2014/chart" uri="{C3380CC4-5D6E-409C-BE32-E72D297353CC}">
              <c16:uniqueId val="{00000006-BC37-4854-BBB7-7F11395F778D}"/>
            </c:ext>
          </c:extLst>
        </c:ser>
        <c:ser>
          <c:idx val="7"/>
          <c:order val="7"/>
          <c:tx>
            <c:strRef>
              <c:f>'Circuit board stat'!$I$16</c:f>
              <c:strCache>
                <c:ptCount val="1"/>
                <c:pt idx="0">
                  <c:v>   PFHxS</c:v>
                </c:pt>
              </c:strCache>
            </c:strRef>
          </c:tx>
          <c:spPr>
            <a:solidFill>
              <a:schemeClr val="accent2">
                <a:lumMod val="6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stat'!$I$17:$I$25</c:f>
              <c:numCache>
                <c:formatCode>General</c:formatCode>
                <c:ptCount val="9"/>
                <c:pt idx="0">
                  <c:v>0.5</c:v>
                </c:pt>
                <c:pt idx="1">
                  <c:v>0.5</c:v>
                </c:pt>
                <c:pt idx="2">
                  <c:v>0.5</c:v>
                </c:pt>
                <c:pt idx="3">
                  <c:v>0.5</c:v>
                </c:pt>
                <c:pt idx="4">
                  <c:v>0.5</c:v>
                </c:pt>
                <c:pt idx="5">
                  <c:v>0.5</c:v>
                </c:pt>
                <c:pt idx="6">
                  <c:v>1.1000000000000001</c:v>
                </c:pt>
                <c:pt idx="7">
                  <c:v>1.4</c:v>
                </c:pt>
                <c:pt idx="8">
                  <c:v>1</c:v>
                </c:pt>
              </c:numCache>
            </c:numRef>
          </c:val>
          <c:extLst>
            <c:ext xmlns:c16="http://schemas.microsoft.com/office/drawing/2014/chart" uri="{C3380CC4-5D6E-409C-BE32-E72D297353CC}">
              <c16:uniqueId val="{00000007-BC37-4854-BBB7-7F11395F778D}"/>
            </c:ext>
          </c:extLst>
        </c:ser>
        <c:ser>
          <c:idx val="8"/>
          <c:order val="8"/>
          <c:tx>
            <c:strRef>
              <c:f>'Circuit board stat'!$J$16</c:f>
              <c:strCache>
                <c:ptCount val="1"/>
                <c:pt idx="0">
                  <c:v>   PFNA</c:v>
                </c:pt>
              </c:strCache>
            </c:strRef>
          </c:tx>
          <c:spPr>
            <a:solidFill>
              <a:schemeClr val="accent3">
                <a:lumMod val="6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stat'!$J$17:$J$25</c:f>
              <c:numCache>
                <c:formatCode>General</c:formatCode>
                <c:ptCount val="9"/>
                <c:pt idx="0">
                  <c:v>0.25</c:v>
                </c:pt>
                <c:pt idx="1">
                  <c:v>0.56999999999999995</c:v>
                </c:pt>
                <c:pt idx="2">
                  <c:v>0.25</c:v>
                </c:pt>
                <c:pt idx="3">
                  <c:v>0.6</c:v>
                </c:pt>
                <c:pt idx="4">
                  <c:v>0.72</c:v>
                </c:pt>
                <c:pt idx="5">
                  <c:v>0.66</c:v>
                </c:pt>
                <c:pt idx="6">
                  <c:v>0.25</c:v>
                </c:pt>
                <c:pt idx="7">
                  <c:v>1.3</c:v>
                </c:pt>
                <c:pt idx="8">
                  <c:v>0.25</c:v>
                </c:pt>
              </c:numCache>
            </c:numRef>
          </c:val>
          <c:extLst>
            <c:ext xmlns:c16="http://schemas.microsoft.com/office/drawing/2014/chart" uri="{C3380CC4-5D6E-409C-BE32-E72D297353CC}">
              <c16:uniqueId val="{00000008-BC37-4854-BBB7-7F11395F778D}"/>
            </c:ext>
          </c:extLst>
        </c:ser>
        <c:ser>
          <c:idx val="9"/>
          <c:order val="9"/>
          <c:tx>
            <c:strRef>
              <c:f>'Circuit board stat'!$K$16</c:f>
              <c:strCache>
                <c:ptCount val="1"/>
                <c:pt idx="0">
                  <c:v>   PFOA</c:v>
                </c:pt>
              </c:strCache>
            </c:strRef>
          </c:tx>
          <c:spPr>
            <a:solidFill>
              <a:schemeClr val="accent4">
                <a:lumMod val="6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stat'!$K$17:$K$25</c:f>
              <c:numCache>
                <c:formatCode>General</c:formatCode>
                <c:ptCount val="9"/>
                <c:pt idx="0">
                  <c:v>3.6</c:v>
                </c:pt>
                <c:pt idx="1">
                  <c:v>2.8</c:v>
                </c:pt>
                <c:pt idx="2">
                  <c:v>3.5</c:v>
                </c:pt>
                <c:pt idx="3">
                  <c:v>4.4000000000000004</c:v>
                </c:pt>
                <c:pt idx="4">
                  <c:v>4.3</c:v>
                </c:pt>
                <c:pt idx="5">
                  <c:v>4.0999999999999996</c:v>
                </c:pt>
                <c:pt idx="6">
                  <c:v>2.7</c:v>
                </c:pt>
                <c:pt idx="7">
                  <c:v>3.9</c:v>
                </c:pt>
                <c:pt idx="8">
                  <c:v>2.7</c:v>
                </c:pt>
              </c:numCache>
            </c:numRef>
          </c:val>
          <c:extLst>
            <c:ext xmlns:c16="http://schemas.microsoft.com/office/drawing/2014/chart" uri="{C3380CC4-5D6E-409C-BE32-E72D297353CC}">
              <c16:uniqueId val="{00000009-BC37-4854-BBB7-7F11395F778D}"/>
            </c:ext>
          </c:extLst>
        </c:ser>
        <c:ser>
          <c:idx val="10"/>
          <c:order val="10"/>
          <c:tx>
            <c:strRef>
              <c:f>'Circuit board stat'!$L$16</c:f>
              <c:strCache>
                <c:ptCount val="1"/>
                <c:pt idx="0">
                  <c:v>   PFOS</c:v>
                </c:pt>
              </c:strCache>
            </c:strRef>
          </c:tx>
          <c:spPr>
            <a:solidFill>
              <a:schemeClr val="accent5">
                <a:lumMod val="6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stat'!$L$17:$L$25</c:f>
              <c:numCache>
                <c:formatCode>General</c:formatCode>
                <c:ptCount val="9"/>
                <c:pt idx="0">
                  <c:v>8.8000000000000007</c:v>
                </c:pt>
                <c:pt idx="1">
                  <c:v>7.1</c:v>
                </c:pt>
                <c:pt idx="2">
                  <c:v>3.8</c:v>
                </c:pt>
                <c:pt idx="3">
                  <c:v>2.2999999999999998</c:v>
                </c:pt>
                <c:pt idx="4">
                  <c:v>2.8</c:v>
                </c:pt>
                <c:pt idx="5">
                  <c:v>2.2999999999999998</c:v>
                </c:pt>
                <c:pt idx="6">
                  <c:v>3.1</c:v>
                </c:pt>
                <c:pt idx="7">
                  <c:v>8.1999999999999993</c:v>
                </c:pt>
                <c:pt idx="8">
                  <c:v>3.5</c:v>
                </c:pt>
              </c:numCache>
            </c:numRef>
          </c:val>
          <c:extLst>
            <c:ext xmlns:c16="http://schemas.microsoft.com/office/drawing/2014/chart" uri="{C3380CC4-5D6E-409C-BE32-E72D297353CC}">
              <c16:uniqueId val="{0000000A-BC37-4854-BBB7-7F11395F778D}"/>
            </c:ext>
          </c:extLst>
        </c:ser>
        <c:ser>
          <c:idx val="11"/>
          <c:order val="11"/>
          <c:tx>
            <c:strRef>
              <c:f>'Circuit board stat'!$M$16</c:f>
              <c:strCache>
                <c:ptCount val="1"/>
                <c:pt idx="0">
                  <c:v>   PFOSA</c:v>
                </c:pt>
              </c:strCache>
            </c:strRef>
          </c:tx>
          <c:spPr>
            <a:solidFill>
              <a:schemeClr val="accent6">
                <a:lumMod val="6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stat'!$M$17:$M$25</c:f>
              <c:numCache>
                <c:formatCode>General</c:formatCode>
                <c:ptCount val="9"/>
                <c:pt idx="0">
                  <c:v>2.9</c:v>
                </c:pt>
                <c:pt idx="1">
                  <c:v>1.5</c:v>
                </c:pt>
                <c:pt idx="2">
                  <c:v>0.68</c:v>
                </c:pt>
                <c:pt idx="3">
                  <c:v>0.25</c:v>
                </c:pt>
                <c:pt idx="4">
                  <c:v>0.25</c:v>
                </c:pt>
                <c:pt idx="5">
                  <c:v>0.25</c:v>
                </c:pt>
                <c:pt idx="6">
                  <c:v>0.25</c:v>
                </c:pt>
                <c:pt idx="7">
                  <c:v>0.25</c:v>
                </c:pt>
                <c:pt idx="8">
                  <c:v>0.25</c:v>
                </c:pt>
              </c:numCache>
            </c:numRef>
          </c:val>
          <c:extLst>
            <c:ext xmlns:c16="http://schemas.microsoft.com/office/drawing/2014/chart" uri="{C3380CC4-5D6E-409C-BE32-E72D297353CC}">
              <c16:uniqueId val="{0000000B-BC37-4854-BBB7-7F11395F778D}"/>
            </c:ext>
          </c:extLst>
        </c:ser>
        <c:ser>
          <c:idx val="12"/>
          <c:order val="12"/>
          <c:tx>
            <c:strRef>
              <c:f>'Circuit board stat'!$N$16</c:f>
              <c:strCache>
                <c:ptCount val="1"/>
                <c:pt idx="0">
                  <c:v>   PFPeA</c:v>
                </c:pt>
              </c:strCache>
            </c:strRef>
          </c:tx>
          <c:spPr>
            <a:solidFill>
              <a:schemeClr val="accent1">
                <a:lumMod val="80000"/>
                <a:lumOff val="20000"/>
              </a:schemeClr>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stat'!$N$17:$N$25</c:f>
              <c:numCache>
                <c:formatCode>General</c:formatCode>
                <c:ptCount val="9"/>
                <c:pt idx="0">
                  <c:v>0.5</c:v>
                </c:pt>
                <c:pt idx="1">
                  <c:v>1.6</c:v>
                </c:pt>
                <c:pt idx="2">
                  <c:v>1.8</c:v>
                </c:pt>
                <c:pt idx="3">
                  <c:v>1.8</c:v>
                </c:pt>
                <c:pt idx="4">
                  <c:v>1.8</c:v>
                </c:pt>
                <c:pt idx="5">
                  <c:v>2.1</c:v>
                </c:pt>
                <c:pt idx="6">
                  <c:v>1.5</c:v>
                </c:pt>
                <c:pt idx="7">
                  <c:v>1.5</c:v>
                </c:pt>
                <c:pt idx="8">
                  <c:v>1.4</c:v>
                </c:pt>
              </c:numCache>
            </c:numRef>
          </c:val>
          <c:extLst>
            <c:ext xmlns:c16="http://schemas.microsoft.com/office/drawing/2014/chart" uri="{C3380CC4-5D6E-409C-BE32-E72D297353CC}">
              <c16:uniqueId val="{0000000C-BC37-4854-BBB7-7F11395F778D}"/>
            </c:ext>
          </c:extLst>
        </c:ser>
        <c:ser>
          <c:idx val="13"/>
          <c:order val="13"/>
          <c:tx>
            <c:strRef>
              <c:f>'Circuit board stat'!$O$16</c:f>
              <c:strCache>
                <c:ptCount val="1"/>
                <c:pt idx="0">
                  <c:v>   PFUnDA</c:v>
                </c:pt>
              </c:strCache>
            </c:strRef>
          </c:tx>
          <c:spPr>
            <a:solidFill>
              <a:srgbClr val="FF99FF"/>
            </a:solidFill>
            <a:ln>
              <a:noFill/>
            </a:ln>
            <a:effectLst/>
          </c:spPr>
          <c:invertIfNegative val="0"/>
          <c:cat>
            <c:strRef>
              <c:f>'Circuit board stat'!$A$17:$A$25</c:f>
              <c:strCache>
                <c:ptCount val="9"/>
                <c:pt idx="0">
                  <c:v>8-1</c:v>
                </c:pt>
                <c:pt idx="1">
                  <c:v>8-2</c:v>
                </c:pt>
                <c:pt idx="2">
                  <c:v>8-3</c:v>
                </c:pt>
                <c:pt idx="3">
                  <c:v>9-1</c:v>
                </c:pt>
                <c:pt idx="4">
                  <c:v>9-2</c:v>
                </c:pt>
                <c:pt idx="5">
                  <c:v>9-3</c:v>
                </c:pt>
                <c:pt idx="6">
                  <c:v>10-1</c:v>
                </c:pt>
                <c:pt idx="7">
                  <c:v>10-2</c:v>
                </c:pt>
                <c:pt idx="8">
                  <c:v>10-3</c:v>
                </c:pt>
              </c:strCache>
            </c:strRef>
          </c:cat>
          <c:val>
            <c:numRef>
              <c:f>'Circuit board stat'!$O$17:$O$25</c:f>
              <c:numCache>
                <c:formatCode>General</c:formatCode>
                <c:ptCount val="9"/>
                <c:pt idx="0">
                  <c:v>0.5</c:v>
                </c:pt>
                <c:pt idx="1">
                  <c:v>0.5</c:v>
                </c:pt>
                <c:pt idx="2">
                  <c:v>0.5</c:v>
                </c:pt>
                <c:pt idx="3">
                  <c:v>0.5</c:v>
                </c:pt>
                <c:pt idx="4">
                  <c:v>0.5</c:v>
                </c:pt>
                <c:pt idx="5">
                  <c:v>0.5</c:v>
                </c:pt>
                <c:pt idx="6">
                  <c:v>0.5</c:v>
                </c:pt>
                <c:pt idx="7">
                  <c:v>0.5</c:v>
                </c:pt>
                <c:pt idx="8">
                  <c:v>0.5</c:v>
                </c:pt>
              </c:numCache>
            </c:numRef>
          </c:val>
          <c:extLst>
            <c:ext xmlns:c16="http://schemas.microsoft.com/office/drawing/2014/chart" uri="{C3380CC4-5D6E-409C-BE32-E72D297353CC}">
              <c16:uniqueId val="{0000000D-BC37-4854-BBB7-7F11395F778D}"/>
            </c:ext>
          </c:extLst>
        </c:ser>
        <c:dLbls>
          <c:showLegendKey val="0"/>
          <c:showVal val="0"/>
          <c:showCatName val="0"/>
          <c:showSerName val="0"/>
          <c:showPercent val="0"/>
          <c:showBubbleSize val="0"/>
        </c:dLbls>
        <c:gapWidth val="150"/>
        <c:overlap val="100"/>
        <c:axId val="1682405151"/>
        <c:axId val="1682405983"/>
      </c:barChart>
      <c:catAx>
        <c:axId val="1682405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Site</a:t>
                </a:r>
                <a:r>
                  <a:rPr lang="en-US" baseline="0"/>
                  <a:t> and Sample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alpha val="94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2405983"/>
        <c:crosses val="autoZero"/>
        <c:auto val="1"/>
        <c:lblAlgn val="ctr"/>
        <c:lblOffset val="100"/>
        <c:noMultiLvlLbl val="0"/>
      </c:catAx>
      <c:valAx>
        <c:axId val="168240598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r>
                  <a:rPr lang="en-US" baseline="0"/>
                  <a:t> (ng/L)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2405151"/>
        <c:crosses val="autoZero"/>
        <c:crossBetween val="between"/>
      </c:valAx>
      <c:spPr>
        <a:noFill/>
        <a:ln>
          <a:solidFill>
            <a:schemeClr val="accent1">
              <a:alpha val="89000"/>
            </a:schemeClr>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4472C4"/>
    </a:accent1>
    <a:accent2>
      <a:srgbClr val="FF0000"/>
    </a:accent2>
    <a:accent3>
      <a:srgbClr val="A5A5A5"/>
    </a:accent3>
    <a:accent4>
      <a:srgbClr val="FFC000"/>
    </a:accent4>
    <a:accent5>
      <a:srgbClr val="FFFF00"/>
    </a:accent5>
    <a:accent6>
      <a:srgbClr val="70AD47"/>
    </a:accent6>
    <a:hlink>
      <a:srgbClr val="00B0F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304E77220E794898442B5E28014F09" ma:contentTypeVersion="13" ma:contentTypeDescription="Create a new document." ma:contentTypeScope="" ma:versionID="dbbfc4d595252c04e95f36a7ecc85d27">
  <xsd:schema xmlns:xsd="http://www.w3.org/2001/XMLSchema" xmlns:xs="http://www.w3.org/2001/XMLSchema" xmlns:p="http://schemas.microsoft.com/office/2006/metadata/properties" xmlns:ns3="75e0e701-73ac-4534-bd15-1f83df3eaaf9" xmlns:ns4="d828c9f0-f712-4a03-8118-51b980c96e06" targetNamespace="http://schemas.microsoft.com/office/2006/metadata/properties" ma:root="true" ma:fieldsID="ba0e72d8a59587714bda537ad4ccff8d" ns3:_="" ns4:_="">
    <xsd:import namespace="75e0e701-73ac-4534-bd15-1f83df3eaaf9"/>
    <xsd:import namespace="d828c9f0-f712-4a03-8118-51b980c96e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e701-73ac-4534-bd15-1f83df3ea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8c9f0-f712-4a03-8118-51b980c96e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CD13E-07A2-4D38-9336-46D3D5B129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4D1402-6502-4B00-AF79-753625385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0e701-73ac-4534-bd15-1f83df3eaaf9"/>
    <ds:schemaRef ds:uri="d828c9f0-f712-4a03-8118-51b980c96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B31FB-4FA5-4118-AC26-2CAC62F448AC}">
  <ds:schemaRefs>
    <ds:schemaRef ds:uri="http://schemas.openxmlformats.org/officeDocument/2006/bibliography"/>
  </ds:schemaRefs>
</ds:datastoreItem>
</file>

<file path=customXml/itemProps4.xml><?xml version="1.0" encoding="utf-8"?>
<ds:datastoreItem xmlns:ds="http://schemas.openxmlformats.org/officeDocument/2006/customXml" ds:itemID="{C074F24B-E157-445B-8848-B161F964B8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Government of Ontario</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Kleywegt, Sonya (MECP)</dc:creator>
  <cp:keywords/>
  <dc:description/>
  <cp:lastModifiedBy>Payne, Mark</cp:lastModifiedBy>
  <cp:revision>2</cp:revision>
  <dcterms:created xsi:type="dcterms:W3CDTF">2023-04-24T19:24:00Z</dcterms:created>
  <dcterms:modified xsi:type="dcterms:W3CDTF">2023-04-24T19:24:00Z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0x0101005A304E77220E794898442B5E28014F09</vt:lpwstr>
  </property>
  <property fmtid="{D5CDD505-2E9C-101B-9397-08002B2CF9AE}" pid="3" name="MSIP_Label_034a106e-6316-442c-ad35-738afd673d2b_Enabled">
    <vt:lpwstr>true</vt:lpwstr>
  </property>
  <property fmtid="{D5CDD505-2E9C-101B-9397-08002B2CF9AE}" pid="4" name="MSIP_Label_034a106e-6316-442c-ad35-738afd673d2b_SetDate">
    <vt:lpwstr>2022-08-18T13:19:10Z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77e53a43-48d6-4b5b-8ee2-a522be17fd31</vt:lpwstr>
  </property>
  <property fmtid="{D5CDD505-2E9C-101B-9397-08002B2CF9AE}" pid="9" name="MSIP_Label_034a106e-6316-442c-ad35-738afd673d2b_ContentBits">
    <vt:lpwstr>0</vt:lpwstr>
  </property>
</Properties>
</file>