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57130B" w14:textId="411AA2D8" w:rsidR="00CA6FE7" w:rsidRPr="005569AC" w:rsidRDefault="00CA6FE7" w:rsidP="00CA6FE7">
      <w:r w:rsidRPr="005569AC">
        <w:t xml:space="preserve">Figure </w:t>
      </w:r>
      <w:r w:rsidR="00541F18">
        <w:t>3:</w:t>
      </w:r>
      <w:r w:rsidRPr="005569AC">
        <w:t xml:space="preserve"> T</w:t>
      </w:r>
      <w:r w:rsidR="00D85E3F">
        <w:t>emporal t</w:t>
      </w:r>
      <w:r w:rsidRPr="005569AC">
        <w:t xml:space="preserve">rends in outcome domains </w:t>
      </w:r>
      <w:r w:rsidR="00D85E3F">
        <w:t xml:space="preserve">reported in DVSA evaluations, 1991 to </w:t>
      </w:r>
      <w:proofErr w:type="gramStart"/>
      <w:r w:rsidR="00D85E3F">
        <w:t>2022</w:t>
      </w:r>
      <w:proofErr w:type="gramEnd"/>
    </w:p>
    <w:p w14:paraId="35B3284E" w14:textId="4685E900" w:rsidR="00CA6FE7" w:rsidRDefault="00BF1908" w:rsidP="00CA6FE7">
      <w:pPr>
        <w:keepNext/>
        <w:spacing w:line="240" w:lineRule="auto"/>
      </w:pPr>
      <w:r>
        <w:rPr>
          <w:noProof/>
        </w:rPr>
        <w:drawing>
          <wp:inline distT="0" distB="0" distL="0" distR="0" wp14:anchorId="1A487626" wp14:editId="49A25932">
            <wp:extent cx="6381751" cy="3647016"/>
            <wp:effectExtent l="0" t="0" r="0" b="10795"/>
            <wp:docPr id="1" name="Chart 1">
              <a:extLst xmlns:a="http://schemas.openxmlformats.org/drawingml/2006/main">
                <a:ext uri="{FF2B5EF4-FFF2-40B4-BE49-F238E27FC236}">
                  <a16:creationId xmlns:a16="http://schemas.microsoft.com/office/drawing/2014/main" id="{4D6E875C-02CD-825B-1430-7DD7CF910C3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351E1240" w14:textId="5AC6E3C3" w:rsidR="00CA6FE7" w:rsidRPr="00CB7840" w:rsidRDefault="00CA6FE7" w:rsidP="00CA6FE7">
      <w:pPr>
        <w:pStyle w:val="Caption"/>
        <w:spacing w:after="0"/>
        <w:rPr>
          <w:color w:val="auto"/>
          <w:sz w:val="20"/>
          <w:szCs w:val="20"/>
        </w:rPr>
      </w:pPr>
      <w:r w:rsidRPr="00CB7840">
        <w:rPr>
          <w:color w:val="auto"/>
          <w:sz w:val="20"/>
          <w:szCs w:val="20"/>
        </w:rPr>
        <w:t xml:space="preserve">Note: For ease of interpretation, mental health, physical </w:t>
      </w:r>
      <w:proofErr w:type="gramStart"/>
      <w:r w:rsidRPr="00CB7840">
        <w:rPr>
          <w:color w:val="auto"/>
          <w:sz w:val="20"/>
          <w:szCs w:val="20"/>
        </w:rPr>
        <w:t>health</w:t>
      </w:r>
      <w:proofErr w:type="gramEnd"/>
      <w:r w:rsidRPr="00CB7840">
        <w:rPr>
          <w:color w:val="auto"/>
          <w:sz w:val="20"/>
          <w:szCs w:val="20"/>
        </w:rPr>
        <w:t xml:space="preserve"> and wellbeing domains have been combined into one health domain, and the experience of DSVA</w:t>
      </w:r>
      <w:r w:rsidR="00BF1908">
        <w:rPr>
          <w:color w:val="auto"/>
          <w:sz w:val="20"/>
          <w:szCs w:val="20"/>
        </w:rPr>
        <w:t xml:space="preserve"> and</w:t>
      </w:r>
      <w:r w:rsidRPr="00CB7840">
        <w:rPr>
          <w:color w:val="auto"/>
          <w:sz w:val="20"/>
          <w:szCs w:val="20"/>
        </w:rPr>
        <w:t xml:space="preserve"> perpetration of DSVA </w:t>
      </w:r>
      <w:r w:rsidR="000724DD">
        <w:rPr>
          <w:color w:val="auto"/>
          <w:sz w:val="20"/>
          <w:szCs w:val="20"/>
        </w:rPr>
        <w:t xml:space="preserve">domains </w:t>
      </w:r>
      <w:r w:rsidRPr="00CB7840">
        <w:rPr>
          <w:color w:val="auto"/>
          <w:sz w:val="20"/>
          <w:szCs w:val="20"/>
        </w:rPr>
        <w:t>have been combined into a single ‘DSVA’ domain.</w:t>
      </w:r>
    </w:p>
    <w:p w14:paraId="5DAEF9E4" w14:textId="7BAABF6D" w:rsidR="00CA6FE7" w:rsidRPr="00CB7840" w:rsidRDefault="00CA6FE7" w:rsidP="00CA6FE7">
      <w:pPr>
        <w:pStyle w:val="Caption"/>
        <w:rPr>
          <w:color w:val="auto"/>
          <w:sz w:val="20"/>
          <w:szCs w:val="20"/>
        </w:rPr>
      </w:pPr>
      <w:r w:rsidRPr="00CB7840">
        <w:rPr>
          <w:color w:val="auto"/>
          <w:sz w:val="20"/>
          <w:szCs w:val="20"/>
        </w:rPr>
        <w:t xml:space="preserve">Note: </w:t>
      </w:r>
      <w:r w:rsidR="00CB7840" w:rsidRPr="00CB7840">
        <w:rPr>
          <w:color w:val="auto"/>
          <w:sz w:val="20"/>
          <w:szCs w:val="20"/>
        </w:rPr>
        <w:t>Sixteen</w:t>
      </w:r>
      <w:r w:rsidRPr="00CB7840">
        <w:rPr>
          <w:color w:val="auto"/>
          <w:sz w:val="20"/>
          <w:szCs w:val="20"/>
        </w:rPr>
        <w:t xml:space="preserve"> studies reported an outcome that crosses two or more domains therefore some outcomes are represented by multiple domains.</w:t>
      </w:r>
      <w:r w:rsidR="00BE6270">
        <w:rPr>
          <w:color w:val="auto"/>
          <w:sz w:val="20"/>
          <w:szCs w:val="20"/>
        </w:rPr>
        <w:t xml:space="preserve"> </w:t>
      </w:r>
      <w:r w:rsidR="00BE6270" w:rsidRPr="00BE6270">
        <w:rPr>
          <w:color w:val="auto"/>
          <w:sz w:val="20"/>
          <w:szCs w:val="20"/>
        </w:rPr>
        <w:t>Additionally, 38 studies reported an outcome that was categorised as both the experience of DSVA and perpetration of DSVA, because the specific outcome could represent either domain depending on who is completing the outcome measure.</w:t>
      </w:r>
    </w:p>
    <w:p w14:paraId="73E81AD0" w14:textId="1CB57519" w:rsidR="00BD4D9C" w:rsidRDefault="00BD4D9C">
      <w:pPr>
        <w:spacing w:after="160" w:line="259" w:lineRule="auto"/>
      </w:pPr>
    </w:p>
    <w:p w14:paraId="405F44F4" w14:textId="77777777" w:rsidR="00C63DF2" w:rsidRDefault="00C63DF2"/>
    <w:p w14:paraId="6E5C0004" w14:textId="77777777" w:rsidR="00C63DF2" w:rsidRDefault="00C63DF2"/>
    <w:sectPr w:rsidR="00C63DF2" w:rsidSect="00BD4D9C">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24D3A2" w14:textId="77777777" w:rsidR="00857C28" w:rsidRDefault="00857C28" w:rsidP="00542938">
      <w:pPr>
        <w:spacing w:line="240" w:lineRule="auto"/>
      </w:pPr>
      <w:r>
        <w:separator/>
      </w:r>
    </w:p>
  </w:endnote>
  <w:endnote w:type="continuationSeparator" w:id="0">
    <w:p w14:paraId="756C3B2C" w14:textId="77777777" w:rsidR="00857C28" w:rsidRDefault="00857C28" w:rsidP="0054293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4A586E" w14:textId="77777777" w:rsidR="00857C28" w:rsidRDefault="00857C28" w:rsidP="00542938">
      <w:pPr>
        <w:spacing w:line="240" w:lineRule="auto"/>
      </w:pPr>
      <w:r>
        <w:separator/>
      </w:r>
    </w:p>
  </w:footnote>
  <w:footnote w:type="continuationSeparator" w:id="0">
    <w:p w14:paraId="42F0134B" w14:textId="77777777" w:rsidR="00857C28" w:rsidRDefault="00857C28" w:rsidP="0054293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F6D6D"/>
    <w:multiLevelType w:val="hybridMultilevel"/>
    <w:tmpl w:val="5C6CF89C"/>
    <w:lvl w:ilvl="0" w:tplc="FFFFFFFF">
      <w:start w:val="1"/>
      <w:numFmt w:val="decimal"/>
      <w:lvlText w:val="%1."/>
      <w:lvlJc w:val="left"/>
      <w:pPr>
        <w:ind w:left="144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A3345CE"/>
    <w:multiLevelType w:val="hybridMultilevel"/>
    <w:tmpl w:val="8C3419B0"/>
    <w:lvl w:ilvl="0" w:tplc="C91CE476">
      <w:start w:val="1"/>
      <w:numFmt w:val="decimal"/>
      <w:lvlText w:val="%1."/>
      <w:lvlJc w:val="left"/>
      <w:pPr>
        <w:ind w:left="144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32813FA7"/>
    <w:multiLevelType w:val="hybridMultilevel"/>
    <w:tmpl w:val="5C6CF89C"/>
    <w:lvl w:ilvl="0" w:tplc="FFFFFFFF">
      <w:start w:val="1"/>
      <w:numFmt w:val="decimal"/>
      <w:lvlText w:val="%1."/>
      <w:lvlJc w:val="left"/>
      <w:pPr>
        <w:ind w:left="144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58AB62CA"/>
    <w:multiLevelType w:val="hybridMultilevel"/>
    <w:tmpl w:val="5C6CF89C"/>
    <w:lvl w:ilvl="0" w:tplc="FFFFFFFF">
      <w:start w:val="1"/>
      <w:numFmt w:val="decimal"/>
      <w:lvlText w:val="%1."/>
      <w:lvlJc w:val="left"/>
      <w:pPr>
        <w:ind w:left="144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621214A9"/>
    <w:multiLevelType w:val="hybridMultilevel"/>
    <w:tmpl w:val="ED603C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2A9368C"/>
    <w:multiLevelType w:val="hybridMultilevel"/>
    <w:tmpl w:val="5C6CF89C"/>
    <w:lvl w:ilvl="0" w:tplc="FFFFFFFF">
      <w:start w:val="1"/>
      <w:numFmt w:val="decimal"/>
      <w:lvlText w:val="%1."/>
      <w:lvlJc w:val="left"/>
      <w:pPr>
        <w:ind w:left="144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656347C0"/>
    <w:multiLevelType w:val="hybridMultilevel"/>
    <w:tmpl w:val="5C6CF89C"/>
    <w:lvl w:ilvl="0" w:tplc="FFFFFFFF">
      <w:start w:val="1"/>
      <w:numFmt w:val="decimal"/>
      <w:lvlText w:val="%1."/>
      <w:lvlJc w:val="left"/>
      <w:pPr>
        <w:ind w:left="144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169364089">
    <w:abstractNumId w:val="4"/>
  </w:num>
  <w:num w:numId="2" w16cid:durableId="547030997">
    <w:abstractNumId w:val="0"/>
  </w:num>
  <w:num w:numId="3" w16cid:durableId="917397801">
    <w:abstractNumId w:val="2"/>
  </w:num>
  <w:num w:numId="4" w16cid:durableId="966282824">
    <w:abstractNumId w:val="3"/>
  </w:num>
  <w:num w:numId="5" w16cid:durableId="1691251030">
    <w:abstractNumId w:val="6"/>
  </w:num>
  <w:num w:numId="6" w16cid:durableId="1086417573">
    <w:abstractNumId w:val="1"/>
  </w:num>
  <w:num w:numId="7" w16cid:durableId="14532440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e5x5pps69r296ed95exxzfw20ep59dr9rzr&quot;&gt;Review manuscript&lt;record-ids&gt;&lt;item&gt;11&lt;/item&gt;&lt;item&gt;163&lt;/item&gt;&lt;item&gt;164&lt;/item&gt;&lt;item&gt;165&lt;/item&gt;&lt;item&gt;166&lt;/item&gt;&lt;item&gt;168&lt;/item&gt;&lt;item&gt;169&lt;/item&gt;&lt;item&gt;170&lt;/item&gt;&lt;item&gt;173&lt;/item&gt;&lt;/record-ids&gt;&lt;/item&gt;&lt;/Libraries&gt;"/>
  </w:docVars>
  <w:rsids>
    <w:rsidRoot w:val="004F6FE8"/>
    <w:rsid w:val="00054B0A"/>
    <w:rsid w:val="0006619E"/>
    <w:rsid w:val="000724DD"/>
    <w:rsid w:val="000A704A"/>
    <w:rsid w:val="000C41E5"/>
    <w:rsid w:val="001128AA"/>
    <w:rsid w:val="00117203"/>
    <w:rsid w:val="00194CA1"/>
    <w:rsid w:val="001C058C"/>
    <w:rsid w:val="00206D2F"/>
    <w:rsid w:val="002113C5"/>
    <w:rsid w:val="0022611C"/>
    <w:rsid w:val="002316A2"/>
    <w:rsid w:val="00253D31"/>
    <w:rsid w:val="002617E5"/>
    <w:rsid w:val="00276781"/>
    <w:rsid w:val="0029592B"/>
    <w:rsid w:val="002F3C70"/>
    <w:rsid w:val="00317048"/>
    <w:rsid w:val="003601F2"/>
    <w:rsid w:val="003B3BAE"/>
    <w:rsid w:val="003E15C8"/>
    <w:rsid w:val="003F7724"/>
    <w:rsid w:val="004309F8"/>
    <w:rsid w:val="00442F5A"/>
    <w:rsid w:val="0044636B"/>
    <w:rsid w:val="004B0EFD"/>
    <w:rsid w:val="004E6960"/>
    <w:rsid w:val="004F6FE8"/>
    <w:rsid w:val="0051778A"/>
    <w:rsid w:val="0052620F"/>
    <w:rsid w:val="00541F18"/>
    <w:rsid w:val="00542938"/>
    <w:rsid w:val="005443BF"/>
    <w:rsid w:val="00550896"/>
    <w:rsid w:val="005C287C"/>
    <w:rsid w:val="005E05FA"/>
    <w:rsid w:val="005E108C"/>
    <w:rsid w:val="00604F84"/>
    <w:rsid w:val="0064450F"/>
    <w:rsid w:val="00647A3C"/>
    <w:rsid w:val="00653746"/>
    <w:rsid w:val="00680FD3"/>
    <w:rsid w:val="006D572C"/>
    <w:rsid w:val="006E53F4"/>
    <w:rsid w:val="006F2CE6"/>
    <w:rsid w:val="006F5D5D"/>
    <w:rsid w:val="00703C7F"/>
    <w:rsid w:val="00717BB4"/>
    <w:rsid w:val="00720538"/>
    <w:rsid w:val="007748E6"/>
    <w:rsid w:val="00784A23"/>
    <w:rsid w:val="007B75BA"/>
    <w:rsid w:val="007D4864"/>
    <w:rsid w:val="0081437C"/>
    <w:rsid w:val="00857C28"/>
    <w:rsid w:val="0088318E"/>
    <w:rsid w:val="00891D8A"/>
    <w:rsid w:val="00893840"/>
    <w:rsid w:val="008978A6"/>
    <w:rsid w:val="008A2A0E"/>
    <w:rsid w:val="008B65C8"/>
    <w:rsid w:val="00922085"/>
    <w:rsid w:val="00930640"/>
    <w:rsid w:val="00953DAA"/>
    <w:rsid w:val="00976539"/>
    <w:rsid w:val="00992C70"/>
    <w:rsid w:val="009D0A41"/>
    <w:rsid w:val="00A07040"/>
    <w:rsid w:val="00A16200"/>
    <w:rsid w:val="00A56898"/>
    <w:rsid w:val="00A66EC3"/>
    <w:rsid w:val="00A737D5"/>
    <w:rsid w:val="00AC3F8F"/>
    <w:rsid w:val="00AC5BE2"/>
    <w:rsid w:val="00AD4C16"/>
    <w:rsid w:val="00AD7A94"/>
    <w:rsid w:val="00AE23CD"/>
    <w:rsid w:val="00AF2C34"/>
    <w:rsid w:val="00B04CAD"/>
    <w:rsid w:val="00B15B09"/>
    <w:rsid w:val="00B20C25"/>
    <w:rsid w:val="00B277AE"/>
    <w:rsid w:val="00B43726"/>
    <w:rsid w:val="00B92065"/>
    <w:rsid w:val="00BD4D9C"/>
    <w:rsid w:val="00BE6270"/>
    <w:rsid w:val="00BF1908"/>
    <w:rsid w:val="00C20F99"/>
    <w:rsid w:val="00C24730"/>
    <w:rsid w:val="00C325A3"/>
    <w:rsid w:val="00C45948"/>
    <w:rsid w:val="00C63DF2"/>
    <w:rsid w:val="00C65BD0"/>
    <w:rsid w:val="00CA4F7C"/>
    <w:rsid w:val="00CA6FE7"/>
    <w:rsid w:val="00CB1192"/>
    <w:rsid w:val="00CB5296"/>
    <w:rsid w:val="00CB7840"/>
    <w:rsid w:val="00CF2378"/>
    <w:rsid w:val="00D85E3F"/>
    <w:rsid w:val="00D92800"/>
    <w:rsid w:val="00D97736"/>
    <w:rsid w:val="00DC1CE2"/>
    <w:rsid w:val="00DF04B6"/>
    <w:rsid w:val="00E569CA"/>
    <w:rsid w:val="00EA2E41"/>
    <w:rsid w:val="00EE6739"/>
    <w:rsid w:val="00F050AD"/>
    <w:rsid w:val="00F17197"/>
    <w:rsid w:val="00F80E59"/>
    <w:rsid w:val="00FF2B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3D9E84"/>
  <w15:chartTrackingRefBased/>
  <w15:docId w15:val="{383B2A7F-3272-44A7-966F-997FB6781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6FE8"/>
    <w:pPr>
      <w:spacing w:after="0" w:line="480" w:lineRule="auto"/>
    </w:pPr>
    <w:rPr>
      <w:rFonts w:ascii="Arial" w:hAnsi="Arial"/>
    </w:rPr>
  </w:style>
  <w:style w:type="paragraph" w:styleId="Heading1">
    <w:name w:val="heading 1"/>
    <w:basedOn w:val="Normal"/>
    <w:next w:val="Normal"/>
    <w:link w:val="Heading1Char"/>
    <w:uiPriority w:val="9"/>
    <w:qFormat/>
    <w:rsid w:val="000C41E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C41E5"/>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6FE8"/>
    <w:pPr>
      <w:ind w:left="720"/>
      <w:contextualSpacing/>
    </w:pPr>
  </w:style>
  <w:style w:type="table" w:styleId="TableGrid">
    <w:name w:val="Table Grid"/>
    <w:basedOn w:val="TableNormal"/>
    <w:uiPriority w:val="39"/>
    <w:rsid w:val="004F6F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4F6FE8"/>
    <w:pPr>
      <w:spacing w:after="200" w:line="240" w:lineRule="auto"/>
    </w:pPr>
    <w:rPr>
      <w:i/>
      <w:iCs/>
      <w:color w:val="44546A" w:themeColor="text2"/>
      <w:sz w:val="18"/>
      <w:szCs w:val="18"/>
    </w:rPr>
  </w:style>
  <w:style w:type="character" w:styleId="Hyperlink">
    <w:name w:val="Hyperlink"/>
    <w:basedOn w:val="DefaultParagraphFont"/>
    <w:unhideWhenUsed/>
    <w:rsid w:val="00BD4D9C"/>
    <w:rPr>
      <w:color w:val="0563C1" w:themeColor="hyperlink"/>
      <w:u w:val="single"/>
    </w:rPr>
  </w:style>
  <w:style w:type="paragraph" w:styleId="Header">
    <w:name w:val="header"/>
    <w:basedOn w:val="Normal"/>
    <w:link w:val="HeaderChar"/>
    <w:uiPriority w:val="99"/>
    <w:unhideWhenUsed/>
    <w:rsid w:val="00542938"/>
    <w:pPr>
      <w:tabs>
        <w:tab w:val="center" w:pos="4513"/>
        <w:tab w:val="right" w:pos="9026"/>
      </w:tabs>
      <w:spacing w:line="240" w:lineRule="auto"/>
    </w:pPr>
  </w:style>
  <w:style w:type="character" w:customStyle="1" w:styleId="HeaderChar">
    <w:name w:val="Header Char"/>
    <w:basedOn w:val="DefaultParagraphFont"/>
    <w:link w:val="Header"/>
    <w:uiPriority w:val="99"/>
    <w:rsid w:val="00542938"/>
    <w:rPr>
      <w:rFonts w:ascii="Arial" w:hAnsi="Arial"/>
    </w:rPr>
  </w:style>
  <w:style w:type="paragraph" w:styleId="Footer">
    <w:name w:val="footer"/>
    <w:basedOn w:val="Normal"/>
    <w:link w:val="FooterChar"/>
    <w:uiPriority w:val="99"/>
    <w:unhideWhenUsed/>
    <w:rsid w:val="00542938"/>
    <w:pPr>
      <w:tabs>
        <w:tab w:val="center" w:pos="4513"/>
        <w:tab w:val="right" w:pos="9026"/>
      </w:tabs>
      <w:spacing w:line="240" w:lineRule="auto"/>
    </w:pPr>
  </w:style>
  <w:style w:type="character" w:customStyle="1" w:styleId="FooterChar">
    <w:name w:val="Footer Char"/>
    <w:basedOn w:val="DefaultParagraphFont"/>
    <w:link w:val="Footer"/>
    <w:uiPriority w:val="99"/>
    <w:rsid w:val="00542938"/>
    <w:rPr>
      <w:rFonts w:ascii="Arial" w:hAnsi="Arial"/>
    </w:rPr>
  </w:style>
  <w:style w:type="paragraph" w:styleId="FootnoteText">
    <w:name w:val="footnote text"/>
    <w:basedOn w:val="Normal"/>
    <w:link w:val="FootnoteTextChar"/>
    <w:uiPriority w:val="99"/>
    <w:semiHidden/>
    <w:unhideWhenUsed/>
    <w:rsid w:val="006D572C"/>
    <w:pPr>
      <w:spacing w:line="240" w:lineRule="auto"/>
    </w:pPr>
    <w:rPr>
      <w:sz w:val="20"/>
      <w:szCs w:val="20"/>
    </w:rPr>
  </w:style>
  <w:style w:type="character" w:customStyle="1" w:styleId="FootnoteTextChar">
    <w:name w:val="Footnote Text Char"/>
    <w:basedOn w:val="DefaultParagraphFont"/>
    <w:link w:val="FootnoteText"/>
    <w:uiPriority w:val="99"/>
    <w:semiHidden/>
    <w:rsid w:val="006D572C"/>
    <w:rPr>
      <w:rFonts w:ascii="Arial" w:hAnsi="Arial"/>
      <w:sz w:val="20"/>
      <w:szCs w:val="20"/>
    </w:rPr>
  </w:style>
  <w:style w:type="character" w:styleId="FootnoteReference">
    <w:name w:val="footnote reference"/>
    <w:basedOn w:val="DefaultParagraphFont"/>
    <w:uiPriority w:val="99"/>
    <w:semiHidden/>
    <w:unhideWhenUsed/>
    <w:rsid w:val="006D572C"/>
    <w:rPr>
      <w:vertAlign w:val="superscript"/>
    </w:rPr>
  </w:style>
  <w:style w:type="character" w:customStyle="1" w:styleId="Heading2Char">
    <w:name w:val="Heading 2 Char"/>
    <w:basedOn w:val="DefaultParagraphFont"/>
    <w:link w:val="Heading2"/>
    <w:uiPriority w:val="9"/>
    <w:rsid w:val="000C41E5"/>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0C41E5"/>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uiPriority w:val="99"/>
    <w:semiHidden/>
    <w:unhideWhenUsed/>
    <w:rsid w:val="00541F18"/>
    <w:rPr>
      <w:sz w:val="16"/>
      <w:szCs w:val="16"/>
    </w:rPr>
  </w:style>
  <w:style w:type="paragraph" w:styleId="CommentText">
    <w:name w:val="annotation text"/>
    <w:basedOn w:val="Normal"/>
    <w:link w:val="CommentTextChar"/>
    <w:uiPriority w:val="99"/>
    <w:unhideWhenUsed/>
    <w:rsid w:val="00541F18"/>
    <w:pPr>
      <w:spacing w:line="240" w:lineRule="auto"/>
    </w:pPr>
    <w:rPr>
      <w:sz w:val="20"/>
      <w:szCs w:val="20"/>
    </w:rPr>
  </w:style>
  <w:style w:type="character" w:customStyle="1" w:styleId="CommentTextChar">
    <w:name w:val="Comment Text Char"/>
    <w:basedOn w:val="DefaultParagraphFont"/>
    <w:link w:val="CommentText"/>
    <w:uiPriority w:val="99"/>
    <w:rsid w:val="00541F18"/>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541F18"/>
    <w:rPr>
      <w:b/>
      <w:bCs/>
    </w:rPr>
  </w:style>
  <w:style w:type="character" w:customStyle="1" w:styleId="CommentSubjectChar">
    <w:name w:val="Comment Subject Char"/>
    <w:basedOn w:val="CommentTextChar"/>
    <w:link w:val="CommentSubject"/>
    <w:uiPriority w:val="99"/>
    <w:semiHidden/>
    <w:rsid w:val="00541F18"/>
    <w:rPr>
      <w:rFonts w:ascii="Arial" w:hAnsi="Arial"/>
      <w:b/>
      <w:bCs/>
      <w:sz w:val="20"/>
      <w:szCs w:val="20"/>
    </w:rPr>
  </w:style>
  <w:style w:type="paragraph" w:styleId="NoSpacing">
    <w:name w:val="No Spacing"/>
    <w:uiPriority w:val="1"/>
    <w:qFormat/>
    <w:rsid w:val="00541F18"/>
    <w:pPr>
      <w:spacing w:after="0" w:line="240" w:lineRule="auto"/>
    </w:pPr>
    <w:rPr>
      <w:rFonts w:ascii="Arial" w:hAnsi="Arial"/>
    </w:rPr>
  </w:style>
  <w:style w:type="paragraph" w:styleId="Revision">
    <w:name w:val="Revision"/>
    <w:hidden/>
    <w:uiPriority w:val="99"/>
    <w:semiHidden/>
    <w:rsid w:val="00604F84"/>
    <w:pPr>
      <w:spacing w:after="0" w:line="240" w:lineRule="auto"/>
    </w:pPr>
    <w:rPr>
      <w:rFonts w:ascii="Arial" w:hAnsi="Arial"/>
    </w:rPr>
  </w:style>
  <w:style w:type="paragraph" w:customStyle="1" w:styleId="EndNoteBibliographyTitle">
    <w:name w:val="EndNote Bibliography Title"/>
    <w:basedOn w:val="Normal"/>
    <w:link w:val="EndNoteBibliographyTitleChar"/>
    <w:rsid w:val="00C63DF2"/>
    <w:pPr>
      <w:jc w:val="center"/>
    </w:pPr>
    <w:rPr>
      <w:rFonts w:cs="Arial"/>
      <w:noProof/>
      <w:lang w:val="en-US"/>
    </w:rPr>
  </w:style>
  <w:style w:type="character" w:customStyle="1" w:styleId="EndNoteBibliographyTitleChar">
    <w:name w:val="EndNote Bibliography Title Char"/>
    <w:basedOn w:val="DefaultParagraphFont"/>
    <w:link w:val="EndNoteBibliographyTitle"/>
    <w:rsid w:val="00C63DF2"/>
    <w:rPr>
      <w:rFonts w:ascii="Arial" w:hAnsi="Arial" w:cs="Arial"/>
      <w:noProof/>
      <w:lang w:val="en-US"/>
    </w:rPr>
  </w:style>
  <w:style w:type="paragraph" w:customStyle="1" w:styleId="EndNoteBibliography">
    <w:name w:val="EndNote Bibliography"/>
    <w:basedOn w:val="Normal"/>
    <w:link w:val="EndNoteBibliographyChar"/>
    <w:rsid w:val="00C63DF2"/>
    <w:pPr>
      <w:spacing w:line="240" w:lineRule="auto"/>
    </w:pPr>
    <w:rPr>
      <w:rFonts w:cs="Arial"/>
      <w:noProof/>
      <w:lang w:val="en-US"/>
    </w:rPr>
  </w:style>
  <w:style w:type="character" w:customStyle="1" w:styleId="EndNoteBibliographyChar">
    <w:name w:val="EndNote Bibliography Char"/>
    <w:basedOn w:val="DefaultParagraphFont"/>
    <w:link w:val="EndNoteBibliography"/>
    <w:rsid w:val="00C63DF2"/>
    <w:rPr>
      <w:rFonts w:ascii="Arial" w:hAnsi="Arial" w:cs="Arial"/>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1"/>
          <c:order val="1"/>
          <c:tx>
            <c:strRef>
              <c:f>'Table 2'!$W$56</c:f>
              <c:strCache>
                <c:ptCount val="1"/>
                <c:pt idx="0">
                  <c:v>Health</c:v>
                </c:pt>
              </c:strCache>
            </c:strRef>
          </c:tx>
          <c:spPr>
            <a:solidFill>
              <a:schemeClr val="accent2"/>
            </a:solidFill>
            <a:ln>
              <a:noFill/>
            </a:ln>
            <a:effectLst/>
          </c:spPr>
          <c:invertIfNegative val="0"/>
          <c:cat>
            <c:numRef>
              <c:f>'Table 2'!$U$57:$U$88</c:f>
              <c:numCache>
                <c:formatCode>General</c:formatCode>
                <c:ptCount val="32"/>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pt idx="19">
                  <c:v>2010</c:v>
                </c:pt>
                <c:pt idx="20">
                  <c:v>2011</c:v>
                </c:pt>
                <c:pt idx="21">
                  <c:v>2012</c:v>
                </c:pt>
                <c:pt idx="22">
                  <c:v>2013</c:v>
                </c:pt>
                <c:pt idx="23">
                  <c:v>2014</c:v>
                </c:pt>
                <c:pt idx="24">
                  <c:v>2015</c:v>
                </c:pt>
                <c:pt idx="25">
                  <c:v>2016</c:v>
                </c:pt>
                <c:pt idx="26">
                  <c:v>2017</c:v>
                </c:pt>
                <c:pt idx="27">
                  <c:v>2018</c:v>
                </c:pt>
                <c:pt idx="28">
                  <c:v>2019</c:v>
                </c:pt>
                <c:pt idx="29">
                  <c:v>2020</c:v>
                </c:pt>
                <c:pt idx="30">
                  <c:v>2021</c:v>
                </c:pt>
                <c:pt idx="31">
                  <c:v>2022</c:v>
                </c:pt>
              </c:numCache>
            </c:numRef>
          </c:cat>
          <c:val>
            <c:numRef>
              <c:f>'Table 2'!$W$57:$W$88</c:f>
              <c:numCache>
                <c:formatCode>General</c:formatCode>
                <c:ptCount val="32"/>
                <c:pt idx="0">
                  <c:v>0</c:v>
                </c:pt>
                <c:pt idx="1">
                  <c:v>0</c:v>
                </c:pt>
                <c:pt idx="2">
                  <c:v>0</c:v>
                </c:pt>
                <c:pt idx="3">
                  <c:v>1</c:v>
                </c:pt>
                <c:pt idx="4">
                  <c:v>1</c:v>
                </c:pt>
                <c:pt idx="5">
                  <c:v>0</c:v>
                </c:pt>
                <c:pt idx="6">
                  <c:v>0</c:v>
                </c:pt>
                <c:pt idx="7">
                  <c:v>0</c:v>
                </c:pt>
                <c:pt idx="8">
                  <c:v>0</c:v>
                </c:pt>
                <c:pt idx="9">
                  <c:v>2</c:v>
                </c:pt>
                <c:pt idx="10">
                  <c:v>1</c:v>
                </c:pt>
                <c:pt idx="11">
                  <c:v>1</c:v>
                </c:pt>
                <c:pt idx="12">
                  <c:v>0</c:v>
                </c:pt>
                <c:pt idx="13">
                  <c:v>0</c:v>
                </c:pt>
                <c:pt idx="14">
                  <c:v>1</c:v>
                </c:pt>
                <c:pt idx="15">
                  <c:v>0</c:v>
                </c:pt>
                <c:pt idx="16">
                  <c:v>2</c:v>
                </c:pt>
                <c:pt idx="17">
                  <c:v>0</c:v>
                </c:pt>
                <c:pt idx="18">
                  <c:v>1</c:v>
                </c:pt>
                <c:pt idx="19">
                  <c:v>0</c:v>
                </c:pt>
                <c:pt idx="20">
                  <c:v>2</c:v>
                </c:pt>
                <c:pt idx="21">
                  <c:v>2</c:v>
                </c:pt>
                <c:pt idx="22">
                  <c:v>1</c:v>
                </c:pt>
                <c:pt idx="23">
                  <c:v>1</c:v>
                </c:pt>
                <c:pt idx="24">
                  <c:v>1</c:v>
                </c:pt>
                <c:pt idx="25">
                  <c:v>3</c:v>
                </c:pt>
                <c:pt idx="26">
                  <c:v>3</c:v>
                </c:pt>
                <c:pt idx="27">
                  <c:v>1</c:v>
                </c:pt>
                <c:pt idx="28">
                  <c:v>4</c:v>
                </c:pt>
                <c:pt idx="29">
                  <c:v>1</c:v>
                </c:pt>
                <c:pt idx="30">
                  <c:v>6</c:v>
                </c:pt>
                <c:pt idx="31">
                  <c:v>1</c:v>
                </c:pt>
              </c:numCache>
            </c:numRef>
          </c:val>
          <c:extLst>
            <c:ext xmlns:c16="http://schemas.microsoft.com/office/drawing/2014/chart" uri="{C3380CC4-5D6E-409C-BE32-E72D297353CC}">
              <c16:uniqueId val="{00000000-EA09-4A71-99F5-7DA40B45C1FF}"/>
            </c:ext>
          </c:extLst>
        </c:ser>
        <c:ser>
          <c:idx val="2"/>
          <c:order val="2"/>
          <c:tx>
            <c:strRef>
              <c:f>'Table 2'!$X$56</c:f>
              <c:strCache>
                <c:ptCount val="1"/>
                <c:pt idx="0">
                  <c:v>DSVA </c:v>
                </c:pt>
              </c:strCache>
            </c:strRef>
          </c:tx>
          <c:spPr>
            <a:solidFill>
              <a:schemeClr val="accent3"/>
            </a:solidFill>
            <a:ln>
              <a:noFill/>
            </a:ln>
            <a:effectLst/>
          </c:spPr>
          <c:invertIfNegative val="0"/>
          <c:cat>
            <c:numRef>
              <c:f>'Table 2'!$U$57:$U$88</c:f>
              <c:numCache>
                <c:formatCode>General</c:formatCode>
                <c:ptCount val="32"/>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pt idx="19">
                  <c:v>2010</c:v>
                </c:pt>
                <c:pt idx="20">
                  <c:v>2011</c:v>
                </c:pt>
                <c:pt idx="21">
                  <c:v>2012</c:v>
                </c:pt>
                <c:pt idx="22">
                  <c:v>2013</c:v>
                </c:pt>
                <c:pt idx="23">
                  <c:v>2014</c:v>
                </c:pt>
                <c:pt idx="24">
                  <c:v>2015</c:v>
                </c:pt>
                <c:pt idx="25">
                  <c:v>2016</c:v>
                </c:pt>
                <c:pt idx="26">
                  <c:v>2017</c:v>
                </c:pt>
                <c:pt idx="27">
                  <c:v>2018</c:v>
                </c:pt>
                <c:pt idx="28">
                  <c:v>2019</c:v>
                </c:pt>
                <c:pt idx="29">
                  <c:v>2020</c:v>
                </c:pt>
                <c:pt idx="30">
                  <c:v>2021</c:v>
                </c:pt>
                <c:pt idx="31">
                  <c:v>2022</c:v>
                </c:pt>
              </c:numCache>
            </c:numRef>
          </c:cat>
          <c:val>
            <c:numRef>
              <c:f>'Table 2'!$X$57:$X$88</c:f>
              <c:numCache>
                <c:formatCode>General</c:formatCode>
                <c:ptCount val="32"/>
                <c:pt idx="0">
                  <c:v>1</c:v>
                </c:pt>
                <c:pt idx="1">
                  <c:v>0</c:v>
                </c:pt>
                <c:pt idx="2">
                  <c:v>0</c:v>
                </c:pt>
                <c:pt idx="3">
                  <c:v>0</c:v>
                </c:pt>
                <c:pt idx="4">
                  <c:v>0</c:v>
                </c:pt>
                <c:pt idx="5">
                  <c:v>0</c:v>
                </c:pt>
                <c:pt idx="6">
                  <c:v>0</c:v>
                </c:pt>
                <c:pt idx="7">
                  <c:v>1</c:v>
                </c:pt>
                <c:pt idx="8">
                  <c:v>4</c:v>
                </c:pt>
                <c:pt idx="9">
                  <c:v>0</c:v>
                </c:pt>
                <c:pt idx="10">
                  <c:v>0</c:v>
                </c:pt>
                <c:pt idx="11">
                  <c:v>0</c:v>
                </c:pt>
                <c:pt idx="12">
                  <c:v>2</c:v>
                </c:pt>
                <c:pt idx="13">
                  <c:v>1</c:v>
                </c:pt>
                <c:pt idx="14">
                  <c:v>2</c:v>
                </c:pt>
                <c:pt idx="15">
                  <c:v>1</c:v>
                </c:pt>
                <c:pt idx="16">
                  <c:v>0</c:v>
                </c:pt>
                <c:pt idx="17">
                  <c:v>0</c:v>
                </c:pt>
                <c:pt idx="18">
                  <c:v>3</c:v>
                </c:pt>
                <c:pt idx="19">
                  <c:v>1</c:v>
                </c:pt>
                <c:pt idx="20">
                  <c:v>4</c:v>
                </c:pt>
                <c:pt idx="21">
                  <c:v>4</c:v>
                </c:pt>
                <c:pt idx="22">
                  <c:v>0</c:v>
                </c:pt>
                <c:pt idx="23">
                  <c:v>1</c:v>
                </c:pt>
                <c:pt idx="24">
                  <c:v>3</c:v>
                </c:pt>
                <c:pt idx="25">
                  <c:v>2</c:v>
                </c:pt>
                <c:pt idx="26">
                  <c:v>4</c:v>
                </c:pt>
                <c:pt idx="27">
                  <c:v>3</c:v>
                </c:pt>
                <c:pt idx="28">
                  <c:v>4</c:v>
                </c:pt>
                <c:pt idx="29">
                  <c:v>2</c:v>
                </c:pt>
                <c:pt idx="30">
                  <c:v>6</c:v>
                </c:pt>
                <c:pt idx="31">
                  <c:v>1</c:v>
                </c:pt>
              </c:numCache>
            </c:numRef>
          </c:val>
          <c:extLst>
            <c:ext xmlns:c16="http://schemas.microsoft.com/office/drawing/2014/chart" uri="{C3380CC4-5D6E-409C-BE32-E72D297353CC}">
              <c16:uniqueId val="{00000001-EA09-4A71-99F5-7DA40B45C1FF}"/>
            </c:ext>
          </c:extLst>
        </c:ser>
        <c:ser>
          <c:idx val="3"/>
          <c:order val="3"/>
          <c:tx>
            <c:strRef>
              <c:f>'Table 2'!$Y$56</c:f>
              <c:strCache>
                <c:ptCount val="1"/>
                <c:pt idx="0">
                  <c:v>Socio-economic circumstances</c:v>
                </c:pt>
              </c:strCache>
            </c:strRef>
          </c:tx>
          <c:spPr>
            <a:solidFill>
              <a:schemeClr val="accent4"/>
            </a:solidFill>
            <a:ln>
              <a:noFill/>
            </a:ln>
            <a:effectLst/>
          </c:spPr>
          <c:invertIfNegative val="0"/>
          <c:cat>
            <c:numRef>
              <c:f>'Table 2'!$U$57:$U$88</c:f>
              <c:numCache>
                <c:formatCode>General</c:formatCode>
                <c:ptCount val="32"/>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pt idx="19">
                  <c:v>2010</c:v>
                </c:pt>
                <c:pt idx="20">
                  <c:v>2011</c:v>
                </c:pt>
                <c:pt idx="21">
                  <c:v>2012</c:v>
                </c:pt>
                <c:pt idx="22">
                  <c:v>2013</c:v>
                </c:pt>
                <c:pt idx="23">
                  <c:v>2014</c:v>
                </c:pt>
                <c:pt idx="24">
                  <c:v>2015</c:v>
                </c:pt>
                <c:pt idx="25">
                  <c:v>2016</c:v>
                </c:pt>
                <c:pt idx="26">
                  <c:v>2017</c:v>
                </c:pt>
                <c:pt idx="27">
                  <c:v>2018</c:v>
                </c:pt>
                <c:pt idx="28">
                  <c:v>2019</c:v>
                </c:pt>
                <c:pt idx="29">
                  <c:v>2020</c:v>
                </c:pt>
                <c:pt idx="30">
                  <c:v>2021</c:v>
                </c:pt>
                <c:pt idx="31">
                  <c:v>2022</c:v>
                </c:pt>
              </c:numCache>
            </c:numRef>
          </c:cat>
          <c:val>
            <c:numRef>
              <c:f>'Table 2'!$Y$57:$Y$88</c:f>
              <c:numCache>
                <c:formatCode>General</c:formatCode>
                <c:ptCount val="32"/>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1</c:v>
                </c:pt>
                <c:pt idx="21">
                  <c:v>1</c:v>
                </c:pt>
                <c:pt idx="22">
                  <c:v>0</c:v>
                </c:pt>
                <c:pt idx="23">
                  <c:v>1</c:v>
                </c:pt>
                <c:pt idx="24">
                  <c:v>1</c:v>
                </c:pt>
                <c:pt idx="25">
                  <c:v>0</c:v>
                </c:pt>
                <c:pt idx="26">
                  <c:v>0</c:v>
                </c:pt>
                <c:pt idx="27">
                  <c:v>1</c:v>
                </c:pt>
                <c:pt idx="28">
                  <c:v>0</c:v>
                </c:pt>
                <c:pt idx="29">
                  <c:v>1</c:v>
                </c:pt>
                <c:pt idx="30">
                  <c:v>1</c:v>
                </c:pt>
                <c:pt idx="31">
                  <c:v>1</c:v>
                </c:pt>
              </c:numCache>
            </c:numRef>
          </c:val>
          <c:extLst>
            <c:ext xmlns:c16="http://schemas.microsoft.com/office/drawing/2014/chart" uri="{C3380CC4-5D6E-409C-BE32-E72D297353CC}">
              <c16:uniqueId val="{00000002-EA09-4A71-99F5-7DA40B45C1FF}"/>
            </c:ext>
          </c:extLst>
        </c:ser>
        <c:ser>
          <c:idx val="4"/>
          <c:order val="4"/>
          <c:tx>
            <c:strRef>
              <c:f>'Table 2'!$Z$56</c:f>
              <c:strCache>
                <c:ptCount val="1"/>
                <c:pt idx="0">
                  <c:v>Empowerment</c:v>
                </c:pt>
              </c:strCache>
            </c:strRef>
          </c:tx>
          <c:spPr>
            <a:solidFill>
              <a:schemeClr val="accent5"/>
            </a:solidFill>
            <a:ln>
              <a:noFill/>
            </a:ln>
            <a:effectLst/>
          </c:spPr>
          <c:invertIfNegative val="0"/>
          <c:cat>
            <c:numRef>
              <c:f>'Table 2'!$U$57:$U$88</c:f>
              <c:numCache>
                <c:formatCode>General</c:formatCode>
                <c:ptCount val="32"/>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pt idx="19">
                  <c:v>2010</c:v>
                </c:pt>
                <c:pt idx="20">
                  <c:v>2011</c:v>
                </c:pt>
                <c:pt idx="21">
                  <c:v>2012</c:v>
                </c:pt>
                <c:pt idx="22">
                  <c:v>2013</c:v>
                </c:pt>
                <c:pt idx="23">
                  <c:v>2014</c:v>
                </c:pt>
                <c:pt idx="24">
                  <c:v>2015</c:v>
                </c:pt>
                <c:pt idx="25">
                  <c:v>2016</c:v>
                </c:pt>
                <c:pt idx="26">
                  <c:v>2017</c:v>
                </c:pt>
                <c:pt idx="27">
                  <c:v>2018</c:v>
                </c:pt>
                <c:pt idx="28">
                  <c:v>2019</c:v>
                </c:pt>
                <c:pt idx="29">
                  <c:v>2020</c:v>
                </c:pt>
                <c:pt idx="30">
                  <c:v>2021</c:v>
                </c:pt>
                <c:pt idx="31">
                  <c:v>2022</c:v>
                </c:pt>
              </c:numCache>
            </c:numRef>
          </c:cat>
          <c:val>
            <c:numRef>
              <c:f>'Table 2'!$Z$57:$Z$88</c:f>
              <c:numCache>
                <c:formatCode>General</c:formatCode>
                <c:ptCount val="32"/>
                <c:pt idx="0">
                  <c:v>0</c:v>
                </c:pt>
                <c:pt idx="1">
                  <c:v>0</c:v>
                </c:pt>
                <c:pt idx="2">
                  <c:v>0</c:v>
                </c:pt>
                <c:pt idx="3">
                  <c:v>1</c:v>
                </c:pt>
                <c:pt idx="4">
                  <c:v>0</c:v>
                </c:pt>
                <c:pt idx="5">
                  <c:v>0</c:v>
                </c:pt>
                <c:pt idx="6">
                  <c:v>0</c:v>
                </c:pt>
                <c:pt idx="7">
                  <c:v>0</c:v>
                </c:pt>
                <c:pt idx="8">
                  <c:v>0</c:v>
                </c:pt>
                <c:pt idx="9">
                  <c:v>2</c:v>
                </c:pt>
                <c:pt idx="10">
                  <c:v>0</c:v>
                </c:pt>
                <c:pt idx="11">
                  <c:v>0</c:v>
                </c:pt>
                <c:pt idx="12">
                  <c:v>0</c:v>
                </c:pt>
                <c:pt idx="13">
                  <c:v>0</c:v>
                </c:pt>
                <c:pt idx="14">
                  <c:v>1</c:v>
                </c:pt>
                <c:pt idx="15">
                  <c:v>0</c:v>
                </c:pt>
                <c:pt idx="16">
                  <c:v>1</c:v>
                </c:pt>
                <c:pt idx="17">
                  <c:v>0</c:v>
                </c:pt>
                <c:pt idx="18">
                  <c:v>2</c:v>
                </c:pt>
                <c:pt idx="19">
                  <c:v>0</c:v>
                </c:pt>
                <c:pt idx="20">
                  <c:v>1</c:v>
                </c:pt>
                <c:pt idx="21">
                  <c:v>1</c:v>
                </c:pt>
                <c:pt idx="22">
                  <c:v>0</c:v>
                </c:pt>
                <c:pt idx="23">
                  <c:v>1</c:v>
                </c:pt>
                <c:pt idx="24">
                  <c:v>2</c:v>
                </c:pt>
                <c:pt idx="25">
                  <c:v>2</c:v>
                </c:pt>
                <c:pt idx="26">
                  <c:v>0</c:v>
                </c:pt>
                <c:pt idx="27">
                  <c:v>0</c:v>
                </c:pt>
                <c:pt idx="28">
                  <c:v>3</c:v>
                </c:pt>
                <c:pt idx="29">
                  <c:v>0</c:v>
                </c:pt>
                <c:pt idx="30">
                  <c:v>3</c:v>
                </c:pt>
                <c:pt idx="31">
                  <c:v>1</c:v>
                </c:pt>
              </c:numCache>
            </c:numRef>
          </c:val>
          <c:extLst>
            <c:ext xmlns:c16="http://schemas.microsoft.com/office/drawing/2014/chart" uri="{C3380CC4-5D6E-409C-BE32-E72D297353CC}">
              <c16:uniqueId val="{00000003-EA09-4A71-99F5-7DA40B45C1FF}"/>
            </c:ext>
          </c:extLst>
        </c:ser>
        <c:ser>
          <c:idx val="5"/>
          <c:order val="5"/>
          <c:tx>
            <c:strRef>
              <c:f>'Table 2'!$AA$56</c:f>
              <c:strCache>
                <c:ptCount val="1"/>
                <c:pt idx="0">
                  <c:v>Parenting</c:v>
                </c:pt>
              </c:strCache>
            </c:strRef>
          </c:tx>
          <c:spPr>
            <a:solidFill>
              <a:schemeClr val="accent6"/>
            </a:solidFill>
            <a:ln>
              <a:noFill/>
            </a:ln>
            <a:effectLst/>
          </c:spPr>
          <c:invertIfNegative val="0"/>
          <c:cat>
            <c:numRef>
              <c:f>'Table 2'!$U$57:$U$88</c:f>
              <c:numCache>
                <c:formatCode>General</c:formatCode>
                <c:ptCount val="32"/>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pt idx="19">
                  <c:v>2010</c:v>
                </c:pt>
                <c:pt idx="20">
                  <c:v>2011</c:v>
                </c:pt>
                <c:pt idx="21">
                  <c:v>2012</c:v>
                </c:pt>
                <c:pt idx="22">
                  <c:v>2013</c:v>
                </c:pt>
                <c:pt idx="23">
                  <c:v>2014</c:v>
                </c:pt>
                <c:pt idx="24">
                  <c:v>2015</c:v>
                </c:pt>
                <c:pt idx="25">
                  <c:v>2016</c:v>
                </c:pt>
                <c:pt idx="26">
                  <c:v>2017</c:v>
                </c:pt>
                <c:pt idx="27">
                  <c:v>2018</c:v>
                </c:pt>
                <c:pt idx="28">
                  <c:v>2019</c:v>
                </c:pt>
                <c:pt idx="29">
                  <c:v>2020</c:v>
                </c:pt>
                <c:pt idx="30">
                  <c:v>2021</c:v>
                </c:pt>
                <c:pt idx="31">
                  <c:v>2022</c:v>
                </c:pt>
              </c:numCache>
            </c:numRef>
          </c:cat>
          <c:val>
            <c:numRef>
              <c:f>'Table 2'!$AA$57:$AA$88</c:f>
              <c:numCache>
                <c:formatCode>General</c:formatCode>
                <c:ptCount val="32"/>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1</c:v>
                </c:pt>
                <c:pt idx="22">
                  <c:v>0</c:v>
                </c:pt>
                <c:pt idx="23">
                  <c:v>1</c:v>
                </c:pt>
                <c:pt idx="24">
                  <c:v>1</c:v>
                </c:pt>
                <c:pt idx="25">
                  <c:v>0</c:v>
                </c:pt>
                <c:pt idx="26">
                  <c:v>1</c:v>
                </c:pt>
                <c:pt idx="27">
                  <c:v>0</c:v>
                </c:pt>
                <c:pt idx="28">
                  <c:v>1</c:v>
                </c:pt>
                <c:pt idx="29">
                  <c:v>0</c:v>
                </c:pt>
                <c:pt idx="30">
                  <c:v>0</c:v>
                </c:pt>
                <c:pt idx="31">
                  <c:v>0</c:v>
                </c:pt>
              </c:numCache>
            </c:numRef>
          </c:val>
          <c:extLst>
            <c:ext xmlns:c16="http://schemas.microsoft.com/office/drawing/2014/chart" uri="{C3380CC4-5D6E-409C-BE32-E72D297353CC}">
              <c16:uniqueId val="{00000004-EA09-4A71-99F5-7DA40B45C1FF}"/>
            </c:ext>
          </c:extLst>
        </c:ser>
        <c:ser>
          <c:idx val="6"/>
          <c:order val="6"/>
          <c:tx>
            <c:strRef>
              <c:f>'Table 2'!$AB$56</c:f>
              <c:strCache>
                <c:ptCount val="1"/>
                <c:pt idx="0">
                  <c:v>Victim-perpetrator relationship</c:v>
                </c:pt>
              </c:strCache>
            </c:strRef>
          </c:tx>
          <c:spPr>
            <a:solidFill>
              <a:schemeClr val="accent1">
                <a:lumMod val="60000"/>
              </a:schemeClr>
            </a:solidFill>
            <a:ln>
              <a:noFill/>
            </a:ln>
            <a:effectLst/>
          </c:spPr>
          <c:invertIfNegative val="0"/>
          <c:cat>
            <c:numRef>
              <c:f>'Table 2'!$U$57:$U$88</c:f>
              <c:numCache>
                <c:formatCode>General</c:formatCode>
                <c:ptCount val="32"/>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pt idx="19">
                  <c:v>2010</c:v>
                </c:pt>
                <c:pt idx="20">
                  <c:v>2011</c:v>
                </c:pt>
                <c:pt idx="21">
                  <c:v>2012</c:v>
                </c:pt>
                <c:pt idx="22">
                  <c:v>2013</c:v>
                </c:pt>
                <c:pt idx="23">
                  <c:v>2014</c:v>
                </c:pt>
                <c:pt idx="24">
                  <c:v>2015</c:v>
                </c:pt>
                <c:pt idx="25">
                  <c:v>2016</c:v>
                </c:pt>
                <c:pt idx="26">
                  <c:v>2017</c:v>
                </c:pt>
                <c:pt idx="27">
                  <c:v>2018</c:v>
                </c:pt>
                <c:pt idx="28">
                  <c:v>2019</c:v>
                </c:pt>
                <c:pt idx="29">
                  <c:v>2020</c:v>
                </c:pt>
                <c:pt idx="30">
                  <c:v>2021</c:v>
                </c:pt>
                <c:pt idx="31">
                  <c:v>2022</c:v>
                </c:pt>
              </c:numCache>
            </c:numRef>
          </c:cat>
          <c:val>
            <c:numRef>
              <c:f>'Table 2'!$AB$57:$AB$88</c:f>
              <c:numCache>
                <c:formatCode>General</c:formatCode>
                <c:ptCount val="32"/>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1</c:v>
                </c:pt>
                <c:pt idx="19">
                  <c:v>0</c:v>
                </c:pt>
                <c:pt idx="20">
                  <c:v>0</c:v>
                </c:pt>
                <c:pt idx="21">
                  <c:v>1</c:v>
                </c:pt>
                <c:pt idx="22">
                  <c:v>0</c:v>
                </c:pt>
                <c:pt idx="23">
                  <c:v>0</c:v>
                </c:pt>
                <c:pt idx="24">
                  <c:v>1</c:v>
                </c:pt>
                <c:pt idx="25">
                  <c:v>0</c:v>
                </c:pt>
                <c:pt idx="26">
                  <c:v>1</c:v>
                </c:pt>
                <c:pt idx="27">
                  <c:v>2</c:v>
                </c:pt>
                <c:pt idx="28">
                  <c:v>0</c:v>
                </c:pt>
                <c:pt idx="29">
                  <c:v>1</c:v>
                </c:pt>
                <c:pt idx="30">
                  <c:v>3</c:v>
                </c:pt>
                <c:pt idx="31">
                  <c:v>0</c:v>
                </c:pt>
              </c:numCache>
            </c:numRef>
          </c:val>
          <c:extLst>
            <c:ext xmlns:c16="http://schemas.microsoft.com/office/drawing/2014/chart" uri="{C3380CC4-5D6E-409C-BE32-E72D297353CC}">
              <c16:uniqueId val="{00000005-EA09-4A71-99F5-7DA40B45C1FF}"/>
            </c:ext>
          </c:extLst>
        </c:ser>
        <c:ser>
          <c:idx val="7"/>
          <c:order val="7"/>
          <c:tx>
            <c:strRef>
              <c:f>'Table 2'!$AC$56</c:f>
              <c:strCache>
                <c:ptCount val="1"/>
                <c:pt idx="0">
                  <c:v>Changing perpetrator beliefs and skills</c:v>
                </c:pt>
              </c:strCache>
            </c:strRef>
          </c:tx>
          <c:spPr>
            <a:solidFill>
              <a:schemeClr val="accent2">
                <a:lumMod val="60000"/>
              </a:schemeClr>
            </a:solidFill>
            <a:ln>
              <a:noFill/>
            </a:ln>
            <a:effectLst/>
          </c:spPr>
          <c:invertIfNegative val="0"/>
          <c:cat>
            <c:numRef>
              <c:f>'Table 2'!$U$57:$U$88</c:f>
              <c:numCache>
                <c:formatCode>General</c:formatCode>
                <c:ptCount val="32"/>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pt idx="19">
                  <c:v>2010</c:v>
                </c:pt>
                <c:pt idx="20">
                  <c:v>2011</c:v>
                </c:pt>
                <c:pt idx="21">
                  <c:v>2012</c:v>
                </c:pt>
                <c:pt idx="22">
                  <c:v>2013</c:v>
                </c:pt>
                <c:pt idx="23">
                  <c:v>2014</c:v>
                </c:pt>
                <c:pt idx="24">
                  <c:v>2015</c:v>
                </c:pt>
                <c:pt idx="25">
                  <c:v>2016</c:v>
                </c:pt>
                <c:pt idx="26">
                  <c:v>2017</c:v>
                </c:pt>
                <c:pt idx="27">
                  <c:v>2018</c:v>
                </c:pt>
                <c:pt idx="28">
                  <c:v>2019</c:v>
                </c:pt>
                <c:pt idx="29">
                  <c:v>2020</c:v>
                </c:pt>
                <c:pt idx="30">
                  <c:v>2021</c:v>
                </c:pt>
                <c:pt idx="31">
                  <c:v>2022</c:v>
                </c:pt>
              </c:numCache>
            </c:numRef>
          </c:cat>
          <c:val>
            <c:numRef>
              <c:f>'Table 2'!$AC$57:$AC$88</c:f>
              <c:numCache>
                <c:formatCode>General</c:formatCode>
                <c:ptCount val="32"/>
                <c:pt idx="0">
                  <c:v>0</c:v>
                </c:pt>
                <c:pt idx="1">
                  <c:v>0</c:v>
                </c:pt>
                <c:pt idx="2">
                  <c:v>0</c:v>
                </c:pt>
                <c:pt idx="3">
                  <c:v>0</c:v>
                </c:pt>
                <c:pt idx="4">
                  <c:v>0</c:v>
                </c:pt>
                <c:pt idx="5">
                  <c:v>0</c:v>
                </c:pt>
                <c:pt idx="6">
                  <c:v>0</c:v>
                </c:pt>
                <c:pt idx="7">
                  <c:v>1</c:v>
                </c:pt>
                <c:pt idx="8">
                  <c:v>1</c:v>
                </c:pt>
                <c:pt idx="9">
                  <c:v>0</c:v>
                </c:pt>
                <c:pt idx="10">
                  <c:v>0</c:v>
                </c:pt>
                <c:pt idx="11">
                  <c:v>0</c:v>
                </c:pt>
                <c:pt idx="12">
                  <c:v>0</c:v>
                </c:pt>
                <c:pt idx="13">
                  <c:v>0</c:v>
                </c:pt>
                <c:pt idx="14">
                  <c:v>0</c:v>
                </c:pt>
                <c:pt idx="15">
                  <c:v>0</c:v>
                </c:pt>
                <c:pt idx="16">
                  <c:v>1</c:v>
                </c:pt>
                <c:pt idx="17">
                  <c:v>0</c:v>
                </c:pt>
                <c:pt idx="18">
                  <c:v>0</c:v>
                </c:pt>
                <c:pt idx="19">
                  <c:v>1</c:v>
                </c:pt>
                <c:pt idx="20">
                  <c:v>1</c:v>
                </c:pt>
                <c:pt idx="21">
                  <c:v>3</c:v>
                </c:pt>
                <c:pt idx="22">
                  <c:v>0</c:v>
                </c:pt>
                <c:pt idx="23">
                  <c:v>0</c:v>
                </c:pt>
                <c:pt idx="24">
                  <c:v>0</c:v>
                </c:pt>
                <c:pt idx="25">
                  <c:v>1</c:v>
                </c:pt>
                <c:pt idx="26">
                  <c:v>0</c:v>
                </c:pt>
                <c:pt idx="27">
                  <c:v>0</c:v>
                </c:pt>
                <c:pt idx="28">
                  <c:v>2</c:v>
                </c:pt>
                <c:pt idx="29">
                  <c:v>1</c:v>
                </c:pt>
                <c:pt idx="30">
                  <c:v>1</c:v>
                </c:pt>
                <c:pt idx="31">
                  <c:v>1</c:v>
                </c:pt>
              </c:numCache>
            </c:numRef>
          </c:val>
          <c:extLst>
            <c:ext xmlns:c16="http://schemas.microsoft.com/office/drawing/2014/chart" uri="{C3380CC4-5D6E-409C-BE32-E72D297353CC}">
              <c16:uniqueId val="{00000006-EA09-4A71-99F5-7DA40B45C1FF}"/>
            </c:ext>
          </c:extLst>
        </c:ser>
        <c:ser>
          <c:idx val="8"/>
          <c:order val="8"/>
          <c:tx>
            <c:strRef>
              <c:f>'Table 2'!$AD$56</c:f>
              <c:strCache>
                <c:ptCount val="1"/>
                <c:pt idx="0">
                  <c:v>Behavioural </c:v>
                </c:pt>
              </c:strCache>
            </c:strRef>
          </c:tx>
          <c:spPr>
            <a:solidFill>
              <a:schemeClr val="accent3">
                <a:lumMod val="60000"/>
              </a:schemeClr>
            </a:solidFill>
            <a:ln>
              <a:noFill/>
            </a:ln>
            <a:effectLst/>
          </c:spPr>
          <c:invertIfNegative val="0"/>
          <c:cat>
            <c:numRef>
              <c:f>'Table 2'!$U$57:$U$88</c:f>
              <c:numCache>
                <c:formatCode>General</c:formatCode>
                <c:ptCount val="32"/>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pt idx="19">
                  <c:v>2010</c:v>
                </c:pt>
                <c:pt idx="20">
                  <c:v>2011</c:v>
                </c:pt>
                <c:pt idx="21">
                  <c:v>2012</c:v>
                </c:pt>
                <c:pt idx="22">
                  <c:v>2013</c:v>
                </c:pt>
                <c:pt idx="23">
                  <c:v>2014</c:v>
                </c:pt>
                <c:pt idx="24">
                  <c:v>2015</c:v>
                </c:pt>
                <c:pt idx="25">
                  <c:v>2016</c:v>
                </c:pt>
                <c:pt idx="26">
                  <c:v>2017</c:v>
                </c:pt>
                <c:pt idx="27">
                  <c:v>2018</c:v>
                </c:pt>
                <c:pt idx="28">
                  <c:v>2019</c:v>
                </c:pt>
                <c:pt idx="29">
                  <c:v>2020</c:v>
                </c:pt>
                <c:pt idx="30">
                  <c:v>2021</c:v>
                </c:pt>
                <c:pt idx="31">
                  <c:v>2022</c:v>
                </c:pt>
              </c:numCache>
            </c:numRef>
          </c:cat>
          <c:val>
            <c:numRef>
              <c:f>'Table 2'!$AD$57:$AD$88</c:f>
              <c:numCache>
                <c:formatCode>General</c:formatCode>
                <c:ptCount val="32"/>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1</c:v>
                </c:pt>
                <c:pt idx="17">
                  <c:v>0</c:v>
                </c:pt>
                <c:pt idx="18">
                  <c:v>0</c:v>
                </c:pt>
                <c:pt idx="19">
                  <c:v>0</c:v>
                </c:pt>
                <c:pt idx="20">
                  <c:v>0</c:v>
                </c:pt>
                <c:pt idx="21">
                  <c:v>1</c:v>
                </c:pt>
                <c:pt idx="22">
                  <c:v>0</c:v>
                </c:pt>
                <c:pt idx="23">
                  <c:v>0</c:v>
                </c:pt>
                <c:pt idx="24">
                  <c:v>0</c:v>
                </c:pt>
                <c:pt idx="25">
                  <c:v>1</c:v>
                </c:pt>
                <c:pt idx="26">
                  <c:v>0</c:v>
                </c:pt>
                <c:pt idx="27">
                  <c:v>0</c:v>
                </c:pt>
                <c:pt idx="28">
                  <c:v>0</c:v>
                </c:pt>
                <c:pt idx="29">
                  <c:v>0</c:v>
                </c:pt>
                <c:pt idx="30">
                  <c:v>2</c:v>
                </c:pt>
                <c:pt idx="31">
                  <c:v>0</c:v>
                </c:pt>
              </c:numCache>
            </c:numRef>
          </c:val>
          <c:extLst>
            <c:ext xmlns:c16="http://schemas.microsoft.com/office/drawing/2014/chart" uri="{C3380CC4-5D6E-409C-BE32-E72D297353CC}">
              <c16:uniqueId val="{00000007-EA09-4A71-99F5-7DA40B45C1FF}"/>
            </c:ext>
          </c:extLst>
        </c:ser>
        <c:dLbls>
          <c:showLegendKey val="0"/>
          <c:showVal val="0"/>
          <c:showCatName val="0"/>
          <c:showSerName val="0"/>
          <c:showPercent val="0"/>
          <c:showBubbleSize val="0"/>
        </c:dLbls>
        <c:gapWidth val="66"/>
        <c:overlap val="100"/>
        <c:axId val="165554944"/>
        <c:axId val="165558272"/>
      </c:barChart>
      <c:lineChart>
        <c:grouping val="standard"/>
        <c:varyColors val="0"/>
        <c:ser>
          <c:idx val="0"/>
          <c:order val="0"/>
          <c:tx>
            <c:strRef>
              <c:f>'Table 2'!$V$56</c:f>
              <c:strCache>
                <c:ptCount val="1"/>
                <c:pt idx="0">
                  <c:v>Number of studies</c:v>
                </c:pt>
              </c:strCache>
            </c:strRef>
          </c:tx>
          <c:spPr>
            <a:ln w="19050" cap="rnd">
              <a:solidFill>
                <a:schemeClr val="tx1"/>
              </a:solidFill>
              <a:prstDash val="sysDot"/>
              <a:round/>
            </a:ln>
            <a:effectLst/>
          </c:spPr>
          <c:marker>
            <c:symbol val="none"/>
          </c:marker>
          <c:cat>
            <c:numRef>
              <c:f>'Table 2'!$U$57:$U$88</c:f>
              <c:numCache>
                <c:formatCode>General</c:formatCode>
                <c:ptCount val="32"/>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pt idx="19">
                  <c:v>2010</c:v>
                </c:pt>
                <c:pt idx="20">
                  <c:v>2011</c:v>
                </c:pt>
                <c:pt idx="21">
                  <c:v>2012</c:v>
                </c:pt>
                <c:pt idx="22">
                  <c:v>2013</c:v>
                </c:pt>
                <c:pt idx="23">
                  <c:v>2014</c:v>
                </c:pt>
                <c:pt idx="24">
                  <c:v>2015</c:v>
                </c:pt>
                <c:pt idx="25">
                  <c:v>2016</c:v>
                </c:pt>
                <c:pt idx="26">
                  <c:v>2017</c:v>
                </c:pt>
                <c:pt idx="27">
                  <c:v>2018</c:v>
                </c:pt>
                <c:pt idx="28">
                  <c:v>2019</c:v>
                </c:pt>
                <c:pt idx="29">
                  <c:v>2020</c:v>
                </c:pt>
                <c:pt idx="30">
                  <c:v>2021</c:v>
                </c:pt>
                <c:pt idx="31">
                  <c:v>2022</c:v>
                </c:pt>
              </c:numCache>
            </c:numRef>
          </c:cat>
          <c:val>
            <c:numRef>
              <c:f>'Table 2'!$V$57:$V$88</c:f>
              <c:numCache>
                <c:formatCode>General</c:formatCode>
                <c:ptCount val="32"/>
                <c:pt idx="0">
                  <c:v>1</c:v>
                </c:pt>
                <c:pt idx="1">
                  <c:v>0</c:v>
                </c:pt>
                <c:pt idx="2">
                  <c:v>0</c:v>
                </c:pt>
                <c:pt idx="3">
                  <c:v>1</c:v>
                </c:pt>
                <c:pt idx="4">
                  <c:v>1</c:v>
                </c:pt>
                <c:pt idx="5">
                  <c:v>0</c:v>
                </c:pt>
                <c:pt idx="6">
                  <c:v>0</c:v>
                </c:pt>
                <c:pt idx="7">
                  <c:v>2</c:v>
                </c:pt>
                <c:pt idx="8">
                  <c:v>4</c:v>
                </c:pt>
                <c:pt idx="9">
                  <c:v>2</c:v>
                </c:pt>
                <c:pt idx="10">
                  <c:v>1</c:v>
                </c:pt>
                <c:pt idx="11">
                  <c:v>1</c:v>
                </c:pt>
                <c:pt idx="12">
                  <c:v>2</c:v>
                </c:pt>
                <c:pt idx="13">
                  <c:v>1</c:v>
                </c:pt>
                <c:pt idx="14">
                  <c:v>3</c:v>
                </c:pt>
                <c:pt idx="15">
                  <c:v>1</c:v>
                </c:pt>
                <c:pt idx="16">
                  <c:v>3</c:v>
                </c:pt>
                <c:pt idx="17">
                  <c:v>0</c:v>
                </c:pt>
                <c:pt idx="18">
                  <c:v>3</c:v>
                </c:pt>
                <c:pt idx="19">
                  <c:v>1</c:v>
                </c:pt>
                <c:pt idx="20">
                  <c:v>5</c:v>
                </c:pt>
                <c:pt idx="21">
                  <c:v>7</c:v>
                </c:pt>
                <c:pt idx="22">
                  <c:v>1</c:v>
                </c:pt>
                <c:pt idx="23">
                  <c:v>1</c:v>
                </c:pt>
                <c:pt idx="24">
                  <c:v>5</c:v>
                </c:pt>
                <c:pt idx="25">
                  <c:v>4</c:v>
                </c:pt>
                <c:pt idx="26">
                  <c:v>6</c:v>
                </c:pt>
                <c:pt idx="27">
                  <c:v>3</c:v>
                </c:pt>
                <c:pt idx="28">
                  <c:v>7</c:v>
                </c:pt>
                <c:pt idx="29">
                  <c:v>3</c:v>
                </c:pt>
                <c:pt idx="30">
                  <c:v>8</c:v>
                </c:pt>
                <c:pt idx="31">
                  <c:v>3</c:v>
                </c:pt>
              </c:numCache>
            </c:numRef>
          </c:val>
          <c:smooth val="0"/>
          <c:extLst>
            <c:ext xmlns:c16="http://schemas.microsoft.com/office/drawing/2014/chart" uri="{C3380CC4-5D6E-409C-BE32-E72D297353CC}">
              <c16:uniqueId val="{00000008-EA09-4A71-99F5-7DA40B45C1FF}"/>
            </c:ext>
          </c:extLst>
        </c:ser>
        <c:dLbls>
          <c:showLegendKey val="0"/>
          <c:showVal val="0"/>
          <c:showCatName val="0"/>
          <c:showSerName val="0"/>
          <c:showPercent val="0"/>
          <c:showBubbleSize val="0"/>
        </c:dLbls>
        <c:marker val="1"/>
        <c:smooth val="0"/>
        <c:axId val="165554944"/>
        <c:axId val="165558272"/>
      </c:lineChart>
      <c:catAx>
        <c:axId val="16555494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5558272"/>
        <c:crosses val="autoZero"/>
        <c:auto val="1"/>
        <c:lblAlgn val="ctr"/>
        <c:lblOffset val="100"/>
        <c:tickLblSkip val="2"/>
        <c:tickMarkSkip val="1"/>
        <c:noMultiLvlLbl val="0"/>
      </c:catAx>
      <c:valAx>
        <c:axId val="16555827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Number of outcomes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5554944"/>
        <c:crosses val="autoZero"/>
        <c:crossBetween val="between"/>
      </c:valAx>
      <c:spPr>
        <a:noFill/>
        <a:ln>
          <a:noFill/>
        </a:ln>
        <a:effectLst/>
      </c:spPr>
    </c:plotArea>
    <c:legend>
      <c:legendPos val="b"/>
      <c:layout>
        <c:manualLayout>
          <c:xMode val="edge"/>
          <c:yMode val="edge"/>
          <c:x val="9.0884318564657035E-2"/>
          <c:y val="0.69049071721685151"/>
          <c:w val="0.8620124573980491"/>
          <c:h val="0.2886142801712732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01B102-308C-4622-B021-AEFFF52817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104</Words>
  <Characters>597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Carlisle</dc:creator>
  <cp:keywords/>
  <dc:description/>
  <cp:lastModifiedBy>Sophie Carlisle</cp:lastModifiedBy>
  <cp:revision>2</cp:revision>
  <dcterms:created xsi:type="dcterms:W3CDTF">2023-04-06T10:24:00Z</dcterms:created>
  <dcterms:modified xsi:type="dcterms:W3CDTF">2023-04-06T10:24:00Z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6c24981-b6df-48f8-949b-0896357b9b03_Enabled">
    <vt:lpwstr>true</vt:lpwstr>
  </property>
  <property fmtid="{D5CDD505-2E9C-101B-9397-08002B2CF9AE}" pid="3" name="MSIP_Label_06c24981-b6df-48f8-949b-0896357b9b03_SetDate">
    <vt:lpwstr>2023-03-19T14:03:43Z</vt:lpwstr>
  </property>
  <property fmtid="{D5CDD505-2E9C-101B-9397-08002B2CF9AE}" pid="4" name="MSIP_Label_06c24981-b6df-48f8-949b-0896357b9b03_Method">
    <vt:lpwstr>Standard</vt:lpwstr>
  </property>
  <property fmtid="{D5CDD505-2E9C-101B-9397-08002B2CF9AE}" pid="5" name="MSIP_Label_06c24981-b6df-48f8-949b-0896357b9b03_Name">
    <vt:lpwstr>Official</vt:lpwstr>
  </property>
  <property fmtid="{D5CDD505-2E9C-101B-9397-08002B2CF9AE}" pid="6" name="MSIP_Label_06c24981-b6df-48f8-949b-0896357b9b03_SiteId">
    <vt:lpwstr>dd615949-5bd0-4da0-ac52-28ef8d336373</vt:lpwstr>
  </property>
  <property fmtid="{D5CDD505-2E9C-101B-9397-08002B2CF9AE}" pid="7" name="MSIP_Label_06c24981-b6df-48f8-949b-0896357b9b03_ActionId">
    <vt:lpwstr>a7899148-b51b-4ddd-b0d9-8d8765e21187</vt:lpwstr>
  </property>
  <property fmtid="{D5CDD505-2E9C-101B-9397-08002B2CF9AE}" pid="8" name="MSIP_Label_06c24981-b6df-48f8-949b-0896357b9b03_ContentBits">
    <vt:lpwstr>0</vt:lpwstr>
  </property>
</Properties>
</file>