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42053" w14:textId="77777777" w:rsidR="00613552" w:rsidRPr="00A71291" w:rsidRDefault="00613552" w:rsidP="00613552">
      <w:pPr>
        <w:pStyle w:val="Heading1"/>
        <w:spacing w:line="480" w:lineRule="auto"/>
        <w:rPr>
          <w:sz w:val="24"/>
          <w:szCs w:val="24"/>
        </w:rPr>
      </w:pPr>
      <w:bookmarkStart w:id="0" w:name="_Hlk124860810"/>
      <w:r w:rsidRPr="00A71291">
        <w:rPr>
          <w:sz w:val="24"/>
          <w:szCs w:val="24"/>
        </w:rPr>
        <w:t>Supplementary discussion</w:t>
      </w:r>
    </w:p>
    <w:p w14:paraId="4C98E9D7" w14:textId="77777777" w:rsidR="00613552" w:rsidRPr="00A71291" w:rsidRDefault="00613552" w:rsidP="00613552">
      <w:pPr>
        <w:pStyle w:val="Heading2"/>
        <w:spacing w:line="480" w:lineRule="auto"/>
        <w:rPr>
          <w:sz w:val="24"/>
          <w:szCs w:val="24"/>
        </w:rPr>
      </w:pPr>
      <w:bookmarkStart w:id="1" w:name="_heading=h.ihv636" w:colFirst="0" w:colLast="0"/>
      <w:bookmarkEnd w:id="1"/>
      <w:r w:rsidRPr="00A71291">
        <w:rPr>
          <w:sz w:val="24"/>
          <w:szCs w:val="24"/>
        </w:rPr>
        <w:t>S1 Choice of fractionation protocol</w:t>
      </w:r>
    </w:p>
    <w:p w14:paraId="214FC735" w14:textId="77777777" w:rsidR="00613552" w:rsidRPr="00A71291" w:rsidRDefault="00613552" w:rsidP="00613552">
      <w:pPr>
        <w:spacing w:after="0" w:line="480" w:lineRule="auto"/>
        <w:jc w:val="both"/>
        <w:rPr>
          <w:sz w:val="24"/>
          <w:szCs w:val="24"/>
        </w:rPr>
      </w:pPr>
      <w:r w:rsidRPr="00A71291">
        <w:rPr>
          <w:sz w:val="24"/>
          <w:szCs w:val="24"/>
        </w:rPr>
        <w:t>Note that absolute numbers such as the 4 % SOC threshold at which SA</w:t>
      </w:r>
      <w:r w:rsidRPr="00A71291">
        <w:rPr>
          <w:sz w:val="24"/>
          <w:szCs w:val="24"/>
          <w:vertAlign w:val="subscript"/>
        </w:rPr>
        <w:t>TOT</w:t>
      </w:r>
      <w:r w:rsidRPr="00A71291">
        <w:rPr>
          <w:sz w:val="24"/>
          <w:szCs w:val="24"/>
        </w:rPr>
        <w:t xml:space="preserve"> exceeds S+C</w:t>
      </w:r>
      <w:r w:rsidRPr="00A71291">
        <w:rPr>
          <w:sz w:val="24"/>
          <w:szCs w:val="24"/>
          <w:vertAlign w:val="subscript"/>
        </w:rPr>
        <w:t>TOT</w:t>
      </w:r>
      <w:r w:rsidRPr="00A71291">
        <w:rPr>
          <w:sz w:val="24"/>
          <w:szCs w:val="24"/>
        </w:rPr>
        <w:t xml:space="preserve"> may be affected by the choice of fractionation protocol</w:t>
      </w:r>
      <w:r w:rsidRPr="00A71291">
        <w:rPr>
          <w:sz w:val="24"/>
          <w:szCs w:val="24"/>
          <w:vertAlign w:val="superscript"/>
        </w:rPr>
        <w:fldChar w:fldCharType="begin"/>
      </w:r>
      <w:r>
        <w:rPr>
          <w:sz w:val="24"/>
          <w:szCs w:val="24"/>
          <w:vertAlign w:val="superscript"/>
        </w:rPr>
        <w:instrText xml:space="preserve"> ADDIN ZOTERO_ITEM CSL_CITATION {"citationID":"M2ob54Jg","properties":{"formattedCitation":"\\super 80,81\\nosupersub{}","plainCitation":"80,81","noteIndex":0},"citationItems":[{"id":1185,"uris":["http://zotero.org/users/local/bAbjI7Wz/items/LM8PEVXG"],"itemData":{"id":1185,"type":"article-journal","abstract":"Ultrasonic dispersion is a prevalent tool for soil fractionation. It is widely ignored that variation in ultrasonic power might lead to significantly different dispersion. We evaluated the effect of power variation with constant energy on the fine fraction mass, its organic C content and quality. All parameters increased significantly with power. The term “stable aggregates” as used in fractionation schemes cannot be defined by ultrasonic energy alone but power needs to be standardized, too.","container-title":"Journal of Plant Nutrition and Soil Science","DOI":"10.1002/jpln.201300492","ISSN":"1436-8730, 1522-2624","issue":"2","journalAbbreviation":"Z. Pflanzenernähr. Bodenk.","language":"en","page":"137-140","source":"DOI.org (Crossref)","title":"Effect of ultrasonic power on soil organic carbon fractions","volume":"177","author":[{"family":"Poeplau","given":"Christopher"},{"family":"Don","given":"Axel"}],"issued":{"date-parts":[["2014",4]]}}},{"id":1187,"uris":["http://zotero.org/users/local/bAbjI7Wz/items/LF774MH4"],"itemData":{"id":1187,"type":"article-journal","container-title":"Soil Biology and Biochemistry","DOI":"10.1016/j.soilbio.2018.06.025","ISSN":"00380717","journalAbbreviation":"Soil Biology and Biochemistry","language":"en","page":"10-26","source":"DOI.org (Crossref)","title":"Isolating organic carbon fractions with varying turnover rates in temperate agricultural soils – A comprehensive method comparison","volume":"125","author":[{"family":"Poeplau","given":"Christopher"},{"family":"Don","given":"Axel"},{"family":"Six","given":"Johan"},{"family":"Kaiser","given":"Michael"},{"family":"Benbi","given":"Dinesh"},{"family":"Chenu","given":"Claire"},{"family":"Cotrufo","given":"M. Francesca"},{"family":"Derrien","given":"Delphine"},{"family":"Gioacchini","given":"Paola"},{"family":"Grand","given":"Stephanie"},{"family":"Gregorich","given":"Edward"},{"family":"Griepentrog","given":"Marco"},{"family":"Gunina","given":"Anna"},{"family":"Haddix","given":"Michelle"},{"family":"Kuzyakov","given":"Yakov"},{"family":"Kühnel","given":"Anna"},{"family":"Macdonald","given":"Lynne M."},{"family":"Soong","given":"Jennifer"},{"family":"Trigalet","given":"Sylvain"},{"family":"Vermeire","given":"Marie-Liesse"},{"family":"Rovira","given":"Pere"},{"family":"Wesemael","given":"Bas","non-dropping-particle":"van"},{"family":"Wiesmeier","given":"Martin"},{"family":"Yeasmin","given":"Sabina"},{"family":"Yevdokimov","given":"Ilya"},{"family":"Nieder","given":"Rolf"}],"issued":{"date-parts":[["2018",10]]}}}],"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80,81</w:t>
      </w:r>
      <w:r w:rsidRPr="00A71291">
        <w:rPr>
          <w:sz w:val="24"/>
          <w:szCs w:val="24"/>
          <w:vertAlign w:val="superscript"/>
        </w:rPr>
        <w:fldChar w:fldCharType="end"/>
      </w:r>
      <w:r w:rsidRPr="00A71291">
        <w:rPr>
          <w:sz w:val="24"/>
          <w:szCs w:val="24"/>
        </w:rPr>
        <w:t>. Nevertheless, while the strength of the sonication treatment may affect a quantitative assessment of thresholds at which the contribution of fractions to bulk SOC</w:t>
      </w:r>
      <w:r w:rsidRPr="00A71291">
        <w:rPr>
          <w:sz w:val="24"/>
          <w:szCs w:val="24"/>
          <w:vertAlign w:val="subscript"/>
        </w:rPr>
        <w:t xml:space="preserve">% </w:t>
      </w:r>
      <w:r w:rsidRPr="00A71291">
        <w:rPr>
          <w:sz w:val="24"/>
          <w:szCs w:val="24"/>
        </w:rPr>
        <w:t>change, it does not affect patterns of relative contribution of fractions to bulk SOC</w:t>
      </w:r>
      <w:r w:rsidRPr="00A71291">
        <w:rPr>
          <w:sz w:val="24"/>
          <w:szCs w:val="24"/>
          <w:vertAlign w:val="subscript"/>
        </w:rPr>
        <w:t>%</w:t>
      </w:r>
      <w:r w:rsidRPr="00A71291">
        <w:rPr>
          <w:sz w:val="24"/>
          <w:szCs w:val="24"/>
        </w:rPr>
        <w:t>.</w:t>
      </w:r>
    </w:p>
    <w:p w14:paraId="0C99F787" w14:textId="77777777" w:rsidR="00613552" w:rsidRPr="00A71291" w:rsidRDefault="00613552" w:rsidP="00613552">
      <w:pPr>
        <w:spacing w:after="0" w:line="480" w:lineRule="auto"/>
        <w:rPr>
          <w:sz w:val="24"/>
          <w:szCs w:val="24"/>
        </w:rPr>
      </w:pPr>
    </w:p>
    <w:p w14:paraId="09B99D29" w14:textId="77777777" w:rsidR="00613552" w:rsidRPr="00A71291" w:rsidRDefault="00613552" w:rsidP="00613552">
      <w:pPr>
        <w:pStyle w:val="Heading2"/>
        <w:spacing w:line="480" w:lineRule="auto"/>
        <w:jc w:val="both"/>
        <w:rPr>
          <w:sz w:val="24"/>
          <w:szCs w:val="24"/>
        </w:rPr>
      </w:pPr>
      <w:bookmarkStart w:id="2" w:name="_heading=h.2grqrue" w:colFirst="0" w:colLast="0"/>
      <w:bookmarkEnd w:id="2"/>
      <w:r w:rsidRPr="00A71291">
        <w:rPr>
          <w:sz w:val="24"/>
          <w:szCs w:val="24"/>
        </w:rPr>
        <w:t xml:space="preserve">S2 Relationships between soil biogeochemical and climatic factors </w:t>
      </w:r>
    </w:p>
    <w:p w14:paraId="30CEDA54" w14:textId="77777777" w:rsidR="00613552" w:rsidRPr="00A71291" w:rsidRDefault="00613552" w:rsidP="00613552">
      <w:pPr>
        <w:spacing w:after="0" w:line="480" w:lineRule="auto"/>
        <w:jc w:val="both"/>
        <w:rPr>
          <w:sz w:val="24"/>
          <w:szCs w:val="24"/>
        </w:rPr>
      </w:pPr>
      <w:r w:rsidRPr="00A71291">
        <w:rPr>
          <w:sz w:val="24"/>
          <w:szCs w:val="24"/>
        </w:rPr>
        <w:t>Despite varimax rotation maximizing differences in loading between components, annual water balance (calculated as MAP - PET) and NPP also correlate positively with RC4 “Pedogenic oxides”. Vice versa, the Rock-Eval I-index correlates also with RC6 “Temperature”. We argue that the mixed loading of these components is indicative of the role of moisture and organic inputs as drivers of mineral weathering</w:t>
      </w:r>
      <w:r w:rsidRPr="00A71291">
        <w:rPr>
          <w:sz w:val="24"/>
          <w:szCs w:val="24"/>
        </w:rPr>
        <w:fldChar w:fldCharType="begin"/>
      </w:r>
      <w:r>
        <w:rPr>
          <w:sz w:val="24"/>
          <w:szCs w:val="24"/>
        </w:rPr>
        <w:instrText xml:space="preserve"> ADDIN ZOTERO_ITEM CSL_CITATION {"citationID":"wejIgNkc","properties":{"formattedCitation":"\\super 4\\nosupersub{}","plainCitation":"4","noteIndex":0},"citationItems":[{"id":1216,"uris":["http://zotero.org/users/local/bAbjI7Wz/items/7FBGUG9U"],"itemData":{"id":1216,"type":"article-journal","container-title":"Biogeochemistry","DOI":"10.1007/s10533-018-0424-3","ISSN":"0168-2563, 1573-515X","issue":"3","journalAbbreviation":"Biogeochemistry","language":"en","page":"297-306","source":"DOI.org (Crossref)","title":"Beyond clay: towards an improved set of variables for predicting soil organic matter content","title-short":"Beyond clay","volume":"137","author":[{"family":"Rasmussen","given":"Craig"},{"family":"Heckman","given":"Katherine"},{"family":"Wieder","given":"William R."},{"family":"Keiluweit","given":"Marco"},{"family":"Lawrence","given":"Corey R."},{"family":"Berhe","given":"Asmeret Asefaw"},{"family":"Blankinship","given":"Joseph C."},{"family":"Crow","given":"Susan E."},{"family":"Druhan","given":"Jennifer L."},{"family":"Hicks Pries","given":"Caitlin E."},{"family":"Marin-Spiotta","given":"Erika"},{"family":"Plante","given":"Alain F."},{"family":"Schädel","given":"Christina"},{"family":"Schimel","given":"Joshua P."},{"family":"Sierra","given":"Carlos A."},{"family":"Thompson","given":"Aaron"},{"family":"Wagai","given":"Rota"}],"issued":{"date-parts":[["2018",2]]}}}],"schema":"https://github.com/citation-style-language/schema/raw/master/csl-citation.json"} </w:instrText>
      </w:r>
      <w:r w:rsidRPr="00A71291">
        <w:rPr>
          <w:sz w:val="24"/>
          <w:szCs w:val="24"/>
        </w:rPr>
        <w:fldChar w:fldCharType="separate"/>
      </w:r>
      <w:r w:rsidRPr="003A4219">
        <w:rPr>
          <w:sz w:val="24"/>
          <w:szCs w:val="24"/>
          <w:vertAlign w:val="superscript"/>
        </w:rPr>
        <w:t>4</w:t>
      </w:r>
      <w:r w:rsidRPr="00A71291">
        <w:rPr>
          <w:sz w:val="24"/>
          <w:szCs w:val="24"/>
        </w:rPr>
        <w:fldChar w:fldCharType="end"/>
      </w:r>
      <w:r w:rsidRPr="00A71291">
        <w:rPr>
          <w:sz w:val="24"/>
          <w:szCs w:val="24"/>
        </w:rPr>
        <w:t xml:space="preserve"> and in explaining SOC decomposition. On the other hand, NPP likely follows an optimum curve with MAT, as plant productivity becomes increasingly water limited at higher temperatures</w:t>
      </w:r>
      <w:r w:rsidRPr="00A71291">
        <w:rPr>
          <w:sz w:val="24"/>
          <w:szCs w:val="24"/>
        </w:rPr>
        <w:fldChar w:fldCharType="begin"/>
      </w:r>
      <w:r>
        <w:rPr>
          <w:sz w:val="24"/>
          <w:szCs w:val="24"/>
        </w:rPr>
        <w:instrText xml:space="preserve"> ADDIN ZOTERO_ITEM CSL_CITATION {"citationID":"tpcYQ6Yj","properties":{"formattedCitation":"\\super 82\\nosupersub{}","plainCitation":"82","noteIndex":0},"citationItems":[{"id":803,"uris":["http://zotero.org/users/local/bAbjI7Wz/items/VHBVTI62"],"itemData":{"id":803,"type":"chapter","container-title":"Ecology and the Environment","event-place":"New York, NY","ISBN":"978-1-4614-7500-2","language":"en","note":"DOI: 10.1007/978-1-4614-7501-9_2","page":"205-246","publisher":"Springer New York","publisher-place":"New York, NY","source":"DOI.org (Crossref)","title":"Patterns and Controls of Terrestrial Primary Production in a Changing World","URL":"http://link.springer.com/10.1007/978-1-4614-7501-9_2","editor":[{"family":"Monson","given":"Russell K."}],"author":[{"family":"Knapp","given":"Alan K."},{"family":"Carroll","given":"Charles J. W."},{"family":"Fahey","given":"Timothy J."}],"accessed":{"date-parts":[["2022",9,15]]},"issued":{"date-parts":[["2014"]]}}}],"schema":"https://github.com/citation-style-language/schema/raw/master/csl-citation.json"} </w:instrText>
      </w:r>
      <w:r w:rsidRPr="00A71291">
        <w:rPr>
          <w:sz w:val="24"/>
          <w:szCs w:val="24"/>
        </w:rPr>
        <w:fldChar w:fldCharType="separate"/>
      </w:r>
      <w:r w:rsidRPr="00200709">
        <w:rPr>
          <w:sz w:val="24"/>
          <w:szCs w:val="24"/>
          <w:vertAlign w:val="superscript"/>
        </w:rPr>
        <w:t>82</w:t>
      </w:r>
      <w:r w:rsidRPr="00A71291">
        <w:rPr>
          <w:sz w:val="24"/>
          <w:szCs w:val="24"/>
        </w:rPr>
        <w:fldChar w:fldCharType="end"/>
      </w:r>
      <w:r w:rsidRPr="00A71291">
        <w:rPr>
          <w:sz w:val="24"/>
          <w:szCs w:val="24"/>
        </w:rPr>
        <w:t xml:space="preserve">. The majority of soils in this dataset comes from temperate climate zones with most soils from humid soil moisture regimes (udic, n = 18), where no strong effects of water limitation or water logging on biological activity are expected (Table S6). Nevertheless, the gradient also features aridic (n =1), ustic (n = 3) and xeric (n = 6) soils, where low water availability could act limiting on plant growth, and </w:t>
      </w:r>
      <w:proofErr w:type="spellStart"/>
      <w:r w:rsidRPr="00A71291">
        <w:rPr>
          <w:sz w:val="24"/>
          <w:szCs w:val="24"/>
        </w:rPr>
        <w:t>perudic</w:t>
      </w:r>
      <w:proofErr w:type="spellEnd"/>
      <w:r w:rsidRPr="00A71291">
        <w:rPr>
          <w:sz w:val="24"/>
          <w:szCs w:val="24"/>
        </w:rPr>
        <w:t xml:space="preserve"> soils (n = 7) where water logging could occur seasonally. Note that the annual water balance (MAP-PET) is correlated negatively with temperature (RC6), and positively with pedogenic oxides (RC4) (Table S4). However, the annual water balance did not constitute a major independent axis of variation in the gradient (Table S4) and thus does not </w:t>
      </w:r>
      <w:r w:rsidRPr="00A71291">
        <w:rPr>
          <w:sz w:val="24"/>
          <w:szCs w:val="24"/>
        </w:rPr>
        <w:lastRenderedPageBreak/>
        <w:t>feature as a separate explanatory variable in our regression analysis and subsequently in our conceptual framework. It is rather an indirect feature in our framework as an implicit control on some of the effects on SOC stabilization seen through temperature and pedogenic oxides. For example, potential drought effects can limit biological activity</w:t>
      </w:r>
      <w:r w:rsidRPr="00A71291">
        <w:rPr>
          <w:sz w:val="24"/>
          <w:szCs w:val="24"/>
        </w:rPr>
        <w:fldChar w:fldCharType="begin"/>
      </w:r>
      <w:r>
        <w:rPr>
          <w:sz w:val="24"/>
          <w:szCs w:val="24"/>
        </w:rPr>
        <w:instrText xml:space="preserve"> ADDIN ZOTERO_ITEM CSL_CITATION {"citationID":"QBly0R5m","properties":{"formattedCitation":"\\super 18\\nosupersub{}","plainCitation":"18","noteIndex":0},"citationItems":[{"id":1408,"uris":["http://zotero.org/users/local/bAbjI7Wz/items/BHGWNR2E"],"itemData":{"id":1408,"type":"article-journal","container-title":"Functional Ecology","DOI":"10.1111/1365-2435.14040","ISSN":"0269-8463, 1365-2435","issue":"6","journalAbbreviation":"Functional Ecology","language":"en","page":"1411-1429","source":"DOI.org (Crossref)","title":"Global distribution, formation and fate of mineral‐associated soil organic matter under a changing climate: A trait‐based perspective","title-short":"Global distribution, formation and fate of mineral‐associated soil organic matter under a changing climate","volume":"36","author":[{"family":"Sokol","given":"Noah W."},{"family":"Whalen","given":"Emily D."},{"family":"Jilling","given":"Andrea"},{"family":"Kallenbach","given":"Cynthia"},{"family":"Pett‐Ridge","given":"Jennifer"},{"family":"Georgiou","given":"Katerina"}],"issued":{"date-parts":[["2022",6]]}}}],"schema":"https://github.com/citation-style-language/schema/raw/master/csl-citation.json"} </w:instrText>
      </w:r>
      <w:r w:rsidRPr="00A71291">
        <w:rPr>
          <w:sz w:val="24"/>
          <w:szCs w:val="24"/>
        </w:rPr>
        <w:fldChar w:fldCharType="separate"/>
      </w:r>
      <w:r w:rsidRPr="003F1FB0">
        <w:rPr>
          <w:sz w:val="24"/>
          <w:szCs w:val="24"/>
          <w:vertAlign w:val="superscript"/>
        </w:rPr>
        <w:t>18</w:t>
      </w:r>
      <w:r w:rsidRPr="00A71291">
        <w:rPr>
          <w:sz w:val="24"/>
          <w:szCs w:val="24"/>
        </w:rPr>
        <w:fldChar w:fldCharType="end"/>
      </w:r>
      <w:r w:rsidRPr="00A71291">
        <w:rPr>
          <w:sz w:val="24"/>
          <w:szCs w:val="24"/>
        </w:rPr>
        <w:t xml:space="preserve"> towards hot conditions, and temporary water logging in moist cold conditions on the temperature axis. Second, higher soil moisture can favor the formation of pedogenic oxides via increased weathering rates</w:t>
      </w:r>
      <w:r w:rsidRPr="00A71291">
        <w:rPr>
          <w:sz w:val="24"/>
          <w:szCs w:val="24"/>
        </w:rPr>
        <w:fldChar w:fldCharType="begin"/>
      </w:r>
      <w:r>
        <w:rPr>
          <w:sz w:val="24"/>
          <w:szCs w:val="24"/>
        </w:rPr>
        <w:instrText xml:space="preserve"> ADDIN ZOTERO_ITEM CSL_CITATION {"citationID":"xvb1A4Gz","properties":{"formattedCitation":"\\super 5\\nosupersub{}","plainCitation":"5","noteIndex":0},"citationItems":[{"id":1399,"uris":["http://zotero.org/users/local/bAbjI7Wz/items/GUCKLMN3"],"itemData":{"id":1399,"type":"article-journal","abstract":"Abstract\n            As rock-derived primary minerals weather to form soil, they create reactive, poorly crystalline minerals that bind and store organic carbon. By implication, the abundance of primary minerals in soil might influence the abundance of poorly crystalline minerals, and hence soil organic carbon storage. However, the link between primary mineral weathering, poorly crystalline minerals, and soil carbon has not been fully tested, particularly at large spatial scales. To close this knowledge gap, we designed a model that links primary mineral weathering rates to the geographic distribution of poorly crystalline minerals across the USA, and then used this model to evaluate the effect of rock weathering on soil organic carbon. We found that poorly crystalline minerals are most abundant and most strongly correlated with organic carbon in geographically limited zones that sustain enhanced weathering rates, where humid climate and abundant primary minerals co-occur. This finding confirms that rock weathering alters soil mineralogy to enhance soil organic carbon storage at continental scales, but also indicates that the influence of active weathering on soil carbon storage is limited by low weathering rates across vast areas.","container-title":"Biogeochemistry","DOI":"10.1007/s10533-021-00859-8","ISSN":"0168-2563, 1573-515X","issue":"1","journalAbbreviation":"Biogeochemistry","language":"en","page":"1-13","source":"DOI.org (Crossref)","title":"Rock weathering controls the potential for soil carbon storage at a continental scale","volume":"157","author":[{"family":"Slessarev","given":"Eric W."},{"family":"Chadwick","given":"Oliver A."},{"family":"Sokol","given":"Noah W."},{"family":"Nuccio","given":"Erin E."},{"family":"Pett-Ridge","given":"Jennifer"}],"issued":{"date-parts":[["2022",1]]}}}],"schema":"https://github.com/citation-style-language/schema/raw/master/csl-citation.json"} </w:instrText>
      </w:r>
      <w:r w:rsidRPr="00A71291">
        <w:rPr>
          <w:sz w:val="24"/>
          <w:szCs w:val="24"/>
        </w:rPr>
        <w:fldChar w:fldCharType="separate"/>
      </w:r>
      <w:r w:rsidRPr="003A4219">
        <w:rPr>
          <w:sz w:val="24"/>
          <w:szCs w:val="24"/>
          <w:vertAlign w:val="superscript"/>
        </w:rPr>
        <w:t>5</w:t>
      </w:r>
      <w:r w:rsidRPr="00A71291">
        <w:rPr>
          <w:sz w:val="24"/>
          <w:szCs w:val="24"/>
        </w:rPr>
        <w:fldChar w:fldCharType="end"/>
      </w:r>
      <w:r w:rsidRPr="00A71291">
        <w:rPr>
          <w:sz w:val="24"/>
          <w:szCs w:val="24"/>
        </w:rPr>
        <w:t>, and thus affects the formation of organo-mineral associations. Further, higher moisture can aid the formation of stable microaggregates, which is influenced by changing redoximorphic conditions and drying-wetting cycles</w:t>
      </w:r>
      <w:r w:rsidRPr="00A71291">
        <w:rPr>
          <w:sz w:val="24"/>
          <w:szCs w:val="24"/>
          <w:vertAlign w:val="superscript"/>
        </w:rPr>
        <w:fldChar w:fldCharType="begin"/>
      </w:r>
      <w:r>
        <w:rPr>
          <w:sz w:val="24"/>
          <w:szCs w:val="24"/>
          <w:vertAlign w:val="superscript"/>
        </w:rPr>
        <w:instrText xml:space="preserve"> ADDIN ZOTERO_ITEM CSL_CITATION {"citationID":"ZW8wlvkU","properties":{"formattedCitation":"\\super 19,50\\nosupersub{}","plainCitation":"19,50","noteIndex":0},"citationItems":[{"id":1445,"uris":["http://zotero.org/users/local/bAbjI7Wz/items/YKJMPT97"],"itemData":{"id":1445,"type":"article-journal","abstract":"All soils harbor microaggregates, i.e., compound soil structures smaller than 250 mm. These microaggregates are composed of diverse mineral, organic and biotic materials that are bound together during pedogenesis by various physical, chemical and biological processes. Consequently, microaggregates can withstand strong mechanical and physicochemical stresses and survive slaking in water, allowing them to persist in soils for several decades. Together with the physiochemical heterogeneity of their surfaces, the three-dimensional structure of microaggregates provides a large variety of ecological niches that contribute to the vast biological diversity found in soils. As reported for larger aggregate units, microaggregates are composed of smaller building units that become more complex with increasing size. In this context, organo-mineral associations can be considered structural units of soil aggregates and as nanoparticulate fractions of the microaggregates themselves. The mineral phases considered to be the most important as microaggregate forming materials are the clay minerals and Fe- and Al-(hydr)oxides. Within microaggregates, minerals are bound together primarily by physicochemical and chemical interactions involving cementing and gluing agents. The former comprise, among others, carbonates and the short-range ordered phases of Fe, Mn, and Al. The latter comprise organic materials of diverse origin and probably involve macromolecules and macromolecular mixtures.","container-title":"Journal of Plant Nutrition and Soil Science","DOI":"10.1002/jpln.201600451","ISSN":"1436-8730, 1522-2624","issue":"1","journalAbbreviation":"J. Plant Nutr. Soil Sci.","language":"en","page":"104-136","source":"DOI.org (Crossref)","title":"Microaggregates in soils","volume":"181","author":[{"family":"Totsche","given":"Kai Uwe"},{"family":"Amelung","given":"Wulf"},{"family":"Gerzabek","given":"Martin H."},{"family":"Guggenberger","given":"Georg"},{"family":"Klumpp","given":"Erwin"},{"family":"Knief","given":"Claudia"},{"family":"Lehndorff","given":"Eva"},{"family":"Mikutta","given":"Robert"},{"family":"Peth","given":"Stephan"},{"family":"Prechtel","given":"Alexander"},{"family":"Ray","given":"Nadja"},{"family":"Kögel-Knabner","given":"Ingrid"}],"issued":{"date-parts":[["2018",2]]}}},{"id":1084,"uris":["http://zotero.org/users/local/bAbjI7Wz/items/RC6G8FEU"],"itemData":{"id":1084,"type":"article-journal","abstract":"Since the 1900s, the link between soil biotic activity, soil organic matter (SOM) decomposition and stabilization, and soil aggregate dynamics has been recognized and intensively been studied. By 1950, many studies had, mostly qualitatively, investigated the inﬂuence of the ﬁve major factors (i.e. soil fauna, microorganisms, roots, inorganics and physical processes) on this link. After 1950, four theoretical mile-stones related to this subject were realized. The ﬁrst one was when Emerson [Nature 183 (1959) 538] proposed a model of a soil crumb consisting of domains of oriented clay and quartz particles. Next, Edwards and Bremner [J. Soil Sci. 18 (1967) 64] formulated a theory in which the solid-phase reaction between clay minerals, polyvalent cations and SOM is the main process leading to microaggregate formation. Based on this concept, Tisdall and Oades [J. Soil Sci. 62 (1982) 141] coined the aggregate hierarchy concept describing a spatial scale dependence of mechanisms involved in micro- and macroaggregate formation. Oades [Plant Soil 76 (1984) 319] suggested a small, but very important, modiﬁcation to the aggregate hierarchy concept by theorizing the formation of microaggregates within macroaggregates. Recent research on aggregate formation and SOM stabilization extensively corroborate this modiﬁcation and use it as the base for furthering the understanding of SOM dynamics. The major outcomes of adopting this modiﬁcation are: (1) microaggregates, rather than macroaggregates protect SOM in the long term; and (2) macroaggregate turnover is a crucial process inﬂuencing the stabilization of SOM. Reviewing the progress made over the last 50 years in this area of research reveals that still very few studies are quantitative and/or consider interactive effects between the ﬁve factors. The quantiﬁcation of these relationships is clearly needed to improve our ability to predict changes in soil ecosystems due to management and global change. This quantiﬁcation can greatly beneﬁt from viewing aggregates as dynamic rather than static entities and relating aggregate measurements with 2D and 3D quantitative spatial information.","container-title":"Soil and Tillage Research","DOI":"10.1016/j.still.2004.03.008","ISSN":"01671987","issue":"1","journalAbbreviation":"Soil and Tillage Research","language":"en","page":"7-31","source":"DOI.org (Crossref)","title":"A history of research on the link between (micro)aggregates, soil biota, and soil organic matter dynamics","volume":"79","author":[{"family":"Six","given":"J"},{"family":"Bossuyt","given":"H"},{"family":"Degryze","given":"S"},{"family":"Denef","given":"K"}],"issued":{"date-parts":[["2004",9]]}}}],"schema":"https://github.com/citation-style-language/schema/raw/master/csl-citation.json"} </w:instrText>
      </w:r>
      <w:r w:rsidRPr="00A71291">
        <w:rPr>
          <w:sz w:val="24"/>
          <w:szCs w:val="24"/>
          <w:vertAlign w:val="superscript"/>
        </w:rPr>
        <w:fldChar w:fldCharType="separate"/>
      </w:r>
      <w:r w:rsidRPr="003F1FB0">
        <w:rPr>
          <w:sz w:val="24"/>
          <w:szCs w:val="24"/>
          <w:vertAlign w:val="superscript"/>
        </w:rPr>
        <w:t>19,50</w:t>
      </w:r>
      <w:r w:rsidRPr="00A71291">
        <w:rPr>
          <w:sz w:val="24"/>
          <w:szCs w:val="24"/>
          <w:vertAlign w:val="superscript"/>
        </w:rPr>
        <w:fldChar w:fldCharType="end"/>
      </w:r>
      <w:r w:rsidRPr="00A71291">
        <w:rPr>
          <w:sz w:val="24"/>
          <w:szCs w:val="24"/>
        </w:rPr>
        <w:t xml:space="preserve">. Unsurprisingly, geochemical reactivity (RC1) is positively correlated with finer texture (RC3) and to a lesser extent with warmer temperatures (RC6) (Figure </w:t>
      </w:r>
      <w:r>
        <w:rPr>
          <w:sz w:val="24"/>
          <w:szCs w:val="24"/>
        </w:rPr>
        <w:t>3</w:t>
      </w:r>
      <w:r w:rsidRPr="00A71291">
        <w:rPr>
          <w:sz w:val="24"/>
          <w:szCs w:val="24"/>
        </w:rPr>
        <w:t xml:space="preserve">b). The degree of organic matter decomposition </w:t>
      </w:r>
      <w:r>
        <w:rPr>
          <w:sz w:val="24"/>
          <w:szCs w:val="24"/>
        </w:rPr>
        <w:t xml:space="preserve">in the bulk soil </w:t>
      </w:r>
      <w:r w:rsidRPr="00A71291">
        <w:rPr>
          <w:sz w:val="24"/>
          <w:szCs w:val="24"/>
        </w:rPr>
        <w:t xml:space="preserve">(RC2) is </w:t>
      </w:r>
      <w:r>
        <w:rPr>
          <w:sz w:val="24"/>
          <w:szCs w:val="24"/>
        </w:rPr>
        <w:t xml:space="preserve">strongly </w:t>
      </w:r>
      <w:r w:rsidRPr="00A71291">
        <w:rPr>
          <w:sz w:val="24"/>
          <w:szCs w:val="24"/>
        </w:rPr>
        <w:t xml:space="preserve">positively correlated with finer texture (RC3) and higher temperature (RC6), and </w:t>
      </w:r>
      <w:r w:rsidRPr="00A915DB">
        <w:rPr>
          <w:sz w:val="24"/>
          <w:szCs w:val="24"/>
        </w:rPr>
        <w:t xml:space="preserve">to a lesser extent positively with geochemical reactivity (RC1) and </w:t>
      </w:r>
      <w:r w:rsidRPr="00A71291">
        <w:rPr>
          <w:sz w:val="24"/>
          <w:szCs w:val="24"/>
        </w:rPr>
        <w:t>negatively with pedogenic oxide contents (RC4).</w:t>
      </w:r>
      <w:r>
        <w:rPr>
          <w:sz w:val="24"/>
          <w:szCs w:val="24"/>
        </w:rPr>
        <w:t xml:space="preserve"> </w:t>
      </w:r>
      <w:r w:rsidRPr="00A915DB">
        <w:rPr>
          <w:sz w:val="24"/>
          <w:szCs w:val="24"/>
        </w:rPr>
        <w:t>The link with temperature suggests that OM decomposition in the bulk soil (RC2) may also contain variation of the temperature dimension in the data set (RC6), where in cooler (and wetter) systems bulk OM is less decomposed. The positive link between geochemical reactivity (RC1) and the degree of OM decomposition at the bulk level (RC2) has been observed before for a weathering chronosequence</w:t>
      </w:r>
      <w:r>
        <w:rPr>
          <w:sz w:val="24"/>
          <w:szCs w:val="24"/>
        </w:rPr>
        <w:fldChar w:fldCharType="begin"/>
      </w:r>
      <w:r>
        <w:rPr>
          <w:sz w:val="24"/>
          <w:szCs w:val="24"/>
        </w:rPr>
        <w:instrText xml:space="preserve"> ADDIN ZOTERO_ITEM CSL_CITATION {"citationID":"HiO7xypE","properties":{"formattedCitation":"\\super 65\\nosupersub{}","plainCitation":"65","noteIndex":0},"citationItems":[{"id":1088,"uris":["http://zotero.org/users/local/bAbjI7Wz/items/BBG5EX8X"],"itemData":{"id":1088,"type":"article-journal","abstract":"Abstract. A central question in carbon research is how\nstabilization mechanisms in soil change over time with soil development and\nhow this is reflected in qualitative changes in soil organic matter (SOM).\nTo address this matter, we assessed the influence of soil geochemistry on\nbulk SOM composition along a soil chronosequence in California, USA, spanning\n3 million years. This was done by combining data on soil mineralogy and\ntexture from previous studies with additional measurements on total carbon\n(C), stable isotope values (δ13C and δ15N), and\nspectral information derived from diffuse reflectance infrared\nFourier transform spectroscopy (DRIFTS). To assess qualitative shifts in\nbulk SOM, we analysed the peak areas of simple plant-derived (S-POM),\ncomplex plant-derived (C-POM), and predominantly microbial-derived organic matter (OM; MOM) and their changes in abundance across soils with several millennia\nto millions of years of weathering and soil development. We observed that\nSOM became increasingly stabilized and microbial-derived (lower C : N ratio,\nincreasing δ13C and δ15N) as soil weathering\nprogressed. Peak areas of S-POM (i.e. aliphatic root exudates) did not\nchange over time, while peak areas of C-POM (lignin) and MOM (components of\nmicrobial cell walls (amides, quinones, and ketones)) increased over time\nand depth and were closely related to clay content and pedogenic iron\noxides. Hence, our study suggests that with progressing soil development,\nSOM composition co-varied with changes in the mineral matrix. Our study\nindicates that structurally more complex OM compounds (C-POM, MOM) play an\nincreasingly important role in soil carbon stabilization mechanisms as the\nmineral soil matrix becomes increasingly weathered.","container-title":"Biogeosciences","DOI":"10.5194/bg-19-1675-2022","ISSN":"1726-4189","issue":"6","journalAbbreviation":"Biogeosciences","language":"en","page":"1675-1689","source":"DOI.org (Crossref)","title":"Soil geochemistry as a driver of soil organic matter composition: insights from a soil chronosequence","title-short":"Soil geochemistry as a driver of soil organic matter composition","volume":"19","author":[{"family":"Mainka","given":"Moritz"},{"family":"Summerauer","given":"Laura"},{"family":"Wasner","given":"Daniel"},{"family":"Garland","given":"Gina"},{"family":"Griepentrog","given":"Marco"},{"family":"Berhe","given":"Asmeret Asefaw"},{"family":"Doetterl","given":"Sebastian"}],"issued":{"date-parts":[["2022",3,24]]}}}],"schema":"https://github.com/citation-style-language/schema/raw/master/csl-citation.json"} </w:instrText>
      </w:r>
      <w:r>
        <w:rPr>
          <w:sz w:val="24"/>
          <w:szCs w:val="24"/>
        </w:rPr>
        <w:fldChar w:fldCharType="separate"/>
      </w:r>
      <w:r w:rsidRPr="00200709">
        <w:rPr>
          <w:sz w:val="24"/>
          <w:szCs w:val="24"/>
          <w:vertAlign w:val="superscript"/>
        </w:rPr>
        <w:t>65</w:t>
      </w:r>
      <w:r>
        <w:rPr>
          <w:sz w:val="24"/>
          <w:szCs w:val="24"/>
        </w:rPr>
        <w:fldChar w:fldCharType="end"/>
      </w:r>
      <w:r w:rsidRPr="00E70D25">
        <w:rPr>
          <w:sz w:val="24"/>
          <w:szCs w:val="24"/>
        </w:rPr>
        <w:t>.</w:t>
      </w:r>
      <w:r w:rsidRPr="00A915DB">
        <w:rPr>
          <w:sz w:val="24"/>
          <w:szCs w:val="24"/>
        </w:rPr>
        <w:t xml:space="preserve"> We further observed a negative link between pedogenic oxides (RC4) and temperature (RC6), reflecting the role of climate as a driver of weathering</w:t>
      </w:r>
      <w:r>
        <w:rPr>
          <w:sz w:val="24"/>
          <w:szCs w:val="24"/>
        </w:rPr>
        <w:fldChar w:fldCharType="begin"/>
      </w:r>
      <w:r>
        <w:rPr>
          <w:sz w:val="24"/>
          <w:szCs w:val="24"/>
        </w:rPr>
        <w:instrText xml:space="preserve"> ADDIN ZOTERO_ITEM CSL_CITATION {"citationID":"VCXoirRT","properties":{"formattedCitation":"\\super 5\\nosupersub{}","plainCitation":"5","noteIndex":0},"citationItems":[{"id":1399,"uris":["http://zotero.org/users/local/bAbjI7Wz/items/GUCKLMN3"],"itemData":{"id":1399,"type":"article-journal","abstract":"Abstract\n            As rock-derived primary minerals weather to form soil, they create reactive, poorly crystalline minerals that bind and store organic carbon. By implication, the abundance of primary minerals in soil might influence the abundance of poorly crystalline minerals, and hence soil organic carbon storage. However, the link between primary mineral weathering, poorly crystalline minerals, and soil carbon has not been fully tested, particularly at large spatial scales. To close this knowledge gap, we designed a model that links primary mineral weathering rates to the geographic distribution of poorly crystalline minerals across the USA, and then used this model to evaluate the effect of rock weathering on soil organic carbon. We found that poorly crystalline minerals are most abundant and most strongly correlated with organic carbon in geographically limited zones that sustain enhanced weathering rates, where humid climate and abundant primary minerals co-occur. This finding confirms that rock weathering alters soil mineralogy to enhance soil organic carbon storage at continental scales, but also indicates that the influence of active weathering on soil carbon storage is limited by low weathering rates across vast areas.","container-title":"Biogeochemistry","DOI":"10.1007/s10533-021-00859-8","ISSN":"0168-2563, 1573-515X","issue":"1","journalAbbreviation":"Biogeochemistry","language":"en","page":"1-13","source":"DOI.org (Crossref)","title":"Rock weathering controls the potential for soil carbon storage at a continental scale","volume":"157","author":[{"family":"Slessarev","given":"Eric W."},{"family":"Chadwick","given":"Oliver A."},{"family":"Sokol","given":"Noah W."},{"family":"Nuccio","given":"Erin E."},{"family":"Pett-Ridge","given":"Jennifer"}],"issued":{"date-parts":[["2022",1]]}}}],"schema":"https://github.com/citation-style-language/schema/raw/master/csl-citation.json"} </w:instrText>
      </w:r>
      <w:r>
        <w:rPr>
          <w:sz w:val="24"/>
          <w:szCs w:val="24"/>
        </w:rPr>
        <w:fldChar w:fldCharType="separate"/>
      </w:r>
      <w:r w:rsidRPr="003A4219">
        <w:rPr>
          <w:sz w:val="24"/>
          <w:szCs w:val="24"/>
          <w:vertAlign w:val="superscript"/>
        </w:rPr>
        <w:t>5</w:t>
      </w:r>
      <w:r>
        <w:rPr>
          <w:sz w:val="24"/>
          <w:szCs w:val="24"/>
        </w:rPr>
        <w:fldChar w:fldCharType="end"/>
      </w:r>
      <w:r>
        <w:rPr>
          <w:sz w:val="24"/>
          <w:szCs w:val="24"/>
        </w:rPr>
        <w:t xml:space="preserve">. </w:t>
      </w:r>
      <w:r w:rsidRPr="00A915DB">
        <w:rPr>
          <w:sz w:val="24"/>
          <w:szCs w:val="24"/>
        </w:rPr>
        <w:t xml:space="preserve">We also observed a negative interaction between pedogenic oxides (RC4) and base cations (RC5) in the predictive model for bulk SOC% (Figure </w:t>
      </w:r>
      <w:r>
        <w:rPr>
          <w:sz w:val="24"/>
          <w:szCs w:val="24"/>
        </w:rPr>
        <w:t>3</w:t>
      </w:r>
      <w:r w:rsidRPr="00A915DB">
        <w:rPr>
          <w:sz w:val="24"/>
          <w:szCs w:val="24"/>
        </w:rPr>
        <w:t>a). We relate this to the fact that in soil systems where base cations are abundant, they have more explanatory content for bulk SOC</w:t>
      </w:r>
      <w:r w:rsidRPr="00A915DB">
        <w:rPr>
          <w:sz w:val="24"/>
          <w:szCs w:val="24"/>
          <w:vertAlign w:val="subscript"/>
        </w:rPr>
        <w:t>%</w:t>
      </w:r>
      <w:r w:rsidRPr="00A915DB">
        <w:rPr>
          <w:sz w:val="24"/>
          <w:szCs w:val="24"/>
        </w:rPr>
        <w:t xml:space="preserve"> than in systems where they are not abundant, coupled with the generally higher abundance of base cations in soil parent material that is also rich in iron, </w:t>
      </w:r>
      <w:proofErr w:type="gramStart"/>
      <w:r w:rsidRPr="00A915DB">
        <w:rPr>
          <w:sz w:val="24"/>
          <w:szCs w:val="24"/>
        </w:rPr>
        <w:lastRenderedPageBreak/>
        <w:t>aluminum</w:t>
      </w:r>
      <w:proofErr w:type="gramEnd"/>
      <w:r w:rsidRPr="00A915DB">
        <w:rPr>
          <w:sz w:val="24"/>
          <w:szCs w:val="24"/>
        </w:rPr>
        <w:t xml:space="preserve"> and manganese . This becomes evident by the results of a simple linear model (SLM) for predicting bulk SOC</w:t>
      </w:r>
      <w:r w:rsidRPr="00A915DB">
        <w:rPr>
          <w:sz w:val="24"/>
          <w:szCs w:val="24"/>
          <w:vertAlign w:val="subscript"/>
        </w:rPr>
        <w:t>%</w:t>
      </w:r>
      <w:r w:rsidRPr="00A915DB">
        <w:rPr>
          <w:sz w:val="24"/>
          <w:szCs w:val="24"/>
        </w:rPr>
        <w:t>, where base cations feature as a weak positive predictor (</w:t>
      </w:r>
      <w:proofErr w:type="spellStart"/>
      <w:r w:rsidRPr="00A915DB">
        <w:rPr>
          <w:sz w:val="24"/>
          <w:szCs w:val="24"/>
        </w:rPr>
        <w:t>rVI</w:t>
      </w:r>
      <w:r w:rsidRPr="00A915DB">
        <w:rPr>
          <w:sz w:val="24"/>
          <w:szCs w:val="24"/>
          <w:vertAlign w:val="subscript"/>
        </w:rPr>
        <w:t>Pedogenic</w:t>
      </w:r>
      <w:proofErr w:type="spellEnd"/>
      <w:r w:rsidRPr="00A915DB">
        <w:rPr>
          <w:sz w:val="24"/>
          <w:szCs w:val="24"/>
          <w:vertAlign w:val="subscript"/>
        </w:rPr>
        <w:t xml:space="preserve"> oxides </w:t>
      </w:r>
      <w:r w:rsidRPr="00A915DB">
        <w:rPr>
          <w:sz w:val="24"/>
          <w:szCs w:val="24"/>
        </w:rPr>
        <w:t xml:space="preserve">= 0.50, </w:t>
      </w:r>
      <w:proofErr w:type="spellStart"/>
      <w:r w:rsidRPr="00A915DB">
        <w:rPr>
          <w:sz w:val="24"/>
          <w:szCs w:val="24"/>
        </w:rPr>
        <w:t>rVI</w:t>
      </w:r>
      <w:r w:rsidRPr="00A915DB">
        <w:rPr>
          <w:sz w:val="24"/>
          <w:szCs w:val="24"/>
          <w:vertAlign w:val="subscript"/>
        </w:rPr>
        <w:t>Temperature</w:t>
      </w:r>
      <w:proofErr w:type="spellEnd"/>
      <w:r w:rsidRPr="00A915DB">
        <w:rPr>
          <w:sz w:val="24"/>
          <w:szCs w:val="24"/>
        </w:rPr>
        <w:t xml:space="preserve"> = 0.29, </w:t>
      </w:r>
      <w:proofErr w:type="spellStart"/>
      <w:r w:rsidRPr="00A915DB">
        <w:rPr>
          <w:sz w:val="24"/>
          <w:szCs w:val="24"/>
        </w:rPr>
        <w:t>rVI</w:t>
      </w:r>
      <w:r w:rsidRPr="00A915DB">
        <w:rPr>
          <w:sz w:val="24"/>
          <w:szCs w:val="24"/>
          <w:vertAlign w:val="subscript"/>
        </w:rPr>
        <w:t>Base</w:t>
      </w:r>
      <w:proofErr w:type="spellEnd"/>
      <w:r w:rsidRPr="00A915DB">
        <w:rPr>
          <w:sz w:val="24"/>
          <w:szCs w:val="24"/>
          <w:vertAlign w:val="subscript"/>
        </w:rPr>
        <w:t xml:space="preserve"> cations</w:t>
      </w:r>
      <w:r w:rsidRPr="00A915DB">
        <w:rPr>
          <w:sz w:val="24"/>
          <w:szCs w:val="24"/>
        </w:rPr>
        <w:t xml:space="preserve"> = 0.22, model description see Table S5). Thus, the role of base cations in explaining bulk SOC</w:t>
      </w:r>
      <w:r w:rsidRPr="00A915DB">
        <w:rPr>
          <w:sz w:val="24"/>
          <w:szCs w:val="24"/>
          <w:vertAlign w:val="subscript"/>
        </w:rPr>
        <w:t>%</w:t>
      </w:r>
      <w:r w:rsidRPr="00A915DB">
        <w:rPr>
          <w:sz w:val="24"/>
          <w:szCs w:val="24"/>
        </w:rPr>
        <w:t xml:space="preserve"> could stem either from their role as plant nutrients (see supplementary discussion S6), or more directly from an involvement in SOC stabilization via cation-bridging at the higher end of the pH-range</w:t>
      </w:r>
      <w:r>
        <w:rPr>
          <w:sz w:val="24"/>
          <w:szCs w:val="24"/>
        </w:rPr>
        <w:fldChar w:fldCharType="begin"/>
      </w:r>
      <w:r>
        <w:rPr>
          <w:sz w:val="24"/>
          <w:szCs w:val="24"/>
        </w:rPr>
        <w:instrText xml:space="preserve"> ADDIN ZOTERO_ITEM CSL_CITATION {"citationID":"mFXlaNzc","properties":{"formattedCitation":"\\super 4,83\\nosupersub{}","plainCitation":"4,83","noteIndex":0},"citationItems":[{"id":1216,"uris":["http://zotero.org/users/local/bAbjI7Wz/items/7FBGUG9U"],"itemData":{"id":1216,"type":"article-journal","container-title":"Biogeochemistry","DOI":"10.1007/s10533-018-0424-3","ISSN":"0168-2563, 1573-515X","issue":"3","journalAbbreviation":"Biogeochemistry","language":"en","page":"297-306","source":"DOI.org (Crossref)","title":"Beyond clay: towards an improved set of variables for predicting soil organic matter content","title-short":"Beyond clay","volume":"137","author":[{"family":"Rasmussen","given":"Craig"},{"family":"Heckman","given":"Katherine"},{"family":"Wieder","given":"William R."},{"family":"Keiluweit","given":"Marco"},{"family":"Lawrence","given":"Corey R."},{"family":"Berhe","given":"Asmeret Asefaw"},{"family":"Blankinship","given":"Joseph C."},{"family":"Crow","given":"Susan E."},{"family":"Druhan","given":"Jennifer L."},{"family":"Hicks Pries","given":"Caitlin E."},{"family":"Marin-Spiotta","given":"Erika"},{"family":"Plante","given":"Alain F."},{"family":"Schädel","given":"Christina"},{"family":"Schimel","given":"Joshua P."},{"family":"Sierra","given":"Carlos A."},{"family":"Thompson","given":"Aaron"},{"family":"Wagai","given":"Rota"}],"issued":{"date-parts":[["2018",2]]}}},{"id":1879,"uris":["http://zotero.org/users/local/bAbjI7Wz/items/QYIIA27K"],"itemData":{"id":1879,"type":"article-journal","container-title":"Biogeochemistry","DOI":"10.1007/s10533-017-0410-1","ISSN":"0168-2563, 1573-515X","issue":"1-2","journalAbbreviation":"Biogeochemistry","language":"en","page":"27-49","source":"DOI.org (Crossref)","title":"Calcium-mediated stabilisation of soil organic carbon","volume":"137","author":[{"family":"Rowley","given":"Mike C."},{"family":"Grand","given":"Stéphanie"},{"family":"Verrecchia","given":"Éric P."}],"issued":{"date-parts":[["2018",1]]}}}],"schema":"https://github.com/citation-style-language/schema/raw/master/csl-citation.json"} </w:instrText>
      </w:r>
      <w:r>
        <w:rPr>
          <w:sz w:val="24"/>
          <w:szCs w:val="24"/>
        </w:rPr>
        <w:fldChar w:fldCharType="separate"/>
      </w:r>
      <w:r w:rsidRPr="00200709">
        <w:rPr>
          <w:sz w:val="24"/>
          <w:szCs w:val="24"/>
          <w:vertAlign w:val="superscript"/>
        </w:rPr>
        <w:t>4,83</w:t>
      </w:r>
      <w:r>
        <w:rPr>
          <w:sz w:val="24"/>
          <w:szCs w:val="24"/>
        </w:rPr>
        <w:fldChar w:fldCharType="end"/>
      </w:r>
      <w:r w:rsidRPr="00A915DB">
        <w:rPr>
          <w:sz w:val="24"/>
          <w:szCs w:val="24"/>
        </w:rPr>
        <w:t>.</w:t>
      </w:r>
      <w:r w:rsidRPr="00A71291">
        <w:rPr>
          <w:sz w:val="24"/>
          <w:szCs w:val="24"/>
        </w:rPr>
        <w:t xml:space="preserve"> Despite its important role for many biological and weathering related processes</w:t>
      </w:r>
      <w:r w:rsidRPr="00A71291">
        <w:rPr>
          <w:sz w:val="24"/>
          <w:szCs w:val="24"/>
          <w:vertAlign w:val="superscript"/>
        </w:rPr>
        <w:fldChar w:fldCharType="begin"/>
      </w:r>
      <w:r>
        <w:rPr>
          <w:sz w:val="24"/>
          <w:szCs w:val="24"/>
          <w:vertAlign w:val="superscript"/>
        </w:rPr>
        <w:instrText xml:space="preserve"> ADDIN ZOTERO_ITEM CSL_CITATION {"citationID":"pWtsi25T","properties":{"formattedCitation":"\\super 69\\nosupersub{}","plainCitation":"69","noteIndex":0},"citationItems":[{"id":172,"uris":["http://zotero.org/users/local/bAbjI7Wz/items/WSIVHB2N"],"itemData":{"id":172,"type":"book","event-place":"Berlin, Heidelberg","ISBN":"978-3-662-55870-6","language":"de","note":"DOI: 10.1007/978-3-662-55871-3","publisher":"Springer Berlin Heidelberg","publisher-place":"Berlin, Heidelberg","source":"DOI.org (Crossref)","title":"Scheffer/Schachtschabel Lehrbuch der Bodenkunde","URL":"http://link.springer.com/10.1007/978-3-662-55871-3","author":[{"family":"Amelung","given":"Wulf"},{"family":"Blume","given":"Hans-Peter"},{"family":"Fleige","given":"Heiner"},{"family":"Horn","given":"Rainer"},{"family":"Kandeler","given":"Ellen"},{"family":"Kögel-Knabner","given":"Ingrid"},{"family":"Kretzschmar","given":"Ruben"},{"family":"Stahr","given":"Karl"},{"family":"Wilke","given":"Berndt-Michael"}],"accessed":{"date-parts":[["2022",9,15]]},"issued":{"date-parts":[["2018"]]}}}],"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69</w:t>
      </w:r>
      <w:r w:rsidRPr="00A71291">
        <w:rPr>
          <w:sz w:val="24"/>
          <w:szCs w:val="24"/>
          <w:vertAlign w:val="superscript"/>
        </w:rPr>
        <w:fldChar w:fldCharType="end"/>
      </w:r>
      <w:r w:rsidRPr="00A71291">
        <w:rPr>
          <w:sz w:val="24"/>
          <w:szCs w:val="24"/>
        </w:rPr>
        <w:t>, soil pH did not constitute a main loading on any RC as it can vary due to contrasting climatic, biological and soil geochemical ecosystem properties</w:t>
      </w:r>
      <w:r w:rsidRPr="00A71291">
        <w:rPr>
          <w:sz w:val="24"/>
          <w:szCs w:val="24"/>
          <w:vertAlign w:val="superscript"/>
        </w:rPr>
        <w:fldChar w:fldCharType="begin"/>
      </w:r>
      <w:r>
        <w:rPr>
          <w:sz w:val="24"/>
          <w:szCs w:val="24"/>
          <w:vertAlign w:val="superscript"/>
        </w:rPr>
        <w:instrText xml:space="preserve"> ADDIN ZOTERO_ITEM CSL_CITATION {"citationID":"rD59gZ27","properties":{"formattedCitation":"\\super 4\\nosupersub{}","plainCitation":"4","noteIndex":0},"citationItems":[{"id":1216,"uris":["http://zotero.org/users/local/bAbjI7Wz/items/7FBGUG9U"],"itemData":{"id":1216,"type":"article-journal","container-title":"Biogeochemistry","DOI":"10.1007/s10533-018-0424-3","ISSN":"0168-2563, 1573-515X","issue":"3","journalAbbreviation":"Biogeochemistry","language":"en","page":"297-306","source":"DOI.org (Crossref)","title":"Beyond clay: towards an improved set of variables for predicting soil organic matter content","title-short":"Beyond clay","volume":"137","author":[{"family":"Rasmussen","given":"Craig"},{"family":"Heckman","given":"Katherine"},{"family":"Wieder","given":"William R."},{"family":"Keiluweit","given":"Marco"},{"family":"Lawrence","given":"Corey R."},{"family":"Berhe","given":"Asmeret Asefaw"},{"family":"Blankinship","given":"Joseph C."},{"family":"Crow","given":"Susan E."},{"family":"Druhan","given":"Jennifer L."},{"family":"Hicks Pries","given":"Caitlin E."},{"family":"Marin-Spiotta","given":"Erika"},{"family":"Plante","given":"Alain F."},{"family":"Schädel","given":"Christina"},{"family":"Schimel","given":"Joshua P."},{"family":"Sierra","given":"Carlos A."},{"family":"Thompson","given":"Aaron"},{"family":"Wagai","given":"Rota"}],"issued":{"date-parts":[["2018",2]]}}}],"schema":"https://github.com/citation-style-language/schema/raw/master/csl-citation.json"} </w:instrText>
      </w:r>
      <w:r w:rsidRPr="00A71291">
        <w:rPr>
          <w:sz w:val="24"/>
          <w:szCs w:val="24"/>
          <w:vertAlign w:val="superscript"/>
        </w:rPr>
        <w:fldChar w:fldCharType="separate"/>
      </w:r>
      <w:r w:rsidRPr="003A4219">
        <w:rPr>
          <w:sz w:val="24"/>
          <w:szCs w:val="24"/>
          <w:vertAlign w:val="superscript"/>
        </w:rPr>
        <w:t>4</w:t>
      </w:r>
      <w:r w:rsidRPr="00A71291">
        <w:rPr>
          <w:sz w:val="24"/>
          <w:szCs w:val="24"/>
          <w:vertAlign w:val="superscript"/>
        </w:rPr>
        <w:fldChar w:fldCharType="end"/>
      </w:r>
      <w:r w:rsidRPr="00A71291">
        <w:rPr>
          <w:sz w:val="24"/>
          <w:szCs w:val="24"/>
        </w:rPr>
        <w:t>. The strongest association of pH is with organic matter decomposition (RC2), where soils with a lower degree of decomposition are more acidic (Table S4).</w:t>
      </w:r>
    </w:p>
    <w:p w14:paraId="0A9A9758" w14:textId="77777777" w:rsidR="00613552" w:rsidRPr="00A71291" w:rsidRDefault="00613552" w:rsidP="00613552">
      <w:pPr>
        <w:spacing w:after="0" w:line="480" w:lineRule="auto"/>
        <w:jc w:val="both"/>
        <w:rPr>
          <w:sz w:val="24"/>
          <w:szCs w:val="24"/>
        </w:rPr>
      </w:pPr>
    </w:p>
    <w:p w14:paraId="67ACC1BD" w14:textId="77777777" w:rsidR="00613552" w:rsidRPr="00A71291" w:rsidRDefault="00613552" w:rsidP="00613552">
      <w:pPr>
        <w:pStyle w:val="Heading2"/>
        <w:spacing w:line="480" w:lineRule="auto"/>
        <w:rPr>
          <w:sz w:val="24"/>
          <w:szCs w:val="24"/>
        </w:rPr>
      </w:pPr>
      <w:bookmarkStart w:id="3" w:name="_heading=h.rb0pzim1u4vp" w:colFirst="0" w:colLast="0"/>
      <w:bookmarkEnd w:id="3"/>
      <w:r w:rsidRPr="00A71291">
        <w:rPr>
          <w:sz w:val="24"/>
          <w:szCs w:val="24"/>
        </w:rPr>
        <w:t>S3 Pathways of OM stabilization in the S+C fraction</w:t>
      </w:r>
    </w:p>
    <w:p w14:paraId="69916765" w14:textId="77777777" w:rsidR="00613552" w:rsidRPr="00A71291" w:rsidRDefault="00613552" w:rsidP="00613552">
      <w:pPr>
        <w:spacing w:after="0" w:line="480" w:lineRule="auto"/>
        <w:jc w:val="both"/>
        <w:rPr>
          <w:sz w:val="24"/>
          <w:szCs w:val="24"/>
        </w:rPr>
      </w:pPr>
      <w:r w:rsidRPr="00A71291">
        <w:rPr>
          <w:sz w:val="24"/>
          <w:szCs w:val="24"/>
        </w:rPr>
        <w:t>In this study, we observed that the degree of decomposition of OM associated with the S+C fraction decreases with increasing bulk SOC</w:t>
      </w:r>
      <w:r w:rsidRPr="00A71291">
        <w:rPr>
          <w:sz w:val="24"/>
          <w:szCs w:val="24"/>
          <w:vertAlign w:val="subscript"/>
        </w:rPr>
        <w:t xml:space="preserve">% </w:t>
      </w:r>
      <w:r w:rsidRPr="00A71291">
        <w:rPr>
          <w:sz w:val="24"/>
          <w:szCs w:val="24"/>
        </w:rPr>
        <w:t xml:space="preserve">(Figure </w:t>
      </w:r>
      <w:r>
        <w:rPr>
          <w:sz w:val="24"/>
          <w:szCs w:val="24"/>
        </w:rPr>
        <w:t>3</w:t>
      </w:r>
      <w:r w:rsidRPr="00A71291">
        <w:rPr>
          <w:sz w:val="24"/>
          <w:szCs w:val="24"/>
        </w:rPr>
        <w:t xml:space="preserve">b). We argue that this indicates a shift in the type of OM that gets associated with the S+C fraction. </w:t>
      </w:r>
    </w:p>
    <w:p w14:paraId="0A387193" w14:textId="77777777" w:rsidR="00613552" w:rsidRPr="00A71291" w:rsidRDefault="00613552" w:rsidP="00613552">
      <w:pPr>
        <w:spacing w:after="0" w:line="480" w:lineRule="auto"/>
        <w:jc w:val="both"/>
        <w:rPr>
          <w:sz w:val="24"/>
          <w:szCs w:val="24"/>
        </w:rPr>
      </w:pPr>
      <w:r w:rsidRPr="00A71291">
        <w:rPr>
          <w:sz w:val="24"/>
          <w:szCs w:val="24"/>
        </w:rPr>
        <w:t>It is generally assumed that mineral-associated SOC is primarily formed from products of microbial decomposition</w:t>
      </w:r>
      <w:r w:rsidRPr="00A71291">
        <w:rPr>
          <w:sz w:val="24"/>
          <w:szCs w:val="24"/>
          <w:vertAlign w:val="superscript"/>
        </w:rPr>
        <w:fldChar w:fldCharType="begin"/>
      </w:r>
      <w:r>
        <w:rPr>
          <w:sz w:val="24"/>
          <w:szCs w:val="24"/>
          <w:vertAlign w:val="superscript"/>
        </w:rPr>
        <w:instrText xml:space="preserve"> ADDIN ZOTERO_ITEM CSL_CITATION {"citationID":"5xLjJBWV","properties":{"formattedCitation":"\\super 2,25\\nosupersub{}","plainCitation":"2,25","noteIndex":0},"citationItems":[{"id":618,"uris":["http://zotero.org/users/local/bAbjI7Wz/items/6AKDF5FR"],"itemData":{"id":618,"type":"article-journal","container-title":"Global Change Biology","DOI":"10.1111/gcb.16023","ISSN":"1354-1013, 1365-2486","issue":"3","journalAbbreviation":"Global Change Biology","language":"en","page":"1178-1196","source":"DOI.org (Crossref)","title":"Beyond bulk: Density fractions explain heterogeneity in global soil carbon abundance and persistence","title-short":"Beyond bulk","volume":"28","author":[{"family":"Heckman","given":"Katherine"},{"family":"Hicks Pries","given":"Caitlin E."},{"family":"Lawrence","given":"Corey R."},{"family":"Rasmussen","given":"Craig"},{"family":"Crow","given":"Susan E."},{"family":"Hoyt","given":"Alison M."},{"family":"Fromm","given":"Sophie F."},{"family":"Shi","given":"Zheng"},{"family":"Stoner","given":"Shane"},{"family":"McGrath","given":"Casey"},{"family":"Beem‐Miller","given":"Jeffrey"},{"family":"Berhe","given":"Asmeret Asefaw"},{"family":"Blankinship","given":"Joseph C."},{"family":"Keiluweit","given":"Marco"},{"family":"Marín‐Spiotta","given":"Erika"},{"family":"Monroe","given":"J. Grey"},{"family":"Plante","given":"Alain F."},{"family":"Schimel","given":"Joshua"},{"family":"Sierra","given":"Carlos A."},{"family":"Thompson","given":"Aaron"},{"family":"Wagai","given":"Rota"}],"issued":{"date-parts":[["2022",2]]}}},{"id":785,"uris":["http://zotero.org/users/local/bAbjI7Wz/items/ICHYGREE"],"itemData":{"id":785,"type":"article-journal","abstract":"Abstract\n            Soil organic matter (SOM) and the carbon and nutrients therein drive fundamental submicron- to global-scale biogeochemical processes and influence carbon-climate feedbacks. Consensus is emerging that microbial materials are an important constituent of stable SOM, and new conceptual and quantitative SOM models are rapidly incorporating this view. However, direct evidence demonstrating that microbial residues account for the chemistry, stability and abundance of SOM is still lacking. Further, emerging models emphasize the stabilization of microbial-derived SOM by abiotic mechanisms, while the effects of microbial physiology on microbial residue production remain unclear. Here we provide the first direct evidence that soil microbes produce chemically diverse, stable SOM. We show that SOM accumulation is driven by distinct microbial communities more so than clay mineralogy, where microbial-derived SOM accumulation is greatest in soils with higher fungal abundances and more efficient microbial biomass production.","container-title":"Nature Communications","DOI":"10.1038/ncomms13630","ISSN":"2041-1723","issue":"1","journalAbbreviation":"Nat Commun","language":"en","page":"13630","source":"DOI.org (Crossref)","title":"Direct evidence for microbial-derived soil organic matter formation and its ecophysiological controls","volume":"7","author":[{"family":"Kallenbach","given":"Cynthia M."},{"family":"Frey","given":"Serita D."},{"family":"Grandy","given":"A. Stuart"}],"issued":{"date-parts":[["2016",12,23]]}}}],"schema":"https://github.com/citation-style-language/schema/raw/master/csl-citation.json"} </w:instrText>
      </w:r>
      <w:r w:rsidRPr="00A71291">
        <w:rPr>
          <w:sz w:val="24"/>
          <w:szCs w:val="24"/>
          <w:vertAlign w:val="superscript"/>
        </w:rPr>
        <w:fldChar w:fldCharType="separate"/>
      </w:r>
      <w:r w:rsidRPr="003F1FB0">
        <w:rPr>
          <w:sz w:val="24"/>
          <w:szCs w:val="24"/>
          <w:vertAlign w:val="superscript"/>
        </w:rPr>
        <w:t>2,25</w:t>
      </w:r>
      <w:r w:rsidRPr="00A71291">
        <w:rPr>
          <w:sz w:val="24"/>
          <w:szCs w:val="24"/>
          <w:vertAlign w:val="superscript"/>
        </w:rPr>
        <w:fldChar w:fldCharType="end"/>
      </w:r>
      <w:r w:rsidRPr="00A71291">
        <w:rPr>
          <w:sz w:val="24"/>
          <w:szCs w:val="24"/>
        </w:rPr>
        <w:t>. This can happen either via microbial uptake of substrate, subsequent breakdown through microbial catabolism and reassembly into chemically different molecules by microbial anabolism. Carbon stabilization following such full microbial transformation of OM can be referred to as the</w:t>
      </w:r>
      <w:r w:rsidRPr="00A71291">
        <w:rPr>
          <w:i/>
          <w:sz w:val="24"/>
          <w:szCs w:val="24"/>
        </w:rPr>
        <w:t xml:space="preserve"> in vivo</w:t>
      </w:r>
      <w:r w:rsidRPr="00A71291">
        <w:rPr>
          <w:sz w:val="24"/>
          <w:szCs w:val="24"/>
        </w:rPr>
        <w:t xml:space="preserve"> pathway</w:t>
      </w:r>
      <w:r w:rsidRPr="00A71291">
        <w:rPr>
          <w:sz w:val="24"/>
          <w:szCs w:val="24"/>
          <w:vertAlign w:val="superscript"/>
        </w:rPr>
        <w:fldChar w:fldCharType="begin"/>
      </w:r>
      <w:r>
        <w:rPr>
          <w:sz w:val="24"/>
          <w:szCs w:val="24"/>
          <w:vertAlign w:val="superscript"/>
        </w:rPr>
        <w:instrText xml:space="preserve"> ADDIN ZOTERO_ITEM CSL_CITATION {"citationID":"LNyeoVb7","properties":{"formattedCitation":"\\super 31\\nosupersub{}","plainCitation":"31","noteIndex":0},"citationItems":[{"id":849,"uris":["http://zotero.org/users/local/bAbjI7Wz/items/9JKRAXF5"],"itemData":{"id":849,"type":"article-journal","container-title":"Nature Microbiology","DOI":"10.1038/nmicrobiol.2017.105","ISSN":"2058-5276","issue":"8","journalAbbreviation":"Nat Microbiol","language":"en","page":"17105","source":"DOI.org (Crossref)","title":"The importance of anabolism in microbial control over soil carbon storage","volume":"2","author":[{"family":"Liang","given":"Chao"},{"family":"Schimel","given":"Joshua P."},{"family":"Jastrow","given":"Julie D."}],"issued":{"date-parts":[["2017",8]]}}}],"schema":"https://github.com/citation-style-language/schema/raw/master/csl-citation.json"} </w:instrText>
      </w:r>
      <w:r w:rsidRPr="00A71291">
        <w:rPr>
          <w:sz w:val="24"/>
          <w:szCs w:val="24"/>
          <w:vertAlign w:val="superscript"/>
        </w:rPr>
        <w:fldChar w:fldCharType="separate"/>
      </w:r>
      <w:r w:rsidRPr="003F1FB0">
        <w:rPr>
          <w:sz w:val="24"/>
          <w:szCs w:val="24"/>
          <w:vertAlign w:val="superscript"/>
        </w:rPr>
        <w:t>31</w:t>
      </w:r>
      <w:r w:rsidRPr="00A71291">
        <w:rPr>
          <w:sz w:val="24"/>
          <w:szCs w:val="24"/>
          <w:vertAlign w:val="superscript"/>
        </w:rPr>
        <w:fldChar w:fldCharType="end"/>
      </w:r>
      <w:r w:rsidRPr="00A71291">
        <w:rPr>
          <w:sz w:val="24"/>
          <w:szCs w:val="24"/>
        </w:rPr>
        <w:t xml:space="preserve">. In contrast, SOC stabilization that for various reasons bypasses microbial uptake - and subsequently full microbial catabolism and anabolism -, can be referred to as the </w:t>
      </w:r>
      <w:r w:rsidRPr="00A71291">
        <w:rPr>
          <w:i/>
          <w:sz w:val="24"/>
          <w:szCs w:val="24"/>
        </w:rPr>
        <w:t>ex vivo</w:t>
      </w:r>
      <w:r w:rsidRPr="00A71291">
        <w:rPr>
          <w:sz w:val="24"/>
          <w:szCs w:val="24"/>
        </w:rPr>
        <w:t xml:space="preserve"> pathway. Examples </w:t>
      </w:r>
      <w:r w:rsidRPr="00A71291">
        <w:rPr>
          <w:sz w:val="24"/>
          <w:szCs w:val="24"/>
        </w:rPr>
        <w:lastRenderedPageBreak/>
        <w:t xml:space="preserve">for the </w:t>
      </w:r>
      <w:r w:rsidRPr="00A71291">
        <w:rPr>
          <w:i/>
          <w:sz w:val="24"/>
          <w:szCs w:val="24"/>
        </w:rPr>
        <w:t>ex vivo</w:t>
      </w:r>
      <w:r w:rsidRPr="00A71291">
        <w:rPr>
          <w:sz w:val="24"/>
          <w:szCs w:val="24"/>
        </w:rPr>
        <w:t xml:space="preserve"> pathway are direct stabilization of soluble plant-derived OM, or stabilization of structural plant-derived OM that only got modified by extracellular enzymes.</w:t>
      </w:r>
    </w:p>
    <w:p w14:paraId="3269CCC0" w14:textId="77777777" w:rsidR="00613552" w:rsidRPr="00A71291" w:rsidRDefault="00613552" w:rsidP="00613552">
      <w:pPr>
        <w:spacing w:after="0" w:line="480" w:lineRule="auto"/>
        <w:jc w:val="both"/>
        <w:rPr>
          <w:sz w:val="24"/>
          <w:szCs w:val="24"/>
        </w:rPr>
      </w:pPr>
      <w:r w:rsidRPr="00A71291">
        <w:rPr>
          <w:sz w:val="24"/>
          <w:szCs w:val="24"/>
        </w:rPr>
        <w:t>In our dataset, a higher decomposition index (DI) corresponds to a higher proportion of microbially transformed OM in the respective reservoir, as the patterns of the variables on which the DI is based (fraction specific C:N ratio, relative peak area of RPA</w:t>
      </w:r>
      <w:r w:rsidRPr="00A71291">
        <w:rPr>
          <w:sz w:val="24"/>
          <w:szCs w:val="24"/>
          <w:vertAlign w:val="subscript"/>
        </w:rPr>
        <w:t>SIMP</w:t>
      </w:r>
      <w:r w:rsidRPr="00A71291">
        <w:rPr>
          <w:sz w:val="24"/>
          <w:szCs w:val="24"/>
        </w:rPr>
        <w:t>, δ</w:t>
      </w:r>
      <w:r w:rsidRPr="00A71291">
        <w:rPr>
          <w:sz w:val="24"/>
          <w:szCs w:val="24"/>
          <w:vertAlign w:val="superscript"/>
        </w:rPr>
        <w:t>13</w:t>
      </w:r>
      <w:r w:rsidRPr="00A71291">
        <w:rPr>
          <w:sz w:val="24"/>
          <w:szCs w:val="24"/>
        </w:rPr>
        <w:t>C and δ</w:t>
      </w:r>
      <w:r w:rsidRPr="00A71291">
        <w:rPr>
          <w:sz w:val="24"/>
          <w:szCs w:val="24"/>
          <w:vertAlign w:val="superscript"/>
        </w:rPr>
        <w:t>15</w:t>
      </w:r>
      <w:r w:rsidRPr="00A71291">
        <w:rPr>
          <w:sz w:val="24"/>
          <w:szCs w:val="24"/>
        </w:rPr>
        <w:t xml:space="preserve">N) show (Figure </w:t>
      </w:r>
      <w:r>
        <w:rPr>
          <w:sz w:val="24"/>
          <w:szCs w:val="24"/>
        </w:rPr>
        <w:t>S1</w:t>
      </w:r>
      <w:r w:rsidRPr="00A71291">
        <w:rPr>
          <w:sz w:val="24"/>
          <w:szCs w:val="24"/>
        </w:rPr>
        <w:t xml:space="preserve">). This implies that in soils with a high DI a larger proportion of the OM was stabilized via the </w:t>
      </w:r>
      <w:r w:rsidRPr="00A71291">
        <w:rPr>
          <w:i/>
          <w:sz w:val="24"/>
          <w:szCs w:val="24"/>
        </w:rPr>
        <w:t>in vivo</w:t>
      </w:r>
      <w:r w:rsidRPr="00A71291">
        <w:rPr>
          <w:sz w:val="24"/>
          <w:szCs w:val="24"/>
        </w:rPr>
        <w:t xml:space="preserve"> pathway (in contrast to the </w:t>
      </w:r>
      <w:r w:rsidRPr="00A71291">
        <w:rPr>
          <w:i/>
          <w:sz w:val="24"/>
          <w:szCs w:val="24"/>
        </w:rPr>
        <w:t>ex vivo</w:t>
      </w:r>
      <w:r w:rsidRPr="00A71291">
        <w:rPr>
          <w:sz w:val="24"/>
          <w:szCs w:val="24"/>
        </w:rPr>
        <w:t xml:space="preserve"> pathway). We therefore argue, that with increasing bulk SOC</w:t>
      </w:r>
      <w:r w:rsidRPr="00A71291">
        <w:rPr>
          <w:sz w:val="24"/>
          <w:szCs w:val="24"/>
          <w:vertAlign w:val="subscript"/>
        </w:rPr>
        <w:t xml:space="preserve">% </w:t>
      </w:r>
      <w:r w:rsidRPr="00A71291">
        <w:rPr>
          <w:sz w:val="24"/>
          <w:szCs w:val="24"/>
        </w:rPr>
        <w:t xml:space="preserve">we see an increasing importance of the </w:t>
      </w:r>
      <w:r w:rsidRPr="00A71291">
        <w:rPr>
          <w:i/>
          <w:sz w:val="24"/>
          <w:szCs w:val="24"/>
        </w:rPr>
        <w:t>ex vivo</w:t>
      </w:r>
      <w:r w:rsidRPr="00A71291">
        <w:rPr>
          <w:sz w:val="24"/>
          <w:szCs w:val="24"/>
        </w:rPr>
        <w:t xml:space="preserve"> pathway relative to the in vivo pathway for SOC stabilization associated with the S+C fraction.</w:t>
      </w:r>
    </w:p>
    <w:p w14:paraId="1FE0AC02" w14:textId="77777777" w:rsidR="00613552" w:rsidRDefault="00613552" w:rsidP="00613552">
      <w:pPr>
        <w:spacing w:line="480" w:lineRule="auto"/>
        <w:jc w:val="both"/>
        <w:rPr>
          <w:sz w:val="24"/>
          <w:szCs w:val="24"/>
        </w:rPr>
      </w:pPr>
      <w:r w:rsidRPr="00A71291">
        <w:rPr>
          <w:sz w:val="24"/>
          <w:szCs w:val="24"/>
        </w:rPr>
        <w:t xml:space="preserve">Theoretically, a large variety of mechanisms could underlie such a shift: First, changes in the composition of the clay mineral phase and its </w:t>
      </w:r>
      <w:proofErr w:type="spellStart"/>
      <w:r w:rsidRPr="00A71291">
        <w:rPr>
          <w:sz w:val="24"/>
          <w:szCs w:val="24"/>
        </w:rPr>
        <w:t>sorptive</w:t>
      </w:r>
      <w:proofErr w:type="spellEnd"/>
      <w:r w:rsidRPr="00A71291">
        <w:rPr>
          <w:sz w:val="24"/>
          <w:szCs w:val="24"/>
        </w:rPr>
        <w:t xml:space="preserve"> affinity could influence the stabilization of chemically distinct types of OM in S+C</w:t>
      </w:r>
      <w:r w:rsidRPr="00A71291">
        <w:rPr>
          <w:sz w:val="24"/>
          <w:szCs w:val="24"/>
          <w:vertAlign w:val="superscript"/>
        </w:rPr>
        <w:fldChar w:fldCharType="begin"/>
      </w:r>
      <w:r>
        <w:rPr>
          <w:sz w:val="24"/>
          <w:szCs w:val="24"/>
          <w:vertAlign w:val="superscript"/>
        </w:rPr>
        <w:instrText xml:space="preserve"> ADDIN ZOTERO_ITEM CSL_CITATION {"citationID":"08F8A2fU","properties":{"formattedCitation":"\\super 9,27,28,84,85\\nosupersub{}","plainCitation":"9,27,28,84,85","noteIndex":0},"citationItems":[{"id":1407,"uris":["http://zotero.org/users/local/bAbjI7Wz/items/ALC6HMVV"],"itemData":{"id":1407,"type":"article-journal","abstract":"To predict the behavior of the terrestrial carbon cycle, it is critical to understand the source, formation pathway, and chemical composition of soil organic matter (SOM). There is emerging consensus that slow‐cycling SOM generally consists of relatively low molecular weight organic carbon substrates that enter the mineral soil as dissolved organic matter and associate with mineral surfaces (referred to as “mineralassociated OM,” or MAOM). However, much debate and contradictory evidence persist around: (a) whether the organic C substrates within the MAOM pool primarily originate from aboveground vs. belowground plant sources and (b) whether C substrates directly sorb to mineral surfaces or undergo microbial transformation prior to their incorporation into MAOM. Here, we attempt to reconcile disparate views on the formation of MAOM by proposing a spatially explicit set of processes that link plant C source with MAOM formation pathway. Specifically, because belowground vs. aboveground sources of plant C enter spatially distinct regions of the mineral soil, we propose that fine‐scale differences in microbial abundance should determine the probability of substrate–microbe vs. substrate–mineral interaction. Thus, formation of MAOM in areas of high microbial density (e.g., the rhizosphere and other microbial hotspots) should primarily occur through an in vivo microbial turnover pathway and favor C substrates that are first biosynthesized with high microbial carbon‐use efficiency prior to incorporation in the MAOM pool. In contrast, in areas of low microbial density (e.g., certain regions of the bulk soil), MAOM formation should primarily occur through the direct sorption of intact or partially oxidized plant compounds to uncolonized mineral surfaces, minimizing the importance of carbon‐use efficiency, and favoring C substrates with strong “sorptive affinity.” Through this framework, we thus describe how the primacy of biotic vs. abiotic controls on MAOM dynamics is not mutually exclusive, but rather spatially dictated. Such an understanding may be integral to more accurately modeling soil organic matter dynamics across different spatial scales.","container-title":"Global Change Biology","DOI":"10.1111/gcb.14482","ISSN":"1354-1013, 1365-2486","issue":"1","journalAbbreviation":"Glob Change Biol","language":"en","page":"12-24","source":"DOI.org (Crossref)","title":"Pathways of mineral‐associated soil organic matter formation: Integrating the role of plant carbon source, chemistry, and point of entry","title-short":"Pathways of mineral‐associated soil organic matter formation","volume":"25","author":[{"family":"Sokol","given":"Noah W."},{"family":"Sanderman","given":"Jonathan"},{"family":"Bradford","given":"Mark A."}],"issued":{"date-parts":[["2019",1]]}}},{"id":776,"uris":["http://zotero.org/users/local/bAbjI7Wz/items/5Y4X2FNG"],"itemData":{"id":776,"type":"article-journal","abstract":"Sorption on the mineral matrix is an important process restricting the movement of dissolved organic matter (DOM) in soils. In this study, we aimed to identify the chemical structures responsible for the retention of DOM by sorption experiments with total DOM and acidic humic substances (AHS), containing humic and fulvic acids, on soil samples and minerals (goethite, ferrihydrite, and amorphous AI(OH)3). The AHS remaining in solution after sorption were studied by I3C nuclear magnetic resonance (NMR) analysis, and total DOM and AHS sorbed on the surfaces of minerals by diffuse reflectance Fourier-transform infrared (DRIFT) spectroscopy. The soil samples were taken from strongly sorbing Bw horizons of two Inceptisols rich in pedogenetic Fe (29 and 35 g kg-') and containing little C (7 and 22 g kg-I). The I3C-NMRspectra showed that sorption causes a preferential removal of aromatic and carboxyl C from the solution, whereas alkyl-C accumulates in the solution. No change was observed for 0-alkyl C. The DRIFT spectra of sorbed total DOM and AHS showed a relative increase of the band intensity of carboxyl groups compared to DOM in the initial solution, confirming the importance of those groups for the sorption to mineral surfaces. The spectra also indicated reactions of carboxyl groups with metals at the mineral surfaces. The extent to which the carboxyl groups are bound depended on the surface coverage with DOM and the type of mineral.","container-title":"European Journal of Soil Science","DOI":"10.1111/j.1365-2389.1997.tb00550.x","ISSN":"13510754","issue":"2","language":"en","page":"301-310","source":"DOI.org (Crossref)","title":"Dissolved organic matter sorption on sub soils and minerals studied by &lt;sup&gt;13&lt;/sup&gt; C-NMR and DRIFT spectroscopy","volume":"48","author":[{"family":"Kaiser","given":"K."},{"family":"Guggenberger","given":"G."},{"family":"Haumaier","given":"L."},{"family":"Zech","given":"W."}],"issued":{"date-parts":[["1997",6]]}}},{"id":1410,"uris":["http://zotero.org/users/local/bAbjI7Wz/items/BRCI2MIB"],"itemData":{"id":1410,"type":"article-journal","container-title":"Biogeochemistry","DOI":"10.1007/s10533-009-9359-z","ISSN":"0168-2563, 1573-515X","issue":"1-3","journalAbbreviation":"Biogeochemistry","language":"en","page":"209-231","source":"DOI.org (Crossref)","title":"Sequential density fractionation across soils of contrasting mineralogy: evidence for both microbial- and mineral-controlled soil organic matter stabilization","title-short":"Sequential density fractionation across soils of contrasting mineralogy","volume":"96","author":[{"family":"Sollins","given":"Phillip"},{"family":"Kramer","given":"Marc G."},{"family":"Swanston","given":"Christopher"},{"family":"Lajtha","given":"Kate"},{"family":"Filley","given":"Timothy"},{"family":"Aufdenkampe","given":"Anthony K."},{"family":"Wagai","given":"Rota"},{"family":"Bowden","given":"Richard D."}],"issued":{"date-parts":[["2009",12]]}}},{"id":818,"uris":["http://zotero.org/users/local/bAbjI7Wz/items/79TEDTDA"],"itemData":{"id":818,"type":"article-journal","abstract":"Soils retain large quantities of carbon, thereby slowing its return to the atmosphere. The mechanisms governing organic carbon sequestration in soil remain poorly understood, yet are integral to understanding soil-climate feedbacks. We evaluated the biochemistry of dissolved and solid organic carbon in potential source and sink horizons across a chronosequence of volcanic soils in Hawai’i. The soils are derived from similar basaltic parent material on gently sloping volcanic shield surfaces, support the same vegetation assemblage, and yet exhibit strong shifts in soil mineralogy and soil carbon content as a function of volcanic substrate age. Solid-state13carbon nuclear magnetic resonance spectra indicate that the most persistent mineral-bound carbon is comprised of partially oxidized aromatic compounds with strong chemical resemblance to dissolved organic matter derived from plant litter. A molecular mixing model indicates that protein, lipid, carbohydrate, and char content decreased whereas oxidized lignin and carboxyl/carbonyl content increased with increasing short-range order mineral content. When solutions rich in dissolved organic matter were passed through Bw-horizon mineral cores, aromatic compounds were preferentially sorbed with the greatest retention occurring in horizons containing the greatest amount of short-range ordered minerals. These minerals are reactive metastable nanocrystals that are most common in volcanic soils, but exist in smaller amounts in nearly all major soil classes. Our results indicate that long-term carbon storage in short-range ordered minerals occurs via chemical retention with dissolved aromatic acids derived from plant litter and carried along preferential ﬂow-paths to deeper B horizons.","container-title":"Global Change Biology","DOI":"10.1111/j.1365-2486.2012.02681.x","ISSN":"13541013","issue":"8","journalAbbreviation":"Glob Change Biol","language":"en","page":"2594-2605","source":"DOI.org (Crossref)","title":"Long-term carbon storage through retention of dissolved aromatic acids by reactive particles in soil","volume":"18","author":[{"family":"Kramer","given":"Marc G."},{"family":"Sanderman","given":"Jonathan"},{"family":"Chadwick","given":"Oliver A."},{"family":"Chorover","given":"Jon"},{"family":"Vitousek","given":"Peter M."}],"issued":{"date-parts":[["2012",8]]}}},{"id":399,"uris":["http://zotero.org/users/local/bAbjI7Wz/items/LE2PKLM9"],"itemData":{"id":399,"type":"article-journal","container-title":"Geochimica et Cosmochimica Acta","DOI":"10.1016/j.gca.2019.06.028","ISSN":"00167037","journalAbbreviation":"Geochimica et Cosmochimica Acta","language":"en","page":"161-176","source":"DOI.org (Crossref)","title":"Mineralogy dictates the initial mechanism of microbial necromass association","volume":"260","author":[{"family":"Creamer","given":"Courtney A."},{"family":"Foster","given":"Andrea L."},{"family":"Lawrence","given":"Corey"},{"family":"McFarland","given":"Jack"},{"family":"Schulz","given":"Marjorie"},{"family":"Waldrop","given":"Mark P."}],"issued":{"date-parts":[["2019",9]]}}}],"schema":"https://github.com/citation-style-language/schema/raw/master/csl-citation.json"}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9,27,28,84,85</w:t>
      </w:r>
      <w:r w:rsidRPr="00A71291">
        <w:rPr>
          <w:sz w:val="24"/>
          <w:szCs w:val="24"/>
          <w:vertAlign w:val="superscript"/>
        </w:rPr>
        <w:fldChar w:fldCharType="end"/>
      </w:r>
      <w:r w:rsidRPr="00A71291">
        <w:rPr>
          <w:sz w:val="24"/>
          <w:szCs w:val="24"/>
        </w:rPr>
        <w:t>. Second, lower decomposition rates caused by lower temperatures could lead to the relative accumulation of less-decomposed OM. Third, increasing SOC contents could facilitate increasing</w:t>
      </w:r>
      <w:sdt>
        <w:sdtPr>
          <w:rPr>
            <w:sz w:val="24"/>
            <w:szCs w:val="24"/>
          </w:rPr>
          <w:tag w:val="goog_rdk_15"/>
          <w:id w:val="1317536345"/>
        </w:sdtPr>
        <w:sdtContent/>
      </w:sdt>
      <w:r w:rsidRPr="00A71291">
        <w:rPr>
          <w:sz w:val="24"/>
          <w:szCs w:val="24"/>
        </w:rPr>
        <w:t xml:space="preserve"> OM – OM interactions</w:t>
      </w:r>
      <w:r w:rsidRPr="00A71291">
        <w:rPr>
          <w:sz w:val="24"/>
          <w:szCs w:val="24"/>
        </w:rPr>
        <w:fldChar w:fldCharType="begin"/>
      </w:r>
      <w:r>
        <w:rPr>
          <w:sz w:val="24"/>
          <w:szCs w:val="24"/>
        </w:rPr>
        <w:instrText xml:space="preserve"> ADDIN ZOTERO_ITEM CSL_CITATION {"citationID":"MaosJuGV","properties":{"formattedCitation":"\\super 30,86\\nosupersub{}","plainCitation":"30,86","noteIndex":0},"citationItems":[{"id":1274,"uris":["http://zotero.org/users/local/bAbjI7Wz/items/6YGJKSD5"],"itemData":{"id":1274,"type":"article-journal","abstract":"Mounting evidence of recent spectromicroscopic insights have revealed that the distribution of mineral-associated organic matter (OM) at the microscale and nanoscale is organized heterogeneously in patchy and piled-up arrangements of varying thickness. Spectromicroscopic approaches could show local deterministic features of distinct OM and mineral composition that influence the heterogeneous lateral OM distribution. OM–OM interactions shape vertical and three-dimensional OM structures with potentially multilayered composition. Conceptualizing mineral-associated OM as patchy-distributed and piled-up has critical implications for our understanding of soil ecosystem functions as it defines their functional properties in compartmentalized regions at the microscale and nanoscale. The concentrated storage of OM associated to only a minor part of mineral surfaces implies that carbon sequestration may be decoupled from a direct limitation by the amount of fine mineral particles while sustaining mineral surface functionality in other parts. At the microscale and nanoscale, differences in altered surface properties, compartmentalized microhabitats, and biotic architectures shape a conceptual understanding where OM storage and other soil functions are driven by spatially resolved interactions. This novel conceptual framework warrants experimental approaches to incorporate the patchy and piled-up arrangement of OM and upscale potential effects of its heterogeneous arrangement to systematically understand the effectiveness of soil functions.","container-title":"Journal of Plant Nutrition and Soil Science","DOI":"10.1002/jpln.202200217","ISSN":"1436-8730, 1522-2624","journalAbbreviation":"J. Plant Nutr. Soil Sci.","language":"en","page":"jpln.202200217","source":"DOI.org (Crossref)","title":"Perspectives from the Fritz‐Scheffer Awardee 2021: Soil organic matter storage and functions determined by patchy and piled‐up arrangements at the microscale","title-short":"Perspectives from the Fritz‐Scheffer Awardee 2021","author":[{"family":"Schweizer","given":"Steffen A."}],"issued":{"date-parts":[["2022",7,13]]}}},{"id":1196,"uris":["http://zotero.org/users/local/bAbjI7Wz/items/Y9DZY5EM"],"itemData":{"id":1196,"type":"article-journal","abstract":"Abstract\n            The capacity of soil as a carbon (C) sink is mediated by interactions between organic matter and mineral phases. However, previously proposed layered accumulation of organic matter within aggregate organo–mineral microstructures has not yet been confirmed by direct visualization at the necessary nanometer-scale spatial resolution. Here, we identify disordered micrometer-size organic phases rather than previously reported ordered gradients in C functional groups. Using cryo-electron microscopy with electron energy loss spectroscopy (EELS), we show organo–organic interfaces in contrast to exclusively organo–mineral interfaces. Single-digit nanometer-size layers of C forms were detected at the organo–organic interface, showing alkyl C and nitrogen (N) enrichment (by 4 and 7%, respectively). At the organo–mineral interface, 88% (72–92%) and 33% (16–53%) enrichment of N and oxidized C, respectively, indicate different stabilization processes than at organo–organic interfaces. However, N enrichment at both interface types points towards the importance of N-rich residues for greater C sequestration.","container-title":"Nature Communications","DOI":"10.1038/s41467-020-19792-9","ISSN":"2041-1723","issue":"1","journalAbbreviation":"Nat Commun","language":"en","page":"6103","source":"DOI.org (Crossref)","title":"Organo–organic and organo–mineral interfaces in soil at the nanometer scale","volume":"11","author":[{"family":"Possinger","given":"Angela R."},{"family":"Zachman","given":"Michael J."},{"family":"Enders","given":"Akio"},{"family":"Levin","given":"Barnaby D. A."},{"family":"Muller","given":"David A."},{"family":"Kourkoutis","given":"Lena F."},{"family":"Lehmann","given":"Johannes"}],"issued":{"date-parts":[["2020",12]]}}}],"schema":"https://github.com/citation-style-language/schema/raw/master/csl-citation.json"} </w:instrText>
      </w:r>
      <w:r w:rsidRPr="00A71291">
        <w:rPr>
          <w:sz w:val="24"/>
          <w:szCs w:val="24"/>
        </w:rPr>
        <w:fldChar w:fldCharType="separate"/>
      </w:r>
      <w:r w:rsidRPr="00200709">
        <w:rPr>
          <w:sz w:val="24"/>
          <w:szCs w:val="24"/>
          <w:vertAlign w:val="superscript"/>
        </w:rPr>
        <w:t>30,86</w:t>
      </w:r>
      <w:r w:rsidRPr="00A71291">
        <w:rPr>
          <w:sz w:val="24"/>
          <w:szCs w:val="24"/>
        </w:rPr>
        <w:fldChar w:fldCharType="end"/>
      </w:r>
      <w:r w:rsidRPr="00A71291">
        <w:rPr>
          <w:sz w:val="24"/>
          <w:szCs w:val="24"/>
        </w:rPr>
        <w:t xml:space="preserve"> on mineral surfaces, which may be less selective in terms of OM chemistry. Fourth, it has previously been suggested that more leaching in wetter environments may favor the </w:t>
      </w:r>
      <w:r w:rsidRPr="00A71291">
        <w:rPr>
          <w:i/>
          <w:sz w:val="24"/>
          <w:szCs w:val="24"/>
        </w:rPr>
        <w:t>ex vivo</w:t>
      </w:r>
      <w:r w:rsidRPr="00A71291">
        <w:rPr>
          <w:sz w:val="24"/>
          <w:szCs w:val="24"/>
        </w:rPr>
        <w:t xml:space="preserve"> pathway over the </w:t>
      </w:r>
      <w:r w:rsidRPr="00A71291">
        <w:rPr>
          <w:i/>
          <w:sz w:val="24"/>
          <w:szCs w:val="24"/>
        </w:rPr>
        <w:t>in vivo</w:t>
      </w:r>
      <w:r w:rsidRPr="00A71291">
        <w:rPr>
          <w:sz w:val="24"/>
          <w:szCs w:val="24"/>
        </w:rPr>
        <w:t xml:space="preserve"> </w:t>
      </w:r>
      <w:sdt>
        <w:sdtPr>
          <w:rPr>
            <w:sz w:val="24"/>
            <w:szCs w:val="24"/>
          </w:rPr>
          <w:tag w:val="goog_rdk_16"/>
          <w:id w:val="-1689516044"/>
        </w:sdtPr>
        <w:sdtContent/>
      </w:sdt>
      <w:r w:rsidRPr="00A71291">
        <w:rPr>
          <w:sz w:val="24"/>
          <w:szCs w:val="24"/>
        </w:rPr>
        <w:t>pathway</w:t>
      </w:r>
      <w:r w:rsidRPr="00A71291">
        <w:rPr>
          <w:sz w:val="24"/>
          <w:szCs w:val="24"/>
        </w:rPr>
        <w:fldChar w:fldCharType="begin"/>
      </w:r>
      <w:r>
        <w:rPr>
          <w:sz w:val="24"/>
          <w:szCs w:val="24"/>
        </w:rPr>
        <w:instrText xml:space="preserve"> ADDIN ZOTERO_ITEM CSL_CITATION {"citationID":"SWdKkJdZ","properties":{"formattedCitation":"\\super 9\\nosupersub{}","plainCitation":"9","noteIndex":0},"citationItems":[{"id":1407,"uris":["http://zotero.org/users/local/bAbjI7Wz/items/ALC6HMVV"],"itemData":{"id":1407,"type":"article-journal","abstract":"To predict the behavior of the terrestrial carbon cycle, it is critical to understand the source, formation pathway, and chemical composition of soil organic matter (SOM). There is emerging consensus that slow‐cycling SOM generally consists of relatively low molecular weight organic carbon substrates that enter the mineral soil as dissolved organic matter and associate with mineral surfaces (referred to as “mineralassociated OM,” or MAOM). However, much debate and contradictory evidence persist around: (a) whether the organic C substrates within the MAOM pool primarily originate from aboveground vs. belowground plant sources and (b) whether C substrates directly sorb to mineral surfaces or undergo microbial transformation prior to their incorporation into MAOM. Here, we attempt to reconcile disparate views on the formation of MAOM by proposing a spatially explicit set of processes that link plant C source with MAOM formation pathway. Specifically, because belowground vs. aboveground sources of plant C enter spatially distinct regions of the mineral soil, we propose that fine‐scale differences in microbial abundance should determine the probability of substrate–microbe vs. substrate–mineral interaction. Thus, formation of MAOM in areas of high microbial density (e.g., the rhizosphere and other microbial hotspots) should primarily occur through an in vivo microbial turnover pathway and favor C substrates that are first biosynthesized with high microbial carbon‐use efficiency prior to incorporation in the MAOM pool. In contrast, in areas of low microbial density (e.g., certain regions of the bulk soil), MAOM formation should primarily occur through the direct sorption of intact or partially oxidized plant compounds to uncolonized mineral surfaces, minimizing the importance of carbon‐use efficiency, and favoring C substrates with strong “sorptive affinity.” Through this framework, we thus describe how the primacy of biotic vs. abiotic controls on MAOM dynamics is not mutually exclusive, but rather spatially dictated. Such an understanding may be integral to more accurately modeling soil organic matter dynamics across different spatial scales.","container-title":"Global Change Biology","DOI":"10.1111/gcb.14482","ISSN":"1354-1013, 1365-2486","issue":"1","journalAbbreviation":"Glob Change Biol","language":"en","page":"12-24","source":"DOI.org (Crossref)","title":"Pathways of mineral‐associated soil organic matter formation: Integrating the role of plant carbon source, chemistry, and point of entry","title-short":"Pathways of mineral‐associated soil organic matter formation","volume":"25","author":[{"family":"Sokol","given":"Noah W."},{"family":"Sanderman","given":"Jonathan"},{"family":"Bradford","given":"Mark A."}],"issued":{"date-parts":[["2019",1]]}}}],"schema":"https://github.com/citation-style-language/schema/raw/master/csl-citation.json"} </w:instrText>
      </w:r>
      <w:r w:rsidRPr="00A71291">
        <w:rPr>
          <w:sz w:val="24"/>
          <w:szCs w:val="24"/>
        </w:rPr>
        <w:fldChar w:fldCharType="separate"/>
      </w:r>
      <w:r w:rsidRPr="003F1FB0">
        <w:rPr>
          <w:sz w:val="24"/>
          <w:szCs w:val="24"/>
          <w:vertAlign w:val="superscript"/>
        </w:rPr>
        <w:t>9</w:t>
      </w:r>
      <w:r w:rsidRPr="00A71291">
        <w:rPr>
          <w:sz w:val="24"/>
          <w:szCs w:val="24"/>
        </w:rPr>
        <w:fldChar w:fldCharType="end"/>
      </w:r>
      <w:r w:rsidRPr="00A71291">
        <w:rPr>
          <w:sz w:val="24"/>
          <w:szCs w:val="24"/>
        </w:rPr>
        <w:t>, which would also result in the pattern that we observe. Fifth, in soils with more aggregation (</w:t>
      </w:r>
      <w:r w:rsidRPr="00A71291">
        <w:rPr>
          <w:i/>
          <w:sz w:val="24"/>
          <w:szCs w:val="24"/>
        </w:rPr>
        <w:t>i.e.,</w:t>
      </w:r>
      <w:r w:rsidRPr="00A71291">
        <w:rPr>
          <w:sz w:val="24"/>
          <w:szCs w:val="24"/>
        </w:rPr>
        <w:t xml:space="preserve"> soils with higher bulk SOC</w:t>
      </w:r>
      <w:r w:rsidRPr="00A71291">
        <w:rPr>
          <w:sz w:val="24"/>
          <w:szCs w:val="24"/>
          <w:vertAlign w:val="subscript"/>
        </w:rPr>
        <w:t>%</w:t>
      </w:r>
      <w:r w:rsidRPr="00A71291">
        <w:rPr>
          <w:sz w:val="24"/>
          <w:szCs w:val="24"/>
        </w:rPr>
        <w:t>), it is reasonable to assume a larger contribution of small stable aggregates in the silt- and clay-sized fraction (relative to free organo-mineral associations). These small stable aggregates could in turn occlude more poorly transformed OM, and thus shift the DI of the S+C fraction.</w:t>
      </w:r>
      <w:r w:rsidRPr="00A915DB">
        <w:t xml:space="preserve"> </w:t>
      </w:r>
      <w:r w:rsidRPr="00A915DB">
        <w:rPr>
          <w:sz w:val="24"/>
          <w:szCs w:val="24"/>
        </w:rPr>
        <w:t xml:space="preserve">Sixth, </w:t>
      </w:r>
      <w:proofErr w:type="spellStart"/>
      <w:r w:rsidRPr="00A915DB">
        <w:rPr>
          <w:sz w:val="24"/>
          <w:szCs w:val="24"/>
        </w:rPr>
        <w:t>macroaggregation</w:t>
      </w:r>
      <w:proofErr w:type="spellEnd"/>
      <w:r w:rsidRPr="00A915DB">
        <w:rPr>
          <w:sz w:val="24"/>
          <w:szCs w:val="24"/>
        </w:rPr>
        <w:t xml:space="preserve"> may be higher in SOC rich soils and thus smaller (S+C-sized) particles may have been occluded in macroaggregates before fractionation. Within macroaggregates, the organic matter associated with these S+C-particles may be protected from decomposition by </w:t>
      </w:r>
      <w:r w:rsidRPr="00A915DB">
        <w:rPr>
          <w:sz w:val="24"/>
          <w:szCs w:val="24"/>
        </w:rPr>
        <w:lastRenderedPageBreak/>
        <w:t>a certain degree of physical occlusion in addition to chemical stabilization mechanisms. However, it remains unclear if and to what extent occlusion in macroaggregates can protect OM from decomposition on short to intermediate time scales.</w:t>
      </w:r>
      <w:r>
        <w:rPr>
          <w:sz w:val="24"/>
          <w:szCs w:val="24"/>
        </w:rPr>
        <w:t xml:space="preserve"> </w:t>
      </w:r>
      <w:r w:rsidRPr="00A71291">
        <w:rPr>
          <w:sz w:val="24"/>
          <w:szCs w:val="24"/>
        </w:rPr>
        <w:t xml:space="preserve"> In conclusion, while our data does not reveal which mechanism(s) may cause the patterns in this dataset, plenty of observed and proposed mechanisms render our observation and interpretation plausible, that the OM in the silt- and clay-sized fraction is on average less microbially transformed in high-SOC soils than in low-SOC soils.  </w:t>
      </w:r>
    </w:p>
    <w:p w14:paraId="09337C6E" w14:textId="77777777" w:rsidR="00613552" w:rsidRPr="00A71291" w:rsidRDefault="00613552" w:rsidP="00613552">
      <w:pPr>
        <w:spacing w:line="480" w:lineRule="auto"/>
        <w:jc w:val="both"/>
        <w:rPr>
          <w:sz w:val="24"/>
          <w:szCs w:val="24"/>
        </w:rPr>
      </w:pPr>
    </w:p>
    <w:p w14:paraId="1739482D" w14:textId="77777777" w:rsidR="00613552" w:rsidRPr="00A71291" w:rsidRDefault="00613552" w:rsidP="00613552">
      <w:pPr>
        <w:pStyle w:val="Heading2"/>
        <w:spacing w:line="480" w:lineRule="auto"/>
        <w:rPr>
          <w:sz w:val="24"/>
          <w:szCs w:val="24"/>
        </w:rPr>
      </w:pPr>
      <w:bookmarkStart w:id="4" w:name="_heading=h.32hioqz" w:colFirst="0" w:colLast="0"/>
      <w:bookmarkEnd w:id="4"/>
      <w:r w:rsidRPr="00A71291">
        <w:rPr>
          <w:sz w:val="24"/>
          <w:szCs w:val="24"/>
        </w:rPr>
        <w:t xml:space="preserve">S4 </w:t>
      </w:r>
      <w:bookmarkStart w:id="5" w:name="_Hlk114219652"/>
      <w:r w:rsidRPr="00A71291">
        <w:rPr>
          <w:sz w:val="24"/>
          <w:szCs w:val="24"/>
        </w:rPr>
        <w:t>The role of texture</w:t>
      </w:r>
      <w:bookmarkEnd w:id="5"/>
    </w:p>
    <w:p w14:paraId="0B92B361" w14:textId="77777777" w:rsidR="00613552" w:rsidRDefault="00613552" w:rsidP="00613552">
      <w:pPr>
        <w:spacing w:after="0" w:line="480" w:lineRule="auto"/>
        <w:jc w:val="both"/>
        <w:rPr>
          <w:sz w:val="24"/>
          <w:szCs w:val="24"/>
        </w:rPr>
      </w:pPr>
      <w:bookmarkStart w:id="6" w:name="_heading=h.1hmsyys" w:colFirst="0" w:colLast="0"/>
      <w:bookmarkEnd w:id="6"/>
      <w:r w:rsidRPr="00A71291">
        <w:rPr>
          <w:sz w:val="24"/>
          <w:szCs w:val="24"/>
        </w:rPr>
        <w:t>Other studies identified silt and clay content as a main predictor of SOC contents, usually after full dispersion of stable microaggregates</w:t>
      </w:r>
      <w:r w:rsidRPr="00A71291">
        <w:rPr>
          <w:sz w:val="24"/>
          <w:szCs w:val="24"/>
          <w:vertAlign w:val="superscript"/>
        </w:rPr>
        <w:fldChar w:fldCharType="begin"/>
      </w:r>
      <w:r>
        <w:rPr>
          <w:sz w:val="24"/>
          <w:szCs w:val="24"/>
          <w:vertAlign w:val="superscript"/>
        </w:rPr>
        <w:instrText xml:space="preserve"> ADDIN ZOTERO_ITEM CSL_CITATION {"citationID":"kqD1VMPf","properties":{"formattedCitation":"\\super 87\\nosupersub{}","plainCitation":"87","noteIndex":0},"citationItems":[{"id":1107,"uris":["http://zotero.org/users/local/bAbjI7Wz/items/3QWNY78Y"],"itemData":{"id":1107,"type":"article-journal","abstract":"Abstract\n            \n              When studying carbon (C) sequestration in soil, it is necessary to recognize the maximal storage potential and the main influencing factors, including the climate, land use, and soil properties. Here, we hypothesized that the silt and clay contents in soils as well as the clay mineralogy are the main factors affecting the maximal C and N storage levels of soils. This hypothesis was evaluated using a database containing the organic C contents of topsoils separated by ultrasonic dispersion to determine the particle size fractions. The slopes of the linear regressions between the C contents in silt and clay to the soil organic C (SOC) and between the N contents in silt and clay to the total N content were independent of the clay mineralogy (2:1, 1:1, calcareous soil, amorphous clays), climate type (tropical, temperate, and Mediterranean), and land use type (cropland, grassland, and forest). This clearly shows that the silt and clay content is the main factor defining an upper SOC level, which allowed us to propose a generalized linear regression (R\n              2\n               &gt; 0.95) model with a common slope, independent of the land use and climate type, to estimate the soil C sequestration potential. The implications of these findings are as follows: (1) a common slope regression was accurately calculated (0.83 ± 0.02 for C-silt + clay &lt; 63 μm and 0.81 ± 0.02 for C-silt + clay &lt; 20 μm) and (2) there was no asymptotic pattern found to support the existence of an SOC saturation pool.","container-title":"Scientific Reports","DOI":"10.1038/s41598-021-84821-6","ISSN":"2045-2322","issue":"1","journalAbbreviation":"Sci Rep","language":"en","page":"6438","source":"DOI.org (Crossref)","title":"Fine silt and clay content is the main factor defining maximal C and N accumulations in soils: a meta-analysis","title-short":"Fine silt and clay content is the main factor defining maximal C and N accumulations in soils","volume":"11","author":[{"family":"Matus","given":"Francisco J."}],"issued":{"date-parts":[["2021",12]]}}}],"schema":"https://github.com/citation-style-language/schema/raw/master/csl-citation.json"}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87</w:t>
      </w:r>
      <w:r w:rsidRPr="00A71291">
        <w:rPr>
          <w:sz w:val="24"/>
          <w:szCs w:val="24"/>
          <w:vertAlign w:val="superscript"/>
        </w:rPr>
        <w:fldChar w:fldCharType="end"/>
      </w:r>
      <w:r w:rsidRPr="00A71291">
        <w:rPr>
          <w:sz w:val="24"/>
          <w:szCs w:val="24"/>
        </w:rPr>
        <w:t>.</w:t>
      </w:r>
      <w:r>
        <w:rPr>
          <w:sz w:val="24"/>
          <w:szCs w:val="24"/>
        </w:rPr>
        <w:t xml:space="preserve"> </w:t>
      </w:r>
      <w:r w:rsidRPr="00A915DB">
        <w:rPr>
          <w:sz w:val="24"/>
          <w:szCs w:val="24"/>
        </w:rPr>
        <w:t>We also observed a positive relationship between S+C</w:t>
      </w:r>
      <w:r w:rsidRPr="00A915DB">
        <w:rPr>
          <w:sz w:val="24"/>
          <w:szCs w:val="24"/>
          <w:vertAlign w:val="subscript"/>
        </w:rPr>
        <w:t>TOT</w:t>
      </w:r>
      <w:r w:rsidRPr="00A915DB">
        <w:rPr>
          <w:sz w:val="24"/>
          <w:szCs w:val="24"/>
        </w:rPr>
        <w:t xml:space="preserve"> and secondary texture (RC2) since in soils with more silt- and clay-sized particles, more SOC was accumulated in the respective fraction. Note that we did not find a direct effect of texture on bulk SOC</w:t>
      </w:r>
      <w:r w:rsidRPr="00A915DB">
        <w:rPr>
          <w:sz w:val="24"/>
          <w:szCs w:val="24"/>
          <w:vertAlign w:val="subscript"/>
        </w:rPr>
        <w:t>%</w:t>
      </w:r>
      <w:r w:rsidRPr="00A915DB">
        <w:rPr>
          <w:sz w:val="24"/>
          <w:szCs w:val="24"/>
        </w:rPr>
        <w:t xml:space="preserve">. However, </w:t>
      </w:r>
      <w:proofErr w:type="gramStart"/>
      <w:r w:rsidRPr="00A915DB">
        <w:rPr>
          <w:sz w:val="24"/>
          <w:szCs w:val="24"/>
        </w:rPr>
        <w:t>O</w:t>
      </w:r>
      <w:r w:rsidRPr="00A71291">
        <w:rPr>
          <w:sz w:val="24"/>
          <w:szCs w:val="24"/>
        </w:rPr>
        <w:t>ur</w:t>
      </w:r>
      <w:proofErr w:type="gramEnd"/>
      <w:r w:rsidRPr="00A71291">
        <w:rPr>
          <w:sz w:val="24"/>
          <w:szCs w:val="24"/>
        </w:rPr>
        <w:t xml:space="preserve"> findings do not question this general relationship; as aggregation likely occludes S+C particles, this relationship may be masked in our data</w:t>
      </w:r>
      <w:r w:rsidRPr="00D57C3E">
        <w:t xml:space="preserve"> </w:t>
      </w:r>
      <w:r w:rsidRPr="00D57C3E">
        <w:rPr>
          <w:sz w:val="24"/>
          <w:szCs w:val="24"/>
        </w:rPr>
        <w:t>because for the regression analysis we used secondary texture that does not disrupt chemically and physically stable (micro)aggregates (see materials and methods section “2.4 Soil physicochemistry”)</w:t>
      </w:r>
      <w:r>
        <w:rPr>
          <w:sz w:val="24"/>
          <w:szCs w:val="24"/>
        </w:rPr>
        <w:t xml:space="preserve">. </w:t>
      </w:r>
    </w:p>
    <w:p w14:paraId="15F8393A" w14:textId="77777777" w:rsidR="00613552" w:rsidRPr="00A71291" w:rsidRDefault="00613552" w:rsidP="00613552">
      <w:pPr>
        <w:spacing w:after="0" w:line="480" w:lineRule="auto"/>
        <w:jc w:val="both"/>
        <w:rPr>
          <w:sz w:val="24"/>
          <w:szCs w:val="24"/>
        </w:rPr>
      </w:pPr>
      <w:r w:rsidRPr="00A71291">
        <w:rPr>
          <w:sz w:val="24"/>
          <w:szCs w:val="24"/>
        </w:rPr>
        <w:t>Given that we can show that soil mineralogy is a main driver of SA</w:t>
      </w:r>
      <w:r w:rsidRPr="00A71291">
        <w:rPr>
          <w:sz w:val="24"/>
          <w:szCs w:val="24"/>
          <w:vertAlign w:val="subscript"/>
        </w:rPr>
        <w:t>TOT</w:t>
      </w:r>
      <w:r w:rsidRPr="00A71291">
        <w:rPr>
          <w:sz w:val="24"/>
          <w:szCs w:val="24"/>
        </w:rPr>
        <w:t xml:space="preserve">, we caution against oversimplified classification of incompletely dispersed size fractions as POM, without at least including a density separation step. Related to this point, </w:t>
      </w:r>
      <w:bookmarkStart w:id="7" w:name="_Hlk114219772"/>
      <w:r w:rsidRPr="00A71291">
        <w:rPr>
          <w:sz w:val="24"/>
          <w:szCs w:val="24"/>
        </w:rPr>
        <w:t>the S+C fraction likely also contains small microaggregates and concretions &lt; 63 µm</w:t>
      </w:r>
      <w:r w:rsidRPr="00A71291">
        <w:rPr>
          <w:sz w:val="24"/>
          <w:szCs w:val="24"/>
          <w:vertAlign w:val="superscript"/>
        </w:rPr>
        <w:fldChar w:fldCharType="begin"/>
      </w:r>
      <w:r>
        <w:rPr>
          <w:sz w:val="24"/>
          <w:szCs w:val="24"/>
          <w:vertAlign w:val="superscript"/>
        </w:rPr>
        <w:instrText xml:space="preserve"> ADDIN ZOTERO_ITEM CSL_CITATION {"citationID":"HpNjaPLs","properties":{"formattedCitation":"\\super 36\\nosupersub{}","plainCitation":"36","noteIndex":0},"citationItems":[{"id":1469,"uris":["http://zotero.org/users/local/bAbjI7Wz/items/SUP6N2V6"],"itemData":{"id":1469,"type":"article-journal","abstract":"The relationship between soil aggregation at the silt-size scale, and soil organic C dynamics has scarcely been studied. In this work, we developed a fractionation protocol comprising complete dispersion of the fraction N 50 μm of the original soil sample, and subsequent size and density fraction of the b 50 μm fraction to isolate stable aggregates from the silt-size fraction of a silty cultivated temperate soil. This fraction also contained non-aggregated silt-size mineral particles and small amounts of non-occluded light organic particles. Slaking-resistant silt-size aggregates stored almost half of the total soil organic C (TOC) as organic matter bound to silt (8% TOC) and clay minerals (28% TOC) and as occluded organic particles (8% TOC). Clay mineralogy was related to aggregation at this scale, since aggregates were selectively formed from 2:1 clays, while quartz and kaolinite-like clays were preferentially found in the non-aggregated clay fraction. We conclude that stable microaggregates are formed within the silt-size fraction and store organic C both by adsorption and by entrapment of small organic particles. The turnover rate of organic carbon in such microstructures, their sensitivity to land use and cultivation practices, and their importance in different soil types remain to be determined.","container-title":"Geoderma","DOI":"10.1016/j.geoderma.2008.05.021","ISSN":"00167061","issue":"1-2","journalAbbreviation":"Geoderma","language":"en","page":"326-335","source":"DOI.org (Crossref)","title":"Microaggregation and organic matter storage at the silt-size scale","volume":"146","author":[{"family":"Virto","given":"I."},{"family":"Barré","given":"P."},{"family":"Chenu","given":"C."}],"issued":{"date-parts":[["2008",7]]}}}],"schema":"https://github.com/citation-style-language/schema/raw/master/csl-citation.json"} </w:instrText>
      </w:r>
      <w:r w:rsidRPr="00A71291">
        <w:rPr>
          <w:sz w:val="24"/>
          <w:szCs w:val="24"/>
          <w:vertAlign w:val="superscript"/>
        </w:rPr>
        <w:fldChar w:fldCharType="separate"/>
      </w:r>
      <w:r w:rsidRPr="003F1FB0">
        <w:rPr>
          <w:sz w:val="24"/>
          <w:szCs w:val="24"/>
          <w:vertAlign w:val="superscript"/>
        </w:rPr>
        <w:t>36</w:t>
      </w:r>
      <w:r w:rsidRPr="00A71291">
        <w:rPr>
          <w:sz w:val="24"/>
          <w:szCs w:val="24"/>
          <w:vertAlign w:val="superscript"/>
        </w:rPr>
        <w:fldChar w:fldCharType="end"/>
      </w:r>
      <w:r w:rsidRPr="00A71291">
        <w:rPr>
          <w:sz w:val="24"/>
          <w:szCs w:val="24"/>
        </w:rPr>
        <w:t xml:space="preserve">. However, since we found average organic </w:t>
      </w:r>
      <w:r w:rsidRPr="00A71291">
        <w:rPr>
          <w:sz w:val="24"/>
          <w:szCs w:val="24"/>
        </w:rPr>
        <w:lastRenderedPageBreak/>
        <w:t xml:space="preserve">matter in S+C and SA to be significantly different in terms of decomposition state (Figure </w:t>
      </w:r>
      <w:r>
        <w:rPr>
          <w:sz w:val="24"/>
          <w:szCs w:val="24"/>
        </w:rPr>
        <w:t>3</w:t>
      </w:r>
      <w:r w:rsidRPr="00A71291">
        <w:rPr>
          <w:sz w:val="24"/>
          <w:szCs w:val="24"/>
        </w:rPr>
        <w:t>a), we argue that both fractions on average capture functionally different pools.</w:t>
      </w:r>
      <w:bookmarkEnd w:id="7"/>
    </w:p>
    <w:p w14:paraId="6EB82741" w14:textId="77777777" w:rsidR="00613552" w:rsidRPr="00A71291" w:rsidRDefault="00613552" w:rsidP="00613552">
      <w:pPr>
        <w:spacing w:after="0" w:line="480" w:lineRule="auto"/>
        <w:jc w:val="both"/>
        <w:rPr>
          <w:sz w:val="24"/>
          <w:szCs w:val="24"/>
        </w:rPr>
      </w:pPr>
      <w:r w:rsidRPr="00A71291">
        <w:rPr>
          <w:sz w:val="24"/>
          <w:szCs w:val="24"/>
        </w:rPr>
        <w:t>We observed an increasing dominance of S+C</w:t>
      </w:r>
      <w:r w:rsidRPr="00A71291">
        <w:rPr>
          <w:sz w:val="24"/>
          <w:szCs w:val="24"/>
          <w:vertAlign w:val="subscript"/>
        </w:rPr>
        <w:t>TOT</w:t>
      </w:r>
      <w:r w:rsidRPr="00A71291">
        <w:rPr>
          <w:sz w:val="24"/>
          <w:szCs w:val="24"/>
        </w:rPr>
        <w:t xml:space="preserve"> relative to POM</w:t>
      </w:r>
      <w:r w:rsidRPr="00A71291">
        <w:rPr>
          <w:sz w:val="24"/>
          <w:szCs w:val="24"/>
          <w:vertAlign w:val="subscript"/>
        </w:rPr>
        <w:t>TOT</w:t>
      </w:r>
      <w:r w:rsidRPr="00A71291">
        <w:rPr>
          <w:sz w:val="24"/>
          <w:szCs w:val="24"/>
        </w:rPr>
        <w:t xml:space="preserve"> in soils with higher silt and clay content (Figure </w:t>
      </w:r>
      <w:r>
        <w:rPr>
          <w:sz w:val="24"/>
          <w:szCs w:val="24"/>
        </w:rPr>
        <w:t>3</w:t>
      </w:r>
      <w:r w:rsidRPr="00A71291">
        <w:rPr>
          <w:sz w:val="24"/>
          <w:szCs w:val="24"/>
        </w:rPr>
        <w:t>a). This was likely caused by more than one mechanism. First, high surface area in finer textured soils is often the result of weathering processes which increase mineral reactivity. This leads to improved conditions for OM stabilization with minerals, thus facilitating a transfer of OM from POM to S+C. Second, the clay fraction can harbor high concentrations of soil microbial biomass</w:t>
      </w:r>
      <w:r w:rsidRPr="00A71291">
        <w:rPr>
          <w:sz w:val="24"/>
          <w:szCs w:val="24"/>
          <w:vertAlign w:val="superscript"/>
        </w:rPr>
        <w:fldChar w:fldCharType="begin"/>
      </w:r>
      <w:r>
        <w:rPr>
          <w:sz w:val="24"/>
          <w:szCs w:val="24"/>
          <w:vertAlign w:val="superscript"/>
        </w:rPr>
        <w:instrText xml:space="preserve"> ADDIN ZOTERO_ITEM CSL_CITATION {"citationID":"rXtD9DLI","properties":{"formattedCitation":"\\super 88,89\\nosupersub{}","plainCitation":"88,89","noteIndex":0},"citationItems":[{"id":1215,"uris":["http://zotero.org/users/local/bAbjI7Wz/items/ZU4ADYNT"],"itemData":{"id":1215,"type":"article-journal","container-title":"Research in Microbiology","DOI":"10.1016/S0923-2508(01)01251-7","ISSN":"09232508","issue":"8","journalAbbreviation":"Research in Microbiology","language":"en","page":"707-716","source":"DOI.org (Crossref)","title":"Quantitative and qualitative microscale distribution of bacteria in soil","volume":"152","author":[{"family":"Ranjard","given":"Lionel"},{"family":"Richaume","given":"Agnès"}],"issued":{"date-parts":[["2001",10]]}}},{"id":1562,"uris":["http://zotero.org/users/local/bAbjI7Wz/items/TCQ9DGHN"],"itemData":{"id":1562,"type":"article-journal","abstract":"Clay is generally considered an important stabiliser that reduces the rate of decomposition of organic matter (OM) in soils. However, several recent studies have shown trends contradicting this widely held view, emphasising our poor understanding of the mechanisms underlying the clay effects on OM decomposition. Here, an incubation experiment was conducted using artiﬁcial soils differing in clay content (0, 5, and 50%) at different temperatures (5, 15, and 25 \u0014C) to determine the effects of clay content, temperature and their interaction on fresh OM decomposition. CO2 efﬂux was measured throughout the experiment. Phospholipid fatty acids (PLFAs), enzyme activities, microbial biomass carbon (MBC), and dissolved organic carbon (DOC) were also measured at the end of the pre-incubation and incubation periods in order to follow changes in microbial community structure, functioning, and substrate availability. The results showed that higher clay contents promoted OM decomposition probably by increasing substrate availability and by sustaining a greater microbial biomass, albeit with a different community structure and with higher activities of most of the extracellular enzymes assayed. Higher clay content induced increases in the PLFA contents of all bacterial functional groups relative to fungal PLFA content. However, clay content did not change the temperature sensitivity (Q10) of OM decomposition. The higher substrate availability in the high clay artiﬁcial soils sustained more soil microbial biomass, resulting in a different community structure and different functioning. The higher microbial biomass, as well as the changed community structure and functions, accelerated OM decomposition. From these observations, an alternative pathway to understanding the effects of clay on OM decomposition is proposed, in which clay may not only accelerate the decomposition of organic materials in soils but also facilitate the SOM accumulation as microbial products in the long term. Our results highlight the importance of clay content as a control over OM decomposition and greater attention is required to elucidate the underlying mechanisms.","container-title":"Soil Biology and Biochemistry","DOI":"10.1016/j.soilbio.2014.06.006","ISSN":"00380717","journalAbbreviation":"Soil Biology and Biochemistry","language":"en","page":"100-108","source":"DOI.org (Crossref)","title":"High clay content accelerates the decomposition of fresh organic matter in artificial soils","volume":"77","author":[{"family":"Wei","given":"Hui"},{"family":"Guenet","given":"Bertrand"},{"family":"Vicca","given":"Sara"},{"family":"Nunan","given":"Naoise"},{"family":"Asard","given":"Han"},{"family":"AbdElgawad","given":"Hamada"},{"family":"Shen","given":"Weijun"},{"family":"Janssens","given":"Ivan A."}],"issued":{"date-parts":[["2014",10]]}}}],"schema":"https://github.com/citation-style-language/schema/raw/master/csl-citation.json"}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88,89</w:t>
      </w:r>
      <w:r w:rsidRPr="00A71291">
        <w:rPr>
          <w:sz w:val="24"/>
          <w:szCs w:val="24"/>
          <w:vertAlign w:val="superscript"/>
        </w:rPr>
        <w:fldChar w:fldCharType="end"/>
      </w:r>
      <w:r w:rsidRPr="00A71291">
        <w:rPr>
          <w:sz w:val="24"/>
          <w:szCs w:val="24"/>
        </w:rPr>
        <w:t>, which could translate into higher activity of microbial SOC decomposition, driving the transformation of POM into forms which can readily get stabilized with minerals. Higher microbial carbon use efficiency as observed in fine textured compared to coarse textured soils</w:t>
      </w:r>
      <w:r w:rsidRPr="00A71291">
        <w:rPr>
          <w:sz w:val="24"/>
          <w:szCs w:val="24"/>
          <w:vertAlign w:val="superscript"/>
        </w:rPr>
        <w:fldChar w:fldCharType="begin"/>
      </w:r>
      <w:r>
        <w:rPr>
          <w:sz w:val="24"/>
          <w:szCs w:val="24"/>
          <w:vertAlign w:val="superscript"/>
        </w:rPr>
        <w:instrText xml:space="preserve"> ADDIN ZOTERO_ITEM CSL_CITATION {"citationID":"4xAWQx0D","properties":{"formattedCitation":"\\super 90\\nosupersub{}","plainCitation":"90","noteIndex":0},"citationItems":[{"id":179,"uris":["http://zotero.org/users/local/bAbjI7Wz/items/5QG67VB9"],"itemData":{"id":179,"type":"article-journal","container-title":"Soil Biology and Biochemistry","DOI":"10.1016/j.soilbio.2021.108302","ISSN":"00380717","journalAbbreviation":"Soil Biology and Biochemistry","language":"en","page":"108302","source":"DOI.org (Crossref)","title":"Soil texture affects the coupling of litter decomposition and soil organic matter formation","volume":"159","author":[{"family":"Angst","given":"Gerrit"},{"family":"Pokorný","given":"Jan"},{"family":"Mueller","given":"Carsten W."},{"family":"Prater","given":"Isabel"},{"family":"Preusser","given":"Sebastian"},{"family":"Kandeler","given":"Ellen"},{"family":"Meador","given":"Travis"},{"family":"Straková","given":"Petra"},{"family":"Hájek","given":"Tomáš"},{"family":"Buiten","given":"Gerard","non-dropping-particle":"van"},{"family":"Angst","given":"Šárka"}],"issued":{"date-parts":[["2021",8]]}}}],"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90</w:t>
      </w:r>
      <w:r w:rsidRPr="00A71291">
        <w:rPr>
          <w:sz w:val="24"/>
          <w:szCs w:val="24"/>
          <w:vertAlign w:val="superscript"/>
        </w:rPr>
        <w:fldChar w:fldCharType="end"/>
      </w:r>
      <w:r w:rsidRPr="00A71291">
        <w:rPr>
          <w:sz w:val="24"/>
          <w:szCs w:val="24"/>
        </w:rPr>
        <w:t xml:space="preserve"> could further accelerate this transformation.</w:t>
      </w:r>
    </w:p>
    <w:p w14:paraId="29C6E9DE" w14:textId="77777777" w:rsidR="00613552" w:rsidRPr="00A71291" w:rsidRDefault="00613552" w:rsidP="00613552">
      <w:pPr>
        <w:spacing w:after="0" w:line="480" w:lineRule="auto"/>
        <w:jc w:val="both"/>
        <w:rPr>
          <w:sz w:val="24"/>
          <w:szCs w:val="24"/>
        </w:rPr>
      </w:pPr>
    </w:p>
    <w:p w14:paraId="4F06A9DD" w14:textId="77777777" w:rsidR="00613552" w:rsidRPr="00A71291" w:rsidRDefault="00613552" w:rsidP="00613552">
      <w:pPr>
        <w:pStyle w:val="Heading2"/>
        <w:spacing w:line="480" w:lineRule="auto"/>
        <w:jc w:val="both"/>
        <w:rPr>
          <w:sz w:val="24"/>
          <w:szCs w:val="24"/>
        </w:rPr>
      </w:pPr>
      <w:bookmarkStart w:id="8" w:name="_heading=h.41mghml" w:colFirst="0" w:colLast="0"/>
      <w:bookmarkEnd w:id="8"/>
      <w:r w:rsidRPr="00A71291">
        <w:rPr>
          <w:sz w:val="24"/>
          <w:szCs w:val="24"/>
        </w:rPr>
        <w:t>S5 Andisols</w:t>
      </w:r>
    </w:p>
    <w:p w14:paraId="4DAF5050" w14:textId="77777777" w:rsidR="00613552" w:rsidRPr="00A71291" w:rsidRDefault="00613552" w:rsidP="00613552">
      <w:pPr>
        <w:spacing w:after="0" w:line="480" w:lineRule="auto"/>
        <w:jc w:val="both"/>
        <w:rPr>
          <w:sz w:val="24"/>
          <w:szCs w:val="24"/>
        </w:rPr>
      </w:pPr>
      <w:r w:rsidRPr="00A71291">
        <w:rPr>
          <w:sz w:val="24"/>
          <w:szCs w:val="24"/>
        </w:rPr>
        <w:t>This gradient features ten USDA Andisols (Table S1), which can be very rich in short-range order minerals. Short-range order minerals are known to be highly efficient in SOC stabilization</w:t>
      </w:r>
      <w:r w:rsidRPr="00A71291">
        <w:rPr>
          <w:sz w:val="24"/>
          <w:szCs w:val="24"/>
          <w:vertAlign w:val="superscript"/>
        </w:rPr>
        <w:fldChar w:fldCharType="begin"/>
      </w:r>
      <w:r>
        <w:rPr>
          <w:sz w:val="24"/>
          <w:szCs w:val="24"/>
          <w:vertAlign w:val="superscript"/>
        </w:rPr>
        <w:instrText xml:space="preserve"> ADDIN ZOTERO_ITEM CSL_CITATION {"citationID":"Eq1Nw8XQ","properties":{"formattedCitation":"\\super 91\\nosupersub{}","plainCitation":"91","noteIndex":0},"citationItems":[{"id":480,"uris":["http://zotero.org/users/local/bAbjI7Wz/items/ATAUC3RY"],"itemData":{"id":480,"type":"article-journal","abstract":"The existing information on soil carbon (C) stabilisation in allophanic soils is conﬂicting because active Al3+ and sesquioxides (i.e., the oxides/hydroxides of Al and Fe) as a stabilising agent of soil C are emphasised in opposition to allophane and imogolite type materials. Two hypotheses were tested in this study: 1) Al (and Fe) complexed with soil C and allophane content are the key variables to explain the soil C level in Chilean allophanic soils, and 2) the existing metal–SOM complex and short-range ordered aluminosilicate minerals in allophanic soils mainly result from soil pH variation and competition between Al (and Fe) for SOM and allophane formation. This study established the relationship among different soil properties such Al-, Fe-complexes and allophane content on soil C levels in Chilean volcanic soils as well as the effect of soil pH on metal–OM complexes. A total of 45 soil samples from 15 soil pedons were sampled at 0–0.1, 0.1–0.2 and 0–2–0.4 m. The soil samples were analysed for the content of soil organic C, allophane, clay, silt and Na- pyrophosphate extraction (Alp, Fep, Cp) and soil pH (water). We examined the relationship between the soil C content and soil properties using simple and multiple linear regressions. The silt and clay contents explained little, while the allophane, soil pH and Alp explained most of the soil C variation. We found an inverse relationship between soil pH and Alp (and Fep), indicating that the soil pH was signiﬁcantly correlated with Alp and Fep, while the allophane content was positively related with soil pH. The results also showed a higher atomic ratio (Al + Fe)p:Cp in deep (0.2–0.4 m) horizons; the opposite was true in the top soil horizon (0–0.1 m), supporting the idea that SOM in deep soils is saturated with Al and Fe, leaving extra metal to react with silica for allophane formation.","container-title":"CATENA","DOI":"10.1016/j.catena.2011.12.003","ISSN":"03418162","journalAbbreviation":"CATENA","language":"en","page":"106-112","source":"DOI.org (Crossref)","title":"Are organo-mineral complexes and allophane content determinant factors for the carbon level in Chilean volcanic soils?","volume":"92","author":[{"family":"Garrido","given":"Estrella"},{"family":"Matus","given":"Francisco"}],"issued":{"date-parts":[["2012",5]]}}}],"schema":"https://github.com/citation-style-language/schema/raw/master/csl-citation.json"}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91</w:t>
      </w:r>
      <w:r w:rsidRPr="00A71291">
        <w:rPr>
          <w:sz w:val="24"/>
          <w:szCs w:val="24"/>
          <w:vertAlign w:val="superscript"/>
        </w:rPr>
        <w:fldChar w:fldCharType="end"/>
      </w:r>
      <w:r w:rsidRPr="00A71291">
        <w:rPr>
          <w:sz w:val="24"/>
          <w:szCs w:val="24"/>
        </w:rPr>
        <w:t>, and they have been proposed to be strong drivers of aggregation</w:t>
      </w:r>
      <w:r w:rsidRPr="00A71291">
        <w:rPr>
          <w:sz w:val="24"/>
          <w:szCs w:val="24"/>
          <w:vertAlign w:val="superscript"/>
        </w:rPr>
        <w:fldChar w:fldCharType="begin"/>
      </w:r>
      <w:r>
        <w:rPr>
          <w:sz w:val="24"/>
          <w:szCs w:val="24"/>
          <w:vertAlign w:val="superscript"/>
        </w:rPr>
        <w:instrText xml:space="preserve"> ADDIN ZOTERO_ITEM CSL_CITATION {"citationID":"4YFvOFtw","properties":{"formattedCitation":"\\super 4,92\\nosupersub{}","plainCitation":"4,92","noteIndex":0},"citationItems":[{"id":1216,"uris":["http://zotero.org/users/local/bAbjI7Wz/items/7FBGUG9U"],"itemData":{"id":1216,"type":"article-journal","container-title":"Biogeochemistry","DOI":"10.1007/s10533-018-0424-3","ISSN":"0168-2563, 1573-515X","issue":"3","journalAbbreviation":"Biogeochemistry","language":"en","page":"297-306","source":"DOI.org (Crossref)","title":"Beyond clay: towards an improved set of variables for predicting soil organic matter content","title-short":"Beyond clay","volume":"137","author":[{"family":"Rasmussen","given":"Craig"},{"family":"Heckman","given":"Katherine"},{"family":"Wieder","given":"William R."},{"family":"Keiluweit","given":"Marco"},{"family":"Lawrence","given":"Corey R."},{"family":"Berhe","given":"Asmeret Asefaw"},{"family":"Blankinship","given":"Joseph C."},{"family":"Crow","given":"Susan E."},{"family":"Druhan","given":"Jennifer L."},{"family":"Hicks Pries","given":"Caitlin E."},{"family":"Marin-Spiotta","given":"Erika"},{"family":"Plante","given":"Alain F."},{"family":"Schädel","given":"Christina"},{"family":"Schimel","given":"Joshua P."},{"family":"Sierra","given":"Carlos A."},{"family":"Thompson","given":"Aaron"},{"family":"Wagai","given":"Rota"}],"issued":{"date-parts":[["2018",2]]}}},{"id":184,"uris":["http://zotero.org/users/local/bAbjI7Wz/items/2TUI7BFD"],"itemData":{"id":184,"type":"article-journal","abstract":"Aggregate hierarchy, a fundamental soil feature controlling various physical and biogeochemical processes, is well-studied for soils dominated by crystalline minerals but not for the soils rich in poorly-crystalline or shortrange-order (SRO) minerals. We examined the presence and nature of aggregate hierarchy in the surface horizon of an Andisol which is characterized by high concentrations of organic matter and SRO minerals (esp. allophane/ imogolite). Several pretreatments were tested to achieve maximum dispersion and the particle-size fractions isolated (b0.2 up to N53 μm) were characterized by SEM, XRD, and elemental analyses. Mass distribution as well as physical and chemical characteristics among the isolated size fractions were strongly inﬂuenced by the dispersion level, indicating the importance to ﬁnd optimal dispersion level. Upon minimum dispersion (wet sieving), over 95% of total C was present as N53 μm aggregates and the C concentration and C:N ratio remained constant across all size fractions. Even after mechanical shaking, N53 μm and 2–53 μm fractions accounted for 37% and 41% of total C, respectively. Maximum dispersion was achieved only after sodium saturation pretreatment followed by the sonication at the energy level 5–10 folds higher than normally required for non-volcanic soils (5 kJ mL−1). While dissolving minor levels of organic matter and metals, the maximum dispersion treatment liberated large amounts of small particles (b 2 μm) that were enriched in N-rich organic matter, SRO mineral, and organo-metallic complex and that accounted for 48% of total mass, 63% of C, N, and 72 to 91% of extractable phases of Al, Si, and Fe by pyrophosphate and acid-oxalate. The step-wise breakdown of macro- and micro-aggregates with concurrent liberation of micron- to submicron-size particles upon the increased levels of dispersion, therefore, represents clear evidence of aggregate hierarchy on this soil type. Due to their abundance and chemistry, the small particles (b0.2 and 0.2–2.0 μm fractions) likely acted as strong binding agents to form both micro- and macro-aggregates. Signiﬁcant positive correlation of organic matter concentration and C:N ratio against the extractable metal concentrations was found when samples of all size fractions and dispersion treatments were combined. We proposed a simple conceptual model for Andisol aggregate hierarchy to explain the observed variation in the abundance and chemistry of isolated fractions.","container-title":"Geoderma","DOI":"10.1016/j.geoderma.2013.10.005","ISSN":"00167061","journalAbbreviation":"Geoderma","language":"en","page":"62-74","source":"DOI.org (Crossref)","title":"Evidence of aggregate hierarchy at micro- to submicron scales in an allophanic Andisol","volume":"216","author":[{"family":"Asano","given":"Maki"},{"family":"Wagai","given":"Rota"}],"issued":{"date-parts":[["2014",3]]}}}],"schema":"https://github.com/citation-style-language/schema/raw/master/csl-citation.json"} </w:instrText>
      </w:r>
      <w:r w:rsidRPr="00A71291">
        <w:rPr>
          <w:sz w:val="24"/>
          <w:szCs w:val="24"/>
          <w:vertAlign w:val="superscript"/>
        </w:rPr>
        <w:fldChar w:fldCharType="separate"/>
      </w:r>
      <w:r w:rsidRPr="00200709">
        <w:rPr>
          <w:sz w:val="24"/>
          <w:szCs w:val="24"/>
          <w:vertAlign w:val="superscript"/>
        </w:rPr>
        <w:t>4,92</w:t>
      </w:r>
      <w:r w:rsidRPr="00A71291">
        <w:rPr>
          <w:sz w:val="24"/>
          <w:szCs w:val="24"/>
          <w:vertAlign w:val="superscript"/>
        </w:rPr>
        <w:fldChar w:fldCharType="end"/>
      </w:r>
      <w:r w:rsidRPr="00A71291">
        <w:rPr>
          <w:sz w:val="24"/>
          <w:szCs w:val="24"/>
        </w:rPr>
        <w:t>. While the Andisols are among the soils with high bulk SOC</w:t>
      </w:r>
      <w:r w:rsidRPr="00A71291">
        <w:rPr>
          <w:sz w:val="24"/>
          <w:szCs w:val="24"/>
          <w:vertAlign w:val="subscript"/>
        </w:rPr>
        <w:t>%</w:t>
      </w:r>
      <w:r w:rsidRPr="00A71291">
        <w:rPr>
          <w:sz w:val="24"/>
          <w:szCs w:val="24"/>
        </w:rPr>
        <w:t xml:space="preserve">, our study also features other soil types with high SOC contents. Thus, mineral related features of volcanic Andisols are only one of several ways to accumulate SOC in mineral fractions in the soils of this study. </w:t>
      </w:r>
    </w:p>
    <w:p w14:paraId="59A8DC69" w14:textId="77777777" w:rsidR="00613552" w:rsidRPr="00A71291" w:rsidRDefault="00613552" w:rsidP="00613552">
      <w:pPr>
        <w:spacing w:after="0" w:line="480" w:lineRule="auto"/>
        <w:jc w:val="both"/>
        <w:rPr>
          <w:sz w:val="24"/>
          <w:szCs w:val="24"/>
        </w:rPr>
      </w:pPr>
    </w:p>
    <w:p w14:paraId="3E1C8FB2" w14:textId="77777777" w:rsidR="00613552" w:rsidRPr="00A71291" w:rsidRDefault="00613552" w:rsidP="00613552">
      <w:pPr>
        <w:pStyle w:val="Heading2"/>
        <w:spacing w:line="480" w:lineRule="auto"/>
        <w:jc w:val="both"/>
        <w:rPr>
          <w:sz w:val="24"/>
          <w:szCs w:val="24"/>
          <w:vertAlign w:val="subscript"/>
        </w:rPr>
      </w:pPr>
      <w:bookmarkStart w:id="9" w:name="_heading=h.5nwagjcmmewj" w:colFirst="0" w:colLast="0"/>
      <w:bookmarkEnd w:id="9"/>
      <w:r w:rsidRPr="00A71291">
        <w:rPr>
          <w:sz w:val="24"/>
          <w:szCs w:val="24"/>
        </w:rPr>
        <w:t>S6 The controls of POM</w:t>
      </w:r>
      <w:r w:rsidRPr="00A71291">
        <w:rPr>
          <w:sz w:val="24"/>
          <w:szCs w:val="24"/>
          <w:vertAlign w:val="subscript"/>
        </w:rPr>
        <w:t>TOT</w:t>
      </w:r>
    </w:p>
    <w:p w14:paraId="68C17A8D" w14:textId="77777777" w:rsidR="00613552" w:rsidRDefault="00613552" w:rsidP="00613552">
      <w:pPr>
        <w:spacing w:after="0" w:line="480" w:lineRule="auto"/>
        <w:jc w:val="both"/>
        <w:rPr>
          <w:sz w:val="24"/>
          <w:szCs w:val="24"/>
        </w:rPr>
      </w:pPr>
      <w:bookmarkStart w:id="10" w:name="_heading=h.2wlirtt3j1id" w:colFirst="0" w:colLast="0"/>
      <w:bookmarkEnd w:id="10"/>
      <w:r w:rsidRPr="00A71291">
        <w:rPr>
          <w:sz w:val="24"/>
          <w:szCs w:val="24"/>
        </w:rPr>
        <w:t>The positive link between POM</w:t>
      </w:r>
      <w:r w:rsidRPr="00A71291">
        <w:rPr>
          <w:sz w:val="24"/>
          <w:szCs w:val="24"/>
          <w:vertAlign w:val="subscript"/>
        </w:rPr>
        <w:t>TOT</w:t>
      </w:r>
      <w:r w:rsidRPr="00A71291">
        <w:rPr>
          <w:sz w:val="24"/>
          <w:szCs w:val="24"/>
        </w:rPr>
        <w:t xml:space="preserve"> and base cations (RC5) hints at a positive effect of plant available nutrients on plant productivity, and thus OM input to soil (Figure </w:t>
      </w:r>
      <w:r>
        <w:rPr>
          <w:sz w:val="24"/>
          <w:szCs w:val="24"/>
        </w:rPr>
        <w:t>3</w:t>
      </w:r>
      <w:r w:rsidRPr="00A71291">
        <w:rPr>
          <w:sz w:val="24"/>
          <w:szCs w:val="24"/>
        </w:rPr>
        <w:t>a). However, the plant debris derived POM</w:t>
      </w:r>
      <w:r w:rsidRPr="00A71291">
        <w:rPr>
          <w:sz w:val="24"/>
          <w:szCs w:val="24"/>
          <w:vertAlign w:val="subscript"/>
        </w:rPr>
        <w:t>TOT</w:t>
      </w:r>
      <w:r w:rsidRPr="00A71291">
        <w:rPr>
          <w:sz w:val="24"/>
          <w:szCs w:val="24"/>
        </w:rPr>
        <w:t xml:space="preserve"> was also negatively correlated to temperature (RC6), which in </w:t>
      </w:r>
      <w:r w:rsidRPr="00A71291">
        <w:rPr>
          <w:sz w:val="24"/>
          <w:szCs w:val="24"/>
        </w:rPr>
        <w:lastRenderedPageBreak/>
        <w:t>turn was positively correlated to NPP (Table S4). This apparent contradiction points at multiple, in parts conflicting, environmental factors that can control the amount of plant derived, less decomposed OM in soils. First, aboveground NPP might be poorly linked to the actual input of OM into soils. Second, the fate of plant derived OM may be strongly affected by the type of input</w:t>
      </w:r>
      <w:r w:rsidRPr="00A71291">
        <w:rPr>
          <w:sz w:val="24"/>
          <w:szCs w:val="24"/>
          <w:vertAlign w:val="superscript"/>
        </w:rPr>
        <w:fldChar w:fldCharType="begin"/>
      </w:r>
      <w:r>
        <w:rPr>
          <w:sz w:val="24"/>
          <w:szCs w:val="24"/>
          <w:vertAlign w:val="superscript"/>
        </w:rPr>
        <w:instrText xml:space="preserve"> ADDIN ZOTERO_ITEM CSL_CITATION {"citationID":"fIQ7QeK4","properties":{"formattedCitation":"\\super 7,9,33\\nosupersub{}","plainCitation":"7,9,33","noteIndex":0},"citationItems":[{"id":1406,"uris":["http://zotero.org/users/local/bAbjI7Wz/items/HAM3XPTD"],"itemData":{"id":1406,"type":"article-journal","container-title":"Nature Geoscience","DOI":"10.1038/s41561-018-0258-6","ISSN":"1752-0894, 1752-0908","issue":"1","journalAbbreviation":"Nature Geosci","language":"en","page":"46-53","source":"DOI.org (Crossref)","title":"Microbial formation of stable soil carbon is more efficient from belowground than aboveground input","volume":"12","author":[{"family":"Sokol","given":"Noah W."},{"family":"Bradford","given":"Mark A."}],"issued":{"date-parts":[["2019",1]]}}},{"id":1407,"uris":["http://zotero.org/users/local/bAbjI7Wz/items/ALC6HMVV"],"itemData":{"id":1407,"type":"article-journal","abstract":"To predict the behavior of the terrestrial carbon cycle, it is critical to understand the source, formation pathway, and chemical composition of soil organic matter (SOM). There is emerging consensus that slow‐cycling SOM generally consists of relatively low molecular weight organic carbon substrates that enter the mineral soil as dissolved organic matter and associate with mineral surfaces (referred to as “mineralassociated OM,” or MAOM). However, much debate and contradictory evidence persist around: (a) whether the organic C substrates within the MAOM pool primarily originate from aboveground vs. belowground plant sources and (b) whether C substrates directly sorb to mineral surfaces or undergo microbial transformation prior to their incorporation into MAOM. Here, we attempt to reconcile disparate views on the formation of MAOM by proposing a spatially explicit set of processes that link plant C source with MAOM formation pathway. Specifically, because belowground vs. aboveground sources of plant C enter spatially distinct regions of the mineral soil, we propose that fine‐scale differences in microbial abundance should determine the probability of substrate–microbe vs. substrate–mineral interaction. Thus, formation of MAOM in areas of high microbial density (e.g., the rhizosphere and other microbial hotspots) should primarily occur through an in vivo microbial turnover pathway and favor C substrates that are first biosynthesized with high microbial carbon‐use efficiency prior to incorporation in the MAOM pool. In contrast, in areas of low microbial density (e.g., certain regions of the bulk soil), MAOM formation should primarily occur through the direct sorption of intact or partially oxidized plant compounds to uncolonized mineral surfaces, minimizing the importance of carbon‐use efficiency, and favoring C substrates with strong “sorptive affinity.” Through this framework, we thus describe how the primacy of biotic vs. abiotic controls on MAOM dynamics is not mutually exclusive, but rather spatially dictated. Such an understanding may be integral to more accurately modeling soil organic matter dynamics across different spatial scales.","container-title":"Global Change Biology","DOI":"10.1111/gcb.14482","ISSN":"1354-1013, 1365-2486","issue":"1","journalAbbreviation":"Glob Change Biol","language":"en","page":"12-24","source":"DOI.org (Crossref)","title":"Pathways of mineral‐associated soil organic matter formation: Integrating the role of plant carbon source, chemistry, and point of entry","title-short":"Pathways of mineral‐associated soil organic matter formation","volume":"25","author":[{"family":"Sokol","given":"Noah W."},{"family":"Sanderman","given":"Jonathan"},{"family":"Bradford","given":"Mark A."}],"issued":{"date-parts":[["2019",1]]}}},{"id":394,"uris":["http://zotero.org/users/local/bAbjI7Wz/items/WUVBIRY7"],"itemData":{"id":394,"type":"article-journal","abstract":"Soil organic matter (SOM) is a fundamental resource to humanity for the many ecosystem services it provides. Increasing its stocks can significantly contribute to climate change mitigation and the sustainability of agricul­ tural production. Elucidating the mechanisms and drivers of the formation of the main components of SOM, particulate (POM) and mineral associated (MAOM) organic matter, from the decomposition of plant inputs is therefore critical to inform management and policy designed to promote SOM regeneration. We designed a twotiered laboratory incubation experiment using 13C and 15N labeled plant material to investigate the effects of the physical nature (i.e., structural versus soluble) of plant inputs as well as their chemical composition on (1) the pathways of SOM formation, (2) the soil microbial community and chemical diversity, and (3) their interaction on the stabilization efficiency of litter-derived C in POM and MAOM, in a topsoil and a subsoil. We found that: i) the physical nature of the plant input (structural vs soluble) drove both the pathways and efficiencies of SOM formation; ii) POM formation from the decomposition of structural residues increased in efficiency the more decomposed were the residues, and linearly with soil microbial and chemical diversity, the latter only for subsoil; ii) more input-derived C and N were retained in subsoil because of both higher stabilization in MAOM and POM, and slower residue decay. Our results also confirm the importance of direct sorption of soluble inputs to silt- and clay-sized minerals for the formation of MAOM in bulk soils. Taken together these finding suggest that the highest potential for SOM accrual is in subsoils characterized by higher C saturation deficit, from the separate addition of decomposed residues and soluble plant inputs.","container-title":"Soil Biology and Biochemistry","DOI":"10.1016/j.soilbio.2022.108648","ISSN":"00380717","journalAbbreviation":"Soil Biology and Biochemistry","language":"en","page":"108648","source":"DOI.org (Crossref)","title":"The role of plant input physical-chemical properties, and microbial and soil chemical diversity on the formation of particulate and mineral-associated organic matter","volume":"168","author":[{"family":"Cotrufo","given":"M. Francesca"},{"family":"Haddix","given":"Michelle L."},{"family":"Kroeger","given":"Marie E."},{"family":"Stewart","given":"Catherine E."}],"issued":{"date-parts":[["2022",5]]}}}],"schema":"https://github.com/citation-style-language/schema/raw/master/csl-citation.json"} </w:instrText>
      </w:r>
      <w:r w:rsidRPr="00A71291">
        <w:rPr>
          <w:sz w:val="24"/>
          <w:szCs w:val="24"/>
          <w:vertAlign w:val="superscript"/>
        </w:rPr>
        <w:fldChar w:fldCharType="separate"/>
      </w:r>
      <w:r w:rsidRPr="003F1FB0">
        <w:rPr>
          <w:sz w:val="24"/>
          <w:szCs w:val="24"/>
          <w:vertAlign w:val="superscript"/>
        </w:rPr>
        <w:t>7,9,33</w:t>
      </w:r>
      <w:r w:rsidRPr="00A71291">
        <w:rPr>
          <w:sz w:val="24"/>
          <w:szCs w:val="24"/>
          <w:vertAlign w:val="superscript"/>
        </w:rPr>
        <w:fldChar w:fldCharType="end"/>
      </w:r>
      <w:r w:rsidRPr="00A71291">
        <w:rPr>
          <w:sz w:val="24"/>
          <w:szCs w:val="24"/>
          <w:vertAlign w:val="superscript"/>
        </w:rPr>
        <w:t xml:space="preserve"> </w:t>
      </w:r>
      <w:r w:rsidRPr="00A71291">
        <w:rPr>
          <w:sz w:val="24"/>
          <w:szCs w:val="24"/>
        </w:rPr>
        <w:t>(aboveground vs. belowground, soluble vs. structural). Third, the degree to which plant OM input and microbial decomposition are constrained by climate can differ across large climatic gradients, as discussed in the main text.</w:t>
      </w:r>
    </w:p>
    <w:p w14:paraId="618759B9" w14:textId="77777777" w:rsidR="00613552" w:rsidRDefault="00613552" w:rsidP="00613552">
      <w:pPr>
        <w:spacing w:after="0" w:line="480" w:lineRule="auto"/>
        <w:jc w:val="both"/>
        <w:rPr>
          <w:sz w:val="24"/>
          <w:szCs w:val="24"/>
        </w:rPr>
      </w:pPr>
    </w:p>
    <w:bookmarkEnd w:id="0"/>
    <w:p w14:paraId="2089FAA1" w14:textId="77777777" w:rsidR="00613552" w:rsidRPr="00B85043" w:rsidRDefault="00613552" w:rsidP="00613552">
      <w:pPr>
        <w:spacing w:line="480" w:lineRule="auto"/>
        <w:rPr>
          <w:b/>
          <w:bCs/>
          <w:sz w:val="24"/>
          <w:szCs w:val="24"/>
        </w:rPr>
      </w:pPr>
      <w:r w:rsidRPr="00B85043">
        <w:rPr>
          <w:b/>
          <w:bCs/>
          <w:sz w:val="24"/>
          <w:szCs w:val="24"/>
        </w:rPr>
        <w:t>Supplementary References:</w:t>
      </w:r>
    </w:p>
    <w:p w14:paraId="58D7C604" w14:textId="2C2F5335" w:rsidR="00613552" w:rsidRDefault="00613552" w:rsidP="00613552">
      <w:pPr>
        <w:pStyle w:val="Bibliography"/>
      </w:pPr>
      <w:r w:rsidRPr="00A71291">
        <w:fldChar w:fldCharType="begin"/>
      </w:r>
      <w:r>
        <w:instrText xml:space="preserve"> ADDIN ZOTERO_BIBL {"uncited":[],"omitted":[],"custom":[]} CSL_BIBLIOGRAPHY </w:instrText>
      </w:r>
      <w:r w:rsidRPr="00A71291">
        <w:fldChar w:fldCharType="separate"/>
      </w:r>
    </w:p>
    <w:p w14:paraId="5DB2C5D5" w14:textId="77777777" w:rsidR="00613552" w:rsidRDefault="00613552" w:rsidP="00613552">
      <w:pPr>
        <w:pStyle w:val="Bibliography"/>
      </w:pPr>
      <w:r>
        <w:t>80.</w:t>
      </w:r>
      <w:r>
        <w:tab/>
      </w:r>
      <w:proofErr w:type="spellStart"/>
      <w:r>
        <w:t>Poeplau</w:t>
      </w:r>
      <w:proofErr w:type="spellEnd"/>
      <w:r>
        <w:t xml:space="preserve">, C. &amp; Don, A. Effect of ultrasonic power on soil organic carbon fractions. </w:t>
      </w:r>
      <w:r>
        <w:rPr>
          <w:i/>
          <w:iCs/>
        </w:rPr>
        <w:t xml:space="preserve">J. Plant </w:t>
      </w:r>
      <w:proofErr w:type="spellStart"/>
      <w:r>
        <w:rPr>
          <w:i/>
          <w:iCs/>
        </w:rPr>
        <w:t>Nutr</w:t>
      </w:r>
      <w:proofErr w:type="spellEnd"/>
      <w:r>
        <w:rPr>
          <w:i/>
          <w:iCs/>
        </w:rPr>
        <w:t>. Soil Sci.</w:t>
      </w:r>
      <w:r>
        <w:t xml:space="preserve"> </w:t>
      </w:r>
      <w:r>
        <w:rPr>
          <w:b/>
          <w:bCs/>
        </w:rPr>
        <w:t>177</w:t>
      </w:r>
      <w:r>
        <w:t>, 137–140 (2014).</w:t>
      </w:r>
    </w:p>
    <w:p w14:paraId="2E5C717E" w14:textId="77777777" w:rsidR="00613552" w:rsidRDefault="00613552" w:rsidP="00613552">
      <w:pPr>
        <w:pStyle w:val="Bibliography"/>
      </w:pPr>
      <w:r>
        <w:t>81.</w:t>
      </w:r>
      <w:r>
        <w:tab/>
      </w:r>
      <w:proofErr w:type="spellStart"/>
      <w:r>
        <w:t>Poeplau</w:t>
      </w:r>
      <w:proofErr w:type="spellEnd"/>
      <w:r>
        <w:t xml:space="preserve">, C. </w:t>
      </w:r>
      <w:r>
        <w:rPr>
          <w:i/>
          <w:iCs/>
        </w:rPr>
        <w:t>et al.</w:t>
      </w:r>
      <w:r>
        <w:t xml:space="preserve"> Isolating organic carbon fractions with varying turnover rates in temperate agricultural soils – A comprehensive method comparison. </w:t>
      </w:r>
      <w:r>
        <w:rPr>
          <w:i/>
          <w:iCs/>
        </w:rPr>
        <w:t xml:space="preserve">Soil Biol. </w:t>
      </w:r>
      <w:proofErr w:type="spellStart"/>
      <w:r>
        <w:rPr>
          <w:i/>
          <w:iCs/>
        </w:rPr>
        <w:t>Biochem</w:t>
      </w:r>
      <w:proofErr w:type="spellEnd"/>
      <w:r>
        <w:rPr>
          <w:i/>
          <w:iCs/>
        </w:rPr>
        <w:t>.</w:t>
      </w:r>
      <w:r>
        <w:t xml:space="preserve"> </w:t>
      </w:r>
      <w:r>
        <w:rPr>
          <w:b/>
          <w:bCs/>
        </w:rPr>
        <w:t>125</w:t>
      </w:r>
      <w:r>
        <w:t>, 10–26 (2018).</w:t>
      </w:r>
    </w:p>
    <w:p w14:paraId="2B7AC4F1" w14:textId="77777777" w:rsidR="00613552" w:rsidRDefault="00613552" w:rsidP="00613552">
      <w:pPr>
        <w:pStyle w:val="Bibliography"/>
      </w:pPr>
      <w:r>
        <w:t>82.</w:t>
      </w:r>
      <w:r>
        <w:tab/>
        <w:t xml:space="preserve">Knapp, A. K., Carroll, C. J. W. &amp; Fahey, T. J. Patterns and Controls of Terrestrial Primary Production in a Changing World. in </w:t>
      </w:r>
      <w:r>
        <w:rPr>
          <w:i/>
          <w:iCs/>
        </w:rPr>
        <w:t>Ecology and the Environment</w:t>
      </w:r>
      <w:r>
        <w:t xml:space="preserve"> (ed. Monson, R. K.) 205–246 (Springer New York, 2014). doi:10.1007/978-1-4614-7501-9_2.</w:t>
      </w:r>
    </w:p>
    <w:p w14:paraId="1FE2270C" w14:textId="77777777" w:rsidR="00613552" w:rsidRDefault="00613552" w:rsidP="00613552">
      <w:pPr>
        <w:pStyle w:val="Bibliography"/>
      </w:pPr>
      <w:r>
        <w:t>83.</w:t>
      </w:r>
      <w:r>
        <w:tab/>
        <w:t xml:space="preserve">Rowley, M. C., Grand, S. &amp; </w:t>
      </w:r>
      <w:proofErr w:type="spellStart"/>
      <w:r>
        <w:t>Verrecchia</w:t>
      </w:r>
      <w:proofErr w:type="spellEnd"/>
      <w:r>
        <w:t xml:space="preserve">, É. P. Calcium-mediated </w:t>
      </w:r>
      <w:proofErr w:type="spellStart"/>
      <w:r>
        <w:t>stabilisation</w:t>
      </w:r>
      <w:proofErr w:type="spellEnd"/>
      <w:r>
        <w:t xml:space="preserve"> of soil organic carbon. </w:t>
      </w:r>
      <w:r>
        <w:rPr>
          <w:i/>
          <w:iCs/>
        </w:rPr>
        <w:t>Biogeochemistry</w:t>
      </w:r>
      <w:r>
        <w:t xml:space="preserve"> </w:t>
      </w:r>
      <w:r>
        <w:rPr>
          <w:b/>
          <w:bCs/>
        </w:rPr>
        <w:t>137</w:t>
      </w:r>
      <w:r>
        <w:t>, 27–49 (2018).</w:t>
      </w:r>
    </w:p>
    <w:p w14:paraId="4200B480" w14:textId="77777777" w:rsidR="00613552" w:rsidRDefault="00613552" w:rsidP="00613552">
      <w:pPr>
        <w:pStyle w:val="Bibliography"/>
      </w:pPr>
      <w:r>
        <w:t>84.</w:t>
      </w:r>
      <w:r>
        <w:tab/>
        <w:t xml:space="preserve">Kramer, M. G., </w:t>
      </w:r>
      <w:proofErr w:type="spellStart"/>
      <w:r>
        <w:t>Sanderman</w:t>
      </w:r>
      <w:proofErr w:type="spellEnd"/>
      <w:r>
        <w:t xml:space="preserve">, J., Chadwick, O. A., </w:t>
      </w:r>
      <w:proofErr w:type="spellStart"/>
      <w:r>
        <w:t>Chorover</w:t>
      </w:r>
      <w:proofErr w:type="spellEnd"/>
      <w:r>
        <w:t xml:space="preserve">, J. &amp; </w:t>
      </w:r>
      <w:proofErr w:type="spellStart"/>
      <w:r>
        <w:t>Vitousek</w:t>
      </w:r>
      <w:proofErr w:type="spellEnd"/>
      <w:r>
        <w:t xml:space="preserve">, P. M. Long-term carbon storage through retention of dissolved aromatic acids by reactive particles in soil. </w:t>
      </w:r>
      <w:r>
        <w:rPr>
          <w:i/>
          <w:iCs/>
        </w:rPr>
        <w:t>Glob. Change Biol.</w:t>
      </w:r>
      <w:r>
        <w:t xml:space="preserve"> </w:t>
      </w:r>
      <w:r>
        <w:rPr>
          <w:b/>
          <w:bCs/>
        </w:rPr>
        <w:t>18</w:t>
      </w:r>
      <w:r>
        <w:t>, 2594–2605 (2012).</w:t>
      </w:r>
    </w:p>
    <w:p w14:paraId="301974BB" w14:textId="77777777" w:rsidR="00613552" w:rsidRDefault="00613552" w:rsidP="00613552">
      <w:pPr>
        <w:pStyle w:val="Bibliography"/>
      </w:pPr>
      <w:r>
        <w:t>85.</w:t>
      </w:r>
      <w:r>
        <w:tab/>
        <w:t xml:space="preserve">Creamer, C. A. </w:t>
      </w:r>
      <w:r>
        <w:rPr>
          <w:i/>
          <w:iCs/>
        </w:rPr>
        <w:t>et al.</w:t>
      </w:r>
      <w:r>
        <w:t xml:space="preserve"> Mineralogy dictates the initial mechanism of microbial </w:t>
      </w:r>
      <w:proofErr w:type="spellStart"/>
      <w:r>
        <w:t>necromass</w:t>
      </w:r>
      <w:proofErr w:type="spellEnd"/>
      <w:r>
        <w:t xml:space="preserve"> association. </w:t>
      </w:r>
      <w:proofErr w:type="spellStart"/>
      <w:r>
        <w:rPr>
          <w:i/>
          <w:iCs/>
        </w:rPr>
        <w:t>Geochim</w:t>
      </w:r>
      <w:proofErr w:type="spellEnd"/>
      <w:r>
        <w:rPr>
          <w:i/>
          <w:iCs/>
        </w:rPr>
        <w:t xml:space="preserve">. </w:t>
      </w:r>
      <w:proofErr w:type="spellStart"/>
      <w:r>
        <w:rPr>
          <w:i/>
          <w:iCs/>
        </w:rPr>
        <w:t>Cosmochim</w:t>
      </w:r>
      <w:proofErr w:type="spellEnd"/>
      <w:r>
        <w:rPr>
          <w:i/>
          <w:iCs/>
        </w:rPr>
        <w:t>. Acta</w:t>
      </w:r>
      <w:r>
        <w:t xml:space="preserve"> </w:t>
      </w:r>
      <w:r>
        <w:rPr>
          <w:b/>
          <w:bCs/>
        </w:rPr>
        <w:t>260</w:t>
      </w:r>
      <w:r>
        <w:t>, 161–176 (2019).</w:t>
      </w:r>
    </w:p>
    <w:p w14:paraId="5BA008CB" w14:textId="77777777" w:rsidR="00613552" w:rsidRDefault="00613552" w:rsidP="00613552">
      <w:pPr>
        <w:pStyle w:val="Bibliography"/>
      </w:pPr>
      <w:r>
        <w:t>86.</w:t>
      </w:r>
      <w:r>
        <w:tab/>
      </w:r>
      <w:proofErr w:type="spellStart"/>
      <w:r>
        <w:t>Possinger</w:t>
      </w:r>
      <w:proofErr w:type="spellEnd"/>
      <w:r>
        <w:t xml:space="preserve">, A. R. </w:t>
      </w:r>
      <w:r>
        <w:rPr>
          <w:i/>
          <w:iCs/>
        </w:rPr>
        <w:t>et al.</w:t>
      </w:r>
      <w:r>
        <w:t xml:space="preserve"> </w:t>
      </w:r>
      <w:proofErr w:type="spellStart"/>
      <w:r>
        <w:t>Organo</w:t>
      </w:r>
      <w:proofErr w:type="spellEnd"/>
      <w:r>
        <w:t xml:space="preserve">–organic and </w:t>
      </w:r>
      <w:proofErr w:type="spellStart"/>
      <w:r>
        <w:t>organo</w:t>
      </w:r>
      <w:proofErr w:type="spellEnd"/>
      <w:r>
        <w:t xml:space="preserve">–mineral interfaces in soil at the nanometer scale. </w:t>
      </w:r>
      <w:r>
        <w:rPr>
          <w:i/>
          <w:iCs/>
        </w:rPr>
        <w:t xml:space="preserve">Nat. </w:t>
      </w:r>
      <w:proofErr w:type="spellStart"/>
      <w:r>
        <w:rPr>
          <w:i/>
          <w:iCs/>
        </w:rPr>
        <w:t>Commun</w:t>
      </w:r>
      <w:proofErr w:type="spellEnd"/>
      <w:r>
        <w:rPr>
          <w:i/>
          <w:iCs/>
        </w:rPr>
        <w:t>.</w:t>
      </w:r>
      <w:r>
        <w:t xml:space="preserve"> </w:t>
      </w:r>
      <w:r>
        <w:rPr>
          <w:b/>
          <w:bCs/>
        </w:rPr>
        <w:t>11</w:t>
      </w:r>
      <w:r>
        <w:t>, 6103 (2020).</w:t>
      </w:r>
    </w:p>
    <w:p w14:paraId="257E2BF0" w14:textId="77777777" w:rsidR="00613552" w:rsidRDefault="00613552" w:rsidP="00613552">
      <w:pPr>
        <w:pStyle w:val="Bibliography"/>
      </w:pPr>
      <w:r>
        <w:t>87.</w:t>
      </w:r>
      <w:r>
        <w:tab/>
      </w:r>
      <w:proofErr w:type="spellStart"/>
      <w:r>
        <w:t>Matus</w:t>
      </w:r>
      <w:proofErr w:type="spellEnd"/>
      <w:r>
        <w:t xml:space="preserve">, F. J. Fine </w:t>
      </w:r>
      <w:proofErr w:type="gramStart"/>
      <w:r>
        <w:t>silt</w:t>
      </w:r>
      <w:proofErr w:type="gramEnd"/>
      <w:r>
        <w:t xml:space="preserve"> and clay content is the main factor defining maximal C and N accumulations in soils: a meta-analysis. </w:t>
      </w:r>
      <w:r>
        <w:rPr>
          <w:i/>
          <w:iCs/>
        </w:rPr>
        <w:t>Sci. Rep.</w:t>
      </w:r>
      <w:r>
        <w:t xml:space="preserve"> </w:t>
      </w:r>
      <w:r>
        <w:rPr>
          <w:b/>
          <w:bCs/>
        </w:rPr>
        <w:t>11</w:t>
      </w:r>
      <w:r>
        <w:t>, 6438 (2021).</w:t>
      </w:r>
    </w:p>
    <w:p w14:paraId="74686802" w14:textId="77777777" w:rsidR="00613552" w:rsidRDefault="00613552" w:rsidP="00613552">
      <w:pPr>
        <w:pStyle w:val="Bibliography"/>
      </w:pPr>
      <w:r>
        <w:t>88.</w:t>
      </w:r>
      <w:r>
        <w:tab/>
      </w:r>
      <w:proofErr w:type="spellStart"/>
      <w:r>
        <w:t>Ranjard</w:t>
      </w:r>
      <w:proofErr w:type="spellEnd"/>
      <w:r>
        <w:t xml:space="preserve">, L. &amp; </w:t>
      </w:r>
      <w:proofErr w:type="spellStart"/>
      <w:r>
        <w:t>Richaume</w:t>
      </w:r>
      <w:proofErr w:type="spellEnd"/>
      <w:r>
        <w:t xml:space="preserve">, A. Quantitative and qualitative microscale distribution of bacteria in soil. </w:t>
      </w:r>
      <w:r>
        <w:rPr>
          <w:i/>
          <w:iCs/>
        </w:rPr>
        <w:t xml:space="preserve">Res. </w:t>
      </w:r>
      <w:proofErr w:type="spellStart"/>
      <w:r>
        <w:rPr>
          <w:i/>
          <w:iCs/>
        </w:rPr>
        <w:t>Microbiol</w:t>
      </w:r>
      <w:proofErr w:type="spellEnd"/>
      <w:r>
        <w:rPr>
          <w:i/>
          <w:iCs/>
        </w:rPr>
        <w:t>.</w:t>
      </w:r>
      <w:r>
        <w:t xml:space="preserve"> </w:t>
      </w:r>
      <w:r>
        <w:rPr>
          <w:b/>
          <w:bCs/>
        </w:rPr>
        <w:t>152</w:t>
      </w:r>
      <w:r>
        <w:t>, 707–716 (2001).</w:t>
      </w:r>
    </w:p>
    <w:p w14:paraId="646AFC0D" w14:textId="77777777" w:rsidR="00613552" w:rsidRDefault="00613552" w:rsidP="00613552">
      <w:pPr>
        <w:pStyle w:val="Bibliography"/>
      </w:pPr>
      <w:r>
        <w:t>89.</w:t>
      </w:r>
      <w:r>
        <w:tab/>
        <w:t xml:space="preserve">Wei, H. </w:t>
      </w:r>
      <w:r>
        <w:rPr>
          <w:i/>
          <w:iCs/>
        </w:rPr>
        <w:t>et al.</w:t>
      </w:r>
      <w:r>
        <w:t xml:space="preserve"> High clay content accelerates the decomposition of fresh organic matter in artificial soils. </w:t>
      </w:r>
      <w:r>
        <w:rPr>
          <w:i/>
          <w:iCs/>
        </w:rPr>
        <w:t xml:space="preserve">Soil Biol. </w:t>
      </w:r>
      <w:proofErr w:type="spellStart"/>
      <w:r>
        <w:rPr>
          <w:i/>
          <w:iCs/>
        </w:rPr>
        <w:t>Biochem</w:t>
      </w:r>
      <w:proofErr w:type="spellEnd"/>
      <w:r>
        <w:rPr>
          <w:i/>
          <w:iCs/>
        </w:rPr>
        <w:t>.</w:t>
      </w:r>
      <w:r>
        <w:t xml:space="preserve"> </w:t>
      </w:r>
      <w:r>
        <w:rPr>
          <w:b/>
          <w:bCs/>
        </w:rPr>
        <w:t>77</w:t>
      </w:r>
      <w:r>
        <w:t>, 100–108 (2014).</w:t>
      </w:r>
    </w:p>
    <w:p w14:paraId="77546B24" w14:textId="77777777" w:rsidR="00613552" w:rsidRDefault="00613552" w:rsidP="00613552">
      <w:pPr>
        <w:pStyle w:val="Bibliography"/>
      </w:pPr>
      <w:r>
        <w:lastRenderedPageBreak/>
        <w:t>90.</w:t>
      </w:r>
      <w:r>
        <w:tab/>
        <w:t xml:space="preserve">Angst, G. </w:t>
      </w:r>
      <w:r>
        <w:rPr>
          <w:i/>
          <w:iCs/>
        </w:rPr>
        <w:t>et al.</w:t>
      </w:r>
      <w:r>
        <w:t xml:space="preserve"> Soil texture affects the coupling of litter decomposition and soil organic matter formation. </w:t>
      </w:r>
      <w:r>
        <w:rPr>
          <w:i/>
          <w:iCs/>
        </w:rPr>
        <w:t xml:space="preserve">Soil Biol. </w:t>
      </w:r>
      <w:proofErr w:type="spellStart"/>
      <w:r>
        <w:rPr>
          <w:i/>
          <w:iCs/>
        </w:rPr>
        <w:t>Biochem</w:t>
      </w:r>
      <w:proofErr w:type="spellEnd"/>
      <w:r>
        <w:rPr>
          <w:i/>
          <w:iCs/>
        </w:rPr>
        <w:t>.</w:t>
      </w:r>
      <w:r>
        <w:t xml:space="preserve"> </w:t>
      </w:r>
      <w:r>
        <w:rPr>
          <w:b/>
          <w:bCs/>
        </w:rPr>
        <w:t>159</w:t>
      </w:r>
      <w:r>
        <w:t>, 108302 (2021).</w:t>
      </w:r>
    </w:p>
    <w:p w14:paraId="7C9F3DE8" w14:textId="77777777" w:rsidR="00613552" w:rsidRDefault="00613552" w:rsidP="00613552">
      <w:pPr>
        <w:pStyle w:val="Bibliography"/>
      </w:pPr>
      <w:r>
        <w:t>91.</w:t>
      </w:r>
      <w:r>
        <w:tab/>
        <w:t xml:space="preserve">Garrido, E. &amp; </w:t>
      </w:r>
      <w:proofErr w:type="spellStart"/>
      <w:r>
        <w:t>Matus</w:t>
      </w:r>
      <w:proofErr w:type="spellEnd"/>
      <w:r>
        <w:t xml:space="preserve">, F. Are organo-mineral complexes and allophane content determinant factors for the carbon level in Chilean volcanic soils? </w:t>
      </w:r>
      <w:r>
        <w:rPr>
          <w:i/>
          <w:iCs/>
        </w:rPr>
        <w:t>CATENA</w:t>
      </w:r>
      <w:r>
        <w:t xml:space="preserve"> </w:t>
      </w:r>
      <w:r>
        <w:rPr>
          <w:b/>
          <w:bCs/>
        </w:rPr>
        <w:t>92</w:t>
      </w:r>
      <w:r>
        <w:t>, 106–112 (2012).</w:t>
      </w:r>
    </w:p>
    <w:p w14:paraId="0416FAFA" w14:textId="77777777" w:rsidR="00613552" w:rsidRDefault="00613552" w:rsidP="00613552">
      <w:pPr>
        <w:pStyle w:val="Bibliography"/>
      </w:pPr>
      <w:r>
        <w:t>92.</w:t>
      </w:r>
      <w:r>
        <w:tab/>
        <w:t xml:space="preserve">Asano, M. &amp; </w:t>
      </w:r>
      <w:proofErr w:type="spellStart"/>
      <w:r>
        <w:t>Wagai</w:t>
      </w:r>
      <w:proofErr w:type="spellEnd"/>
      <w:r>
        <w:t xml:space="preserve">, R. Evidence of aggregate hierarchy at micro- to submicron scales in an </w:t>
      </w:r>
      <w:proofErr w:type="spellStart"/>
      <w:r>
        <w:t>allophanic</w:t>
      </w:r>
      <w:proofErr w:type="spellEnd"/>
      <w:r>
        <w:t xml:space="preserve"> </w:t>
      </w:r>
      <w:proofErr w:type="spellStart"/>
      <w:r>
        <w:t>Andisol</w:t>
      </w:r>
      <w:proofErr w:type="spellEnd"/>
      <w:r>
        <w:t xml:space="preserve">. </w:t>
      </w:r>
      <w:proofErr w:type="spellStart"/>
      <w:r>
        <w:rPr>
          <w:i/>
          <w:iCs/>
        </w:rPr>
        <w:t>Geoderma</w:t>
      </w:r>
      <w:proofErr w:type="spellEnd"/>
      <w:r>
        <w:t xml:space="preserve"> </w:t>
      </w:r>
      <w:r>
        <w:rPr>
          <w:b/>
          <w:bCs/>
        </w:rPr>
        <w:t>216</w:t>
      </w:r>
      <w:r>
        <w:t>, 62–74 (2014).</w:t>
      </w:r>
    </w:p>
    <w:p w14:paraId="6860C5F5" w14:textId="00A6E885" w:rsidR="00613552" w:rsidRDefault="00613552" w:rsidP="00613552">
      <w:pPr>
        <w:pStyle w:val="Heading2"/>
        <w:rPr>
          <w:sz w:val="24"/>
          <w:szCs w:val="24"/>
        </w:rPr>
      </w:pPr>
      <w:r w:rsidRPr="00A71291">
        <w:rPr>
          <w:sz w:val="24"/>
          <w:szCs w:val="24"/>
        </w:rPr>
        <w:fldChar w:fldCharType="end"/>
      </w:r>
    </w:p>
    <w:p w14:paraId="63972F2E" w14:textId="77777777" w:rsidR="00613552" w:rsidRDefault="00613552" w:rsidP="00613552"/>
    <w:p w14:paraId="39F9D61F" w14:textId="77777777" w:rsidR="00613552" w:rsidRDefault="00613552" w:rsidP="00613552"/>
    <w:p w14:paraId="40983802" w14:textId="77777777" w:rsidR="00613552" w:rsidRDefault="00613552" w:rsidP="00613552"/>
    <w:p w14:paraId="2AA968EA" w14:textId="77777777" w:rsidR="00613552" w:rsidRDefault="00613552" w:rsidP="00613552"/>
    <w:p w14:paraId="402A97B9" w14:textId="77777777" w:rsidR="00613552" w:rsidRDefault="00613552" w:rsidP="00613552"/>
    <w:p w14:paraId="3D0B6F52" w14:textId="77777777" w:rsidR="00613552" w:rsidRDefault="00613552" w:rsidP="00613552"/>
    <w:p w14:paraId="7ABA71D4" w14:textId="77777777" w:rsidR="00613552" w:rsidRDefault="00613552" w:rsidP="00613552"/>
    <w:p w14:paraId="5DADD86F" w14:textId="77777777" w:rsidR="00613552" w:rsidRDefault="00613552" w:rsidP="00613552"/>
    <w:p w14:paraId="7155156E" w14:textId="77777777" w:rsidR="00613552" w:rsidRDefault="00613552" w:rsidP="00613552"/>
    <w:p w14:paraId="68240782" w14:textId="77777777" w:rsidR="00613552" w:rsidRDefault="00613552" w:rsidP="00613552"/>
    <w:p w14:paraId="4940EB74" w14:textId="77777777" w:rsidR="00613552" w:rsidRDefault="00613552" w:rsidP="00613552"/>
    <w:p w14:paraId="5A95AA30" w14:textId="77777777" w:rsidR="00613552" w:rsidRDefault="00613552" w:rsidP="00613552"/>
    <w:p w14:paraId="3AAEE69A" w14:textId="77777777" w:rsidR="00613552" w:rsidRDefault="00613552" w:rsidP="00613552"/>
    <w:p w14:paraId="62D182C0" w14:textId="77777777" w:rsidR="00613552" w:rsidRDefault="00613552" w:rsidP="00613552"/>
    <w:p w14:paraId="1A91F3AB" w14:textId="77777777" w:rsidR="00613552" w:rsidRDefault="00613552" w:rsidP="00613552"/>
    <w:p w14:paraId="6C3D9A85" w14:textId="77777777" w:rsidR="00613552" w:rsidRDefault="00613552" w:rsidP="00613552"/>
    <w:p w14:paraId="125DD163" w14:textId="77777777" w:rsidR="00613552" w:rsidRDefault="00613552" w:rsidP="00613552"/>
    <w:p w14:paraId="34367A30" w14:textId="77777777" w:rsidR="00613552" w:rsidRDefault="00613552" w:rsidP="00613552"/>
    <w:p w14:paraId="28FA5842" w14:textId="77777777" w:rsidR="00613552" w:rsidRDefault="00613552" w:rsidP="00613552"/>
    <w:p w14:paraId="2718A722" w14:textId="77777777" w:rsidR="00613552" w:rsidRDefault="00613552" w:rsidP="00613552"/>
    <w:p w14:paraId="77D07DF1" w14:textId="77777777" w:rsidR="00613552" w:rsidRDefault="00613552" w:rsidP="00613552"/>
    <w:p w14:paraId="147C8868" w14:textId="77777777" w:rsidR="00613552" w:rsidRDefault="00613552" w:rsidP="00613552"/>
    <w:p w14:paraId="0889A905" w14:textId="77777777" w:rsidR="00613552" w:rsidRDefault="00613552" w:rsidP="00613552"/>
    <w:p w14:paraId="2425D0E0" w14:textId="77777777" w:rsidR="00613552" w:rsidRDefault="00613552" w:rsidP="00613552"/>
    <w:p w14:paraId="59CAF3B8" w14:textId="77777777" w:rsidR="00613552" w:rsidRPr="00CF7E7A" w:rsidRDefault="00613552" w:rsidP="00613552"/>
    <w:p w14:paraId="59F4CB95" w14:textId="77777777" w:rsidR="00613552" w:rsidRPr="00A71291" w:rsidRDefault="00613552" w:rsidP="00613552">
      <w:pPr>
        <w:spacing w:line="480" w:lineRule="auto"/>
        <w:rPr>
          <w:sz w:val="24"/>
          <w:szCs w:val="24"/>
        </w:rPr>
      </w:pPr>
    </w:p>
    <w:p w14:paraId="1F3308FE" w14:textId="77777777" w:rsidR="00613552" w:rsidRPr="00A71291" w:rsidRDefault="00613552" w:rsidP="00613552">
      <w:pPr>
        <w:spacing w:after="0" w:line="480" w:lineRule="auto"/>
        <w:jc w:val="center"/>
        <w:rPr>
          <w:sz w:val="24"/>
          <w:szCs w:val="24"/>
        </w:rPr>
      </w:pPr>
      <w:r>
        <w:rPr>
          <w:noProof/>
          <w:sz w:val="24"/>
          <w:szCs w:val="24"/>
          <w:lang w:val="de-CH"/>
        </w:rPr>
        <w:drawing>
          <wp:inline distT="0" distB="0" distL="0" distR="0" wp14:anchorId="598185DE" wp14:editId="58F98A29">
            <wp:extent cx="2880000" cy="2678400"/>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0000" cy="2678400"/>
                    </a:xfrm>
                    <a:prstGeom prst="rect">
                      <a:avLst/>
                    </a:prstGeom>
                    <a:noFill/>
                  </pic:spPr>
                </pic:pic>
              </a:graphicData>
            </a:graphic>
          </wp:inline>
        </w:drawing>
      </w:r>
    </w:p>
    <w:p w14:paraId="03ECC767" w14:textId="77777777" w:rsidR="00613552" w:rsidRDefault="00613552" w:rsidP="00613552">
      <w:pPr>
        <w:pStyle w:val="Heading2"/>
        <w:spacing w:line="480" w:lineRule="auto"/>
        <w:jc w:val="both"/>
        <w:rPr>
          <w:b w:val="0"/>
          <w:sz w:val="24"/>
          <w:szCs w:val="24"/>
        </w:rPr>
      </w:pPr>
      <w:bookmarkStart w:id="11" w:name="_heading=h.2u6wntf" w:colFirst="0" w:colLast="0"/>
      <w:bookmarkEnd w:id="11"/>
      <w:r>
        <w:rPr>
          <w:sz w:val="24"/>
          <w:szCs w:val="24"/>
        </w:rPr>
        <w:t>F</w:t>
      </w:r>
      <w:r w:rsidRPr="00A71291">
        <w:rPr>
          <w:sz w:val="24"/>
          <w:szCs w:val="24"/>
        </w:rPr>
        <w:t xml:space="preserve">igure </w:t>
      </w:r>
      <w:r>
        <w:rPr>
          <w:sz w:val="24"/>
          <w:szCs w:val="24"/>
        </w:rPr>
        <w:t>S1</w:t>
      </w:r>
      <w:r w:rsidRPr="00A71291">
        <w:rPr>
          <w:sz w:val="24"/>
          <w:szCs w:val="24"/>
        </w:rPr>
        <w:t>.</w:t>
      </w:r>
      <w:r w:rsidRPr="00A71291">
        <w:rPr>
          <w:b w:val="0"/>
          <w:sz w:val="24"/>
          <w:szCs w:val="24"/>
        </w:rPr>
        <w:t xml:space="preserve"> </w:t>
      </w:r>
      <w:r w:rsidRPr="00A71291">
        <w:rPr>
          <w:sz w:val="24"/>
          <w:szCs w:val="24"/>
        </w:rPr>
        <w:t>Results of a PCA based on fraction specific C:N ratio, relative peak area of RPA</w:t>
      </w:r>
      <w:r w:rsidRPr="00A71291">
        <w:rPr>
          <w:sz w:val="24"/>
          <w:szCs w:val="24"/>
          <w:vertAlign w:val="subscript"/>
        </w:rPr>
        <w:t>SIMP</w:t>
      </w:r>
      <w:r w:rsidRPr="00A71291">
        <w:rPr>
          <w:sz w:val="24"/>
          <w:szCs w:val="24"/>
        </w:rPr>
        <w:t>, δ</w:t>
      </w:r>
      <w:r w:rsidRPr="00A71291">
        <w:rPr>
          <w:sz w:val="24"/>
          <w:szCs w:val="24"/>
          <w:vertAlign w:val="superscript"/>
        </w:rPr>
        <w:t>13</w:t>
      </w:r>
      <w:r w:rsidRPr="00A71291">
        <w:rPr>
          <w:sz w:val="24"/>
          <w:szCs w:val="24"/>
        </w:rPr>
        <w:t>C and δ</w:t>
      </w:r>
      <w:r w:rsidRPr="00A71291">
        <w:rPr>
          <w:sz w:val="24"/>
          <w:szCs w:val="24"/>
          <w:vertAlign w:val="superscript"/>
        </w:rPr>
        <w:t>15</w:t>
      </w:r>
      <w:r w:rsidRPr="00A71291">
        <w:rPr>
          <w:sz w:val="24"/>
          <w:szCs w:val="24"/>
        </w:rPr>
        <w:t>N.</w:t>
      </w:r>
      <w:r w:rsidRPr="00A71291">
        <w:rPr>
          <w:b w:val="0"/>
          <w:sz w:val="24"/>
          <w:szCs w:val="24"/>
        </w:rPr>
        <w:t xml:space="preserve"> n = 96 (</w:t>
      </w:r>
      <w:proofErr w:type="spellStart"/>
      <w:r w:rsidRPr="00A71291">
        <w:rPr>
          <w:b w:val="0"/>
          <w:sz w:val="24"/>
          <w:szCs w:val="24"/>
        </w:rPr>
        <w:t>n</w:t>
      </w:r>
      <w:r w:rsidRPr="00A71291">
        <w:rPr>
          <w:b w:val="0"/>
          <w:sz w:val="24"/>
          <w:szCs w:val="24"/>
          <w:vertAlign w:val="subscript"/>
        </w:rPr>
        <w:t>SA</w:t>
      </w:r>
      <w:proofErr w:type="spellEnd"/>
      <w:r w:rsidRPr="00A71291">
        <w:rPr>
          <w:b w:val="0"/>
          <w:sz w:val="24"/>
          <w:szCs w:val="24"/>
        </w:rPr>
        <w:t xml:space="preserve"> = 35, </w:t>
      </w:r>
      <w:proofErr w:type="spellStart"/>
      <w:r w:rsidRPr="00A71291">
        <w:rPr>
          <w:b w:val="0"/>
          <w:sz w:val="24"/>
          <w:szCs w:val="24"/>
        </w:rPr>
        <w:t>n</w:t>
      </w:r>
      <w:r w:rsidRPr="00A71291">
        <w:rPr>
          <w:b w:val="0"/>
          <w:sz w:val="24"/>
          <w:szCs w:val="24"/>
          <w:vertAlign w:val="subscript"/>
        </w:rPr>
        <w:t>S+C</w:t>
      </w:r>
      <w:proofErr w:type="spellEnd"/>
      <w:r w:rsidRPr="00A71291">
        <w:rPr>
          <w:b w:val="0"/>
          <w:sz w:val="24"/>
          <w:szCs w:val="24"/>
          <w:vertAlign w:val="subscript"/>
        </w:rPr>
        <w:t xml:space="preserve"> </w:t>
      </w:r>
      <w:r w:rsidRPr="00A71291">
        <w:rPr>
          <w:b w:val="0"/>
          <w:sz w:val="24"/>
          <w:szCs w:val="24"/>
        </w:rPr>
        <w:t xml:space="preserve">= 34 ; </w:t>
      </w:r>
      <w:proofErr w:type="spellStart"/>
      <w:r w:rsidRPr="00A71291">
        <w:rPr>
          <w:b w:val="0"/>
          <w:sz w:val="24"/>
          <w:szCs w:val="24"/>
        </w:rPr>
        <w:t>n</w:t>
      </w:r>
      <w:r w:rsidRPr="00A71291">
        <w:rPr>
          <w:b w:val="0"/>
          <w:sz w:val="24"/>
          <w:szCs w:val="24"/>
          <w:vertAlign w:val="subscript"/>
        </w:rPr>
        <w:t>POM</w:t>
      </w:r>
      <w:proofErr w:type="spellEnd"/>
      <w:r w:rsidRPr="00A71291">
        <w:rPr>
          <w:b w:val="0"/>
          <w:sz w:val="24"/>
          <w:szCs w:val="24"/>
        </w:rPr>
        <w:t xml:space="preserve"> = 28). PC1 explains 50 % of variation in the input variables and can be interpreted as a decomposition index (DI) as described in the methods section. </w:t>
      </w:r>
    </w:p>
    <w:p w14:paraId="2DAA66B4" w14:textId="77777777" w:rsidR="00613552" w:rsidRPr="00C428D1" w:rsidRDefault="00613552" w:rsidP="00613552"/>
    <w:p w14:paraId="7D32C846" w14:textId="77777777" w:rsidR="00613552" w:rsidRPr="00A71291" w:rsidRDefault="00613552" w:rsidP="00613552">
      <w:pPr>
        <w:spacing w:after="0" w:line="480" w:lineRule="auto"/>
        <w:jc w:val="center"/>
        <w:rPr>
          <w:sz w:val="24"/>
          <w:szCs w:val="24"/>
        </w:rPr>
      </w:pPr>
      <w:r>
        <w:rPr>
          <w:noProof/>
          <w:sz w:val="24"/>
          <w:szCs w:val="24"/>
          <w:lang w:val="de-CH"/>
        </w:rPr>
        <w:drawing>
          <wp:inline distT="0" distB="0" distL="0" distR="0" wp14:anchorId="7836320A" wp14:editId="522AA018">
            <wp:extent cx="2880000" cy="3049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80000" cy="3049200"/>
                    </a:xfrm>
                    <a:prstGeom prst="rect">
                      <a:avLst/>
                    </a:prstGeom>
                    <a:noFill/>
                  </pic:spPr>
                </pic:pic>
              </a:graphicData>
            </a:graphic>
          </wp:inline>
        </w:drawing>
      </w:r>
    </w:p>
    <w:p w14:paraId="203A312C" w14:textId="77777777" w:rsidR="00613552" w:rsidRPr="00A71291" w:rsidRDefault="00613552" w:rsidP="00613552">
      <w:pPr>
        <w:spacing w:after="0" w:line="480" w:lineRule="auto"/>
        <w:jc w:val="both"/>
        <w:rPr>
          <w:sz w:val="24"/>
          <w:szCs w:val="24"/>
        </w:rPr>
      </w:pPr>
      <w:r w:rsidRPr="00A71291">
        <w:rPr>
          <w:b/>
          <w:sz w:val="24"/>
          <w:szCs w:val="24"/>
        </w:rPr>
        <w:lastRenderedPageBreak/>
        <w:t xml:space="preserve">Figure </w:t>
      </w:r>
      <w:r>
        <w:rPr>
          <w:b/>
          <w:sz w:val="24"/>
          <w:szCs w:val="24"/>
        </w:rPr>
        <w:t>S2</w:t>
      </w:r>
      <w:r w:rsidRPr="00A71291">
        <w:rPr>
          <w:b/>
          <w:sz w:val="24"/>
          <w:szCs w:val="24"/>
        </w:rPr>
        <w:t>.</w:t>
      </w:r>
      <w:r w:rsidRPr="00A71291">
        <w:rPr>
          <w:sz w:val="24"/>
          <w:szCs w:val="24"/>
        </w:rPr>
        <w:t xml:space="preserve"> </w:t>
      </w:r>
      <w:r w:rsidRPr="00A71291">
        <w:rPr>
          <w:b/>
          <w:sz w:val="24"/>
          <w:szCs w:val="24"/>
        </w:rPr>
        <w:t>Schematic overview of quantitative and qualitative SOC characterization and data analysis.</w:t>
      </w:r>
      <w:r w:rsidRPr="00A71291">
        <w:rPr>
          <w:sz w:val="24"/>
          <w:szCs w:val="24"/>
        </w:rPr>
        <w:t xml:space="preserve"> a) Isolation of three soil fractions; free particulate organic matter (POM), stable microaggregates &gt; 63 </w:t>
      </w:r>
      <w:proofErr w:type="spellStart"/>
      <w:r w:rsidRPr="00A71291">
        <w:rPr>
          <w:sz w:val="24"/>
          <w:szCs w:val="24"/>
        </w:rPr>
        <w:t>μm</w:t>
      </w:r>
      <w:proofErr w:type="spellEnd"/>
      <w:r w:rsidRPr="00A71291">
        <w:rPr>
          <w:sz w:val="24"/>
          <w:szCs w:val="24"/>
        </w:rPr>
        <w:t xml:space="preserve"> (SA) and silt- and clay-sized particles (S+C). Quantification of the total amount of SOC per unit soil (C</w:t>
      </w:r>
      <w:r w:rsidRPr="00A71291">
        <w:rPr>
          <w:sz w:val="24"/>
          <w:szCs w:val="24"/>
          <w:vertAlign w:val="subscript"/>
        </w:rPr>
        <w:t>TOT</w:t>
      </w:r>
      <w:r w:rsidRPr="00A71291">
        <w:rPr>
          <w:sz w:val="24"/>
          <w:szCs w:val="24"/>
        </w:rPr>
        <w:t>), fraction-specific C content (C</w:t>
      </w:r>
      <w:r w:rsidRPr="00A71291">
        <w:rPr>
          <w:sz w:val="24"/>
          <w:szCs w:val="24"/>
          <w:vertAlign w:val="subscript"/>
        </w:rPr>
        <w:t>ABS</w:t>
      </w:r>
      <w:r w:rsidRPr="00A71291">
        <w:rPr>
          <w:sz w:val="24"/>
          <w:szCs w:val="24"/>
        </w:rPr>
        <w:t>) and relative contribution to bulk SOC (C</w:t>
      </w:r>
      <w:r w:rsidRPr="00A71291">
        <w:rPr>
          <w:sz w:val="24"/>
          <w:szCs w:val="24"/>
          <w:vertAlign w:val="subscript"/>
        </w:rPr>
        <w:t>REL</w:t>
      </w:r>
      <w:r w:rsidRPr="00A71291">
        <w:rPr>
          <w:sz w:val="24"/>
          <w:szCs w:val="24"/>
        </w:rPr>
        <w:t>). b) To quantify the degree of microbial transformation of OM, a decomposition index (DI) was derived from principal component analysis (PCA) with fraction-specific measurements of decomposition indicators. c) Regression analysis to investigate controls of SOC fractions. We first applied rotated PCA (</w:t>
      </w:r>
      <w:proofErr w:type="spellStart"/>
      <w:r w:rsidRPr="00A71291">
        <w:rPr>
          <w:sz w:val="24"/>
          <w:szCs w:val="24"/>
        </w:rPr>
        <w:t>rPCA</w:t>
      </w:r>
      <w:proofErr w:type="spellEnd"/>
      <w:r w:rsidRPr="00A71291">
        <w:rPr>
          <w:sz w:val="24"/>
          <w:szCs w:val="24"/>
        </w:rPr>
        <w:t xml:space="preserve">) to reduce 22 environmental variables (listed in Table S2) to six rotated components (RCs) for regression analysis. </w:t>
      </w:r>
    </w:p>
    <w:p w14:paraId="737D35AE" w14:textId="77777777" w:rsidR="00613552" w:rsidRPr="00C428D1" w:rsidRDefault="00613552" w:rsidP="00613552"/>
    <w:p w14:paraId="2581461B" w14:textId="77777777" w:rsidR="00613552" w:rsidRPr="00C877FA" w:rsidRDefault="00613552" w:rsidP="00613552">
      <w:pPr>
        <w:jc w:val="center"/>
      </w:pPr>
      <w:r>
        <w:rPr>
          <w:noProof/>
          <w:lang w:val="de-CH"/>
        </w:rPr>
        <w:drawing>
          <wp:inline distT="0" distB="0" distL="0" distR="0" wp14:anchorId="484C994D" wp14:editId="3DA1FDFB">
            <wp:extent cx="3611339" cy="3386666"/>
            <wp:effectExtent l="0" t="0" r="825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21579" cy="3396269"/>
                    </a:xfrm>
                    <a:prstGeom prst="rect">
                      <a:avLst/>
                    </a:prstGeom>
                    <a:noFill/>
                  </pic:spPr>
                </pic:pic>
              </a:graphicData>
            </a:graphic>
          </wp:inline>
        </w:drawing>
      </w:r>
    </w:p>
    <w:p w14:paraId="6B6B30E1" w14:textId="77777777" w:rsidR="00613552" w:rsidRPr="00CF7E7A" w:rsidRDefault="00613552" w:rsidP="00613552">
      <w:r w:rsidRPr="00FB4415">
        <w:rPr>
          <w:b/>
          <w:bCs/>
          <w:sz w:val="24"/>
          <w:szCs w:val="24"/>
        </w:rPr>
        <w:t>Figure S</w:t>
      </w:r>
      <w:r>
        <w:rPr>
          <w:b/>
          <w:bCs/>
          <w:sz w:val="24"/>
          <w:szCs w:val="24"/>
        </w:rPr>
        <w:t>3</w:t>
      </w:r>
      <w:r w:rsidRPr="00FB4415">
        <w:rPr>
          <w:b/>
          <w:bCs/>
          <w:sz w:val="24"/>
          <w:szCs w:val="24"/>
        </w:rPr>
        <w:t xml:space="preserve">. Correlation matrix of the six RCs retained after </w:t>
      </w:r>
      <w:proofErr w:type="spellStart"/>
      <w:r w:rsidRPr="00FB4415">
        <w:rPr>
          <w:b/>
          <w:bCs/>
          <w:sz w:val="24"/>
          <w:szCs w:val="24"/>
        </w:rPr>
        <w:t>rPCA</w:t>
      </w:r>
      <w:proofErr w:type="spellEnd"/>
      <w:r w:rsidRPr="00A71291">
        <w:rPr>
          <w:sz w:val="24"/>
          <w:szCs w:val="24"/>
        </w:rPr>
        <w:t>. Shown are significant correlations (Pearson correlation, p &lt; 0.05).</w:t>
      </w:r>
    </w:p>
    <w:p w14:paraId="0A3F14FD" w14:textId="77777777" w:rsidR="00613552" w:rsidRPr="00A71291" w:rsidRDefault="00613552" w:rsidP="00613552">
      <w:pPr>
        <w:spacing w:line="480" w:lineRule="auto"/>
        <w:rPr>
          <w:sz w:val="24"/>
          <w:szCs w:val="24"/>
        </w:rPr>
      </w:pPr>
      <w:r w:rsidRPr="00E72313">
        <w:rPr>
          <w:noProof/>
          <w:sz w:val="24"/>
          <w:szCs w:val="24"/>
          <w:lang w:val="de-CH"/>
        </w:rPr>
        <w:lastRenderedPageBreak/>
        <w:drawing>
          <wp:inline distT="0" distB="0" distL="0" distR="0" wp14:anchorId="0A996C50" wp14:editId="3ADD02A5">
            <wp:extent cx="5731510" cy="8116570"/>
            <wp:effectExtent l="0" t="0" r="2540" b="0"/>
            <wp:docPr id="8" name="Picture 1">
              <a:extLst xmlns:a="http://schemas.openxmlformats.org/drawingml/2006/main">
                <a:ext uri="{FF2B5EF4-FFF2-40B4-BE49-F238E27FC236}">
                  <a16:creationId xmlns:a16="http://schemas.microsoft.com/office/drawing/2014/main" id="{9D91A342-4C09-4043-AF57-0FECF9029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D91A342-4C09-4043-AF57-0FECF9029DAF}"/>
                        </a:ext>
                      </a:extLst>
                    </pic:cNvPr>
                    <pic:cNvPicPr>
                      <a:picLocks noChangeAspect="1"/>
                    </pic:cNvPicPr>
                  </pic:nvPicPr>
                  <pic:blipFill>
                    <a:blip r:embed="rId8"/>
                    <a:stretch>
                      <a:fillRect/>
                    </a:stretch>
                  </pic:blipFill>
                  <pic:spPr>
                    <a:xfrm>
                      <a:off x="0" y="0"/>
                      <a:ext cx="5731510" cy="8116570"/>
                    </a:xfrm>
                    <a:prstGeom prst="rect">
                      <a:avLst/>
                    </a:prstGeom>
                  </pic:spPr>
                </pic:pic>
              </a:graphicData>
            </a:graphic>
          </wp:inline>
        </w:drawing>
      </w:r>
    </w:p>
    <w:p w14:paraId="3114DB18" w14:textId="77777777" w:rsidR="00613552" w:rsidRDefault="00613552" w:rsidP="00613552">
      <w:pPr>
        <w:spacing w:line="480" w:lineRule="auto"/>
        <w:jc w:val="both"/>
        <w:rPr>
          <w:sz w:val="24"/>
          <w:szCs w:val="24"/>
        </w:rPr>
      </w:pPr>
      <w:r w:rsidRPr="00A71291">
        <w:rPr>
          <w:b/>
          <w:sz w:val="24"/>
          <w:szCs w:val="24"/>
        </w:rPr>
        <w:lastRenderedPageBreak/>
        <w:t>Figure S</w:t>
      </w:r>
      <w:r>
        <w:rPr>
          <w:b/>
          <w:sz w:val="24"/>
          <w:szCs w:val="24"/>
        </w:rPr>
        <w:t>4</w:t>
      </w:r>
      <w:r w:rsidRPr="00A71291">
        <w:rPr>
          <w:b/>
          <w:sz w:val="24"/>
          <w:szCs w:val="24"/>
        </w:rPr>
        <w:t>. Correlations between bulk SOC</w:t>
      </w:r>
      <w:r w:rsidRPr="00A71291">
        <w:rPr>
          <w:b/>
          <w:sz w:val="24"/>
          <w:szCs w:val="24"/>
          <w:vertAlign w:val="subscript"/>
        </w:rPr>
        <w:t>%</w:t>
      </w:r>
      <w:r w:rsidRPr="00A71291">
        <w:rPr>
          <w:b/>
          <w:sz w:val="24"/>
          <w:szCs w:val="24"/>
        </w:rPr>
        <w:t xml:space="preserve"> and C</w:t>
      </w:r>
      <w:r w:rsidRPr="00A71291">
        <w:rPr>
          <w:b/>
          <w:sz w:val="24"/>
          <w:szCs w:val="24"/>
          <w:vertAlign w:val="subscript"/>
        </w:rPr>
        <w:t>TOT</w:t>
      </w:r>
      <w:r w:rsidRPr="00A71291">
        <w:rPr>
          <w:b/>
          <w:sz w:val="24"/>
          <w:szCs w:val="24"/>
        </w:rPr>
        <w:t xml:space="preserve"> in SA, S+C and POM as well as POM</w:t>
      </w:r>
      <w:r w:rsidRPr="00A71291">
        <w:rPr>
          <w:b/>
          <w:sz w:val="24"/>
          <w:szCs w:val="24"/>
          <w:vertAlign w:val="subscript"/>
        </w:rPr>
        <w:t>TOT</w:t>
      </w:r>
      <w:r w:rsidRPr="00A71291">
        <w:rPr>
          <w:b/>
          <w:sz w:val="24"/>
          <w:szCs w:val="24"/>
        </w:rPr>
        <w:t xml:space="preserve">/SOC with measured environmental variables. </w:t>
      </w:r>
      <w:r w:rsidRPr="00A71291">
        <w:rPr>
          <w:sz w:val="24"/>
          <w:szCs w:val="24"/>
        </w:rPr>
        <w:t>Shown are relationships with a) MAT, b) water availability (MAP – PET), c) pH value, d) the sum of Fe and Al sequentially extracted with pyrophosphate ammonium oxalate, e) primary clay content and f) the sum of primary clay and silt content. Dots indicate datapoints of SOC amounts, triangles datapoints of POM</w:t>
      </w:r>
      <w:r w:rsidRPr="00A71291">
        <w:rPr>
          <w:sz w:val="24"/>
          <w:szCs w:val="24"/>
          <w:vertAlign w:val="subscript"/>
        </w:rPr>
        <w:t>TOT</w:t>
      </w:r>
      <w:r w:rsidRPr="00A71291">
        <w:rPr>
          <w:sz w:val="24"/>
          <w:szCs w:val="24"/>
        </w:rPr>
        <w:t>/SOC ratio, lines indicate slopes of significant (p-values &lt; 0.05) Pearson correlations. All correlations of SOC amounts performed with log-transformed SOC quantities. Only in the case of pedogenic oxides (panel d) transformation led to small decreases in the strength of relationship for bulk SOC</w:t>
      </w:r>
      <w:r w:rsidRPr="00A71291">
        <w:rPr>
          <w:sz w:val="24"/>
          <w:szCs w:val="24"/>
          <w:vertAlign w:val="subscript"/>
        </w:rPr>
        <w:t>%</w:t>
      </w:r>
      <w:r w:rsidRPr="00A71291">
        <w:rPr>
          <w:sz w:val="24"/>
          <w:szCs w:val="24"/>
        </w:rPr>
        <w:t xml:space="preserve"> and SA</w:t>
      </w:r>
      <w:r w:rsidRPr="00A71291">
        <w:rPr>
          <w:sz w:val="24"/>
          <w:szCs w:val="24"/>
          <w:vertAlign w:val="subscript"/>
        </w:rPr>
        <w:t>TOT</w:t>
      </w:r>
      <w:r w:rsidRPr="00A71291">
        <w:rPr>
          <w:sz w:val="24"/>
          <w:szCs w:val="24"/>
        </w:rPr>
        <w:t>.</w:t>
      </w:r>
    </w:p>
    <w:p w14:paraId="0825EF81" w14:textId="77777777" w:rsidR="00613552" w:rsidRDefault="00613552" w:rsidP="00613552">
      <w:pPr>
        <w:spacing w:line="480" w:lineRule="auto"/>
        <w:jc w:val="both"/>
        <w:rPr>
          <w:sz w:val="24"/>
          <w:szCs w:val="24"/>
        </w:rPr>
      </w:pPr>
    </w:p>
    <w:p w14:paraId="3261DBCA" w14:textId="77777777" w:rsidR="00613552" w:rsidRPr="00A71291" w:rsidRDefault="00613552" w:rsidP="00613552">
      <w:pPr>
        <w:pStyle w:val="Heading2"/>
        <w:spacing w:line="480" w:lineRule="auto"/>
        <w:jc w:val="center"/>
        <w:rPr>
          <w:sz w:val="24"/>
          <w:szCs w:val="24"/>
        </w:rPr>
      </w:pPr>
      <w:r>
        <w:rPr>
          <w:noProof/>
          <w:lang w:val="de-CH"/>
        </w:rPr>
        <w:lastRenderedPageBreak/>
        <w:drawing>
          <wp:inline distT="0" distB="0" distL="0" distR="0" wp14:anchorId="4BBB35A7" wp14:editId="68062CF8">
            <wp:extent cx="2880000" cy="2839626"/>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FF2B5EF4-FFF2-40B4-BE49-F238E27FC236}">
                          <a16:creationId xmlns="" xmlns:o="urn:schemas-microsoft-com:office:office" xmlns:v="urn:schemas-microsoft-com:vml" xmlns:w10="urn:schemas-microsoft-com:office:word" xmlns:w="http://schemas.openxmlformats.org/wordprocessingml/2006/main" xmlns:a14="http://schemas.microsoft.com/office/drawing/2010/main" xmlns:a16="http://schemas.microsoft.com/office/drawing/2014/main" id="{ACF56BE3-B9BD-48DE-BCB7-5BF9E4628A3A}"/>
                        </a:ext>
                      </a:extLst>
                    </a:blip>
                    <a:srcRect l="13607" t="14414" r="57654" b="10027"/>
                    <a:stretch>
                      <a:fillRect/>
                    </a:stretch>
                  </pic:blipFill>
                  <pic:spPr>
                    <a:xfrm>
                      <a:off x="0" y="0"/>
                      <a:ext cx="2880000" cy="2839626"/>
                    </a:xfrm>
                    <a:prstGeom prst="rect">
                      <a:avLst/>
                    </a:prstGeom>
                  </pic:spPr>
                </pic:pic>
              </a:graphicData>
            </a:graphic>
          </wp:inline>
        </w:drawing>
      </w:r>
    </w:p>
    <w:p w14:paraId="6F39A980" w14:textId="77777777" w:rsidR="00613552" w:rsidRPr="00A71291" w:rsidRDefault="00613552" w:rsidP="00613552">
      <w:pPr>
        <w:pStyle w:val="Heading2"/>
        <w:spacing w:line="480" w:lineRule="auto"/>
        <w:jc w:val="both"/>
        <w:rPr>
          <w:b w:val="0"/>
          <w:sz w:val="24"/>
          <w:szCs w:val="24"/>
        </w:rPr>
      </w:pPr>
      <w:bookmarkStart w:id="12" w:name="_heading=h.3tbugp1" w:colFirst="0" w:colLast="0"/>
      <w:bookmarkEnd w:id="12"/>
      <w:r>
        <w:rPr>
          <w:sz w:val="24"/>
          <w:szCs w:val="24"/>
        </w:rPr>
        <w:t>F</w:t>
      </w:r>
      <w:r w:rsidRPr="00A71291">
        <w:rPr>
          <w:sz w:val="24"/>
          <w:szCs w:val="24"/>
        </w:rPr>
        <w:t xml:space="preserve">igure </w:t>
      </w:r>
      <w:r>
        <w:rPr>
          <w:sz w:val="24"/>
          <w:szCs w:val="24"/>
        </w:rPr>
        <w:t>S5</w:t>
      </w:r>
      <w:r w:rsidRPr="00A71291">
        <w:rPr>
          <w:sz w:val="24"/>
          <w:szCs w:val="24"/>
        </w:rPr>
        <w:t>.</w:t>
      </w:r>
      <w:r w:rsidRPr="00A71291">
        <w:rPr>
          <w:b w:val="0"/>
          <w:sz w:val="24"/>
          <w:szCs w:val="24"/>
        </w:rPr>
        <w:t xml:space="preserve"> </w:t>
      </w:r>
      <w:r w:rsidRPr="00A71291">
        <w:rPr>
          <w:sz w:val="24"/>
          <w:szCs w:val="24"/>
        </w:rPr>
        <w:t>The degree of bulk organic matter decomposition decreases with bulk SOC content.</w:t>
      </w:r>
      <w:r w:rsidRPr="00A71291">
        <w:rPr>
          <w:b w:val="0"/>
          <w:sz w:val="24"/>
          <w:szCs w:val="24"/>
        </w:rPr>
        <w:t xml:space="preserve"> As a measure for the degree of bulk organic matter decomposition, the rotated component RC2 “OM Decomposition” was used (decomposition index (DI) cannot be calculated for bulk soil), which strongly correlates with a decrease of aliphatic compounds (RPA</w:t>
      </w:r>
      <w:r w:rsidRPr="00A71291">
        <w:rPr>
          <w:b w:val="0"/>
          <w:sz w:val="24"/>
          <w:szCs w:val="24"/>
          <w:vertAlign w:val="subscript"/>
        </w:rPr>
        <w:t>SIMP</w:t>
      </w:r>
      <w:r w:rsidRPr="00A71291">
        <w:rPr>
          <w:b w:val="0"/>
          <w:sz w:val="24"/>
          <w:szCs w:val="24"/>
        </w:rPr>
        <w:t>) relative to other compounds, and with a decrease of the Rock-Eval derived I-index (see Table S4). Log-transformed data points and fitted model with 95 % confidence intervals are shown. Because the rotated component had negative values (min. -4.</w:t>
      </w:r>
      <w:r>
        <w:rPr>
          <w:b w:val="0"/>
          <w:sz w:val="24"/>
          <w:szCs w:val="24"/>
        </w:rPr>
        <w:t>69</w:t>
      </w:r>
      <w:r w:rsidRPr="00A71291">
        <w:rPr>
          <w:b w:val="0"/>
          <w:sz w:val="24"/>
          <w:szCs w:val="24"/>
        </w:rPr>
        <w:t xml:space="preserve">), log-transformation was done after adding + 5 to all data points. RMSE = </w:t>
      </w:r>
      <w:r>
        <w:rPr>
          <w:b w:val="0"/>
          <w:sz w:val="24"/>
          <w:szCs w:val="24"/>
        </w:rPr>
        <w:t>3.53</w:t>
      </w:r>
      <w:r w:rsidRPr="00A71291">
        <w:rPr>
          <w:b w:val="0"/>
          <w:sz w:val="24"/>
          <w:szCs w:val="24"/>
        </w:rPr>
        <w:t>, adj. R</w:t>
      </w:r>
      <w:r w:rsidRPr="00A71291">
        <w:rPr>
          <w:b w:val="0"/>
          <w:sz w:val="24"/>
          <w:szCs w:val="24"/>
          <w:vertAlign w:val="superscript"/>
        </w:rPr>
        <w:t>2</w:t>
      </w:r>
      <w:r w:rsidRPr="00A71291">
        <w:rPr>
          <w:b w:val="0"/>
          <w:sz w:val="24"/>
          <w:szCs w:val="24"/>
        </w:rPr>
        <w:t xml:space="preserve"> = 0.</w:t>
      </w:r>
      <w:r>
        <w:rPr>
          <w:b w:val="0"/>
          <w:sz w:val="24"/>
          <w:szCs w:val="24"/>
        </w:rPr>
        <w:t>55</w:t>
      </w:r>
      <w:r w:rsidRPr="00A71291">
        <w:rPr>
          <w:b w:val="0"/>
          <w:sz w:val="24"/>
          <w:szCs w:val="24"/>
        </w:rPr>
        <w:t>, p</w:t>
      </w:r>
      <w:r>
        <w:rPr>
          <w:b w:val="0"/>
          <w:sz w:val="24"/>
          <w:szCs w:val="24"/>
        </w:rPr>
        <w:t>-value</w:t>
      </w:r>
      <w:r w:rsidRPr="00A71291">
        <w:rPr>
          <w:b w:val="0"/>
          <w:sz w:val="24"/>
          <w:szCs w:val="24"/>
        </w:rPr>
        <w:t xml:space="preserve"> &lt; 0.0</w:t>
      </w:r>
      <w:r>
        <w:rPr>
          <w:b w:val="0"/>
          <w:sz w:val="24"/>
          <w:szCs w:val="24"/>
        </w:rPr>
        <w:t>5</w:t>
      </w:r>
      <w:r w:rsidRPr="00A71291">
        <w:rPr>
          <w:b w:val="0"/>
          <w:sz w:val="24"/>
          <w:szCs w:val="24"/>
        </w:rPr>
        <w:t>, n</w:t>
      </w:r>
      <w:r>
        <w:rPr>
          <w:b w:val="0"/>
          <w:sz w:val="24"/>
          <w:szCs w:val="24"/>
        </w:rPr>
        <w:t xml:space="preserve"> </w:t>
      </w:r>
      <w:r w:rsidRPr="00A71291">
        <w:rPr>
          <w:b w:val="0"/>
          <w:sz w:val="24"/>
          <w:szCs w:val="24"/>
        </w:rPr>
        <w:t xml:space="preserve">= 35, </w:t>
      </w:r>
      <w:proofErr w:type="spellStart"/>
      <w:r w:rsidRPr="00A71291">
        <w:rPr>
          <w:b w:val="0"/>
          <w:sz w:val="24"/>
          <w:szCs w:val="24"/>
        </w:rPr>
        <w:t>df</w:t>
      </w:r>
      <w:proofErr w:type="spellEnd"/>
      <w:r w:rsidRPr="00A71291">
        <w:rPr>
          <w:b w:val="0"/>
          <w:sz w:val="24"/>
          <w:szCs w:val="24"/>
        </w:rPr>
        <w:t xml:space="preserve"> = 33.</w:t>
      </w:r>
    </w:p>
    <w:p w14:paraId="12287A88" w14:textId="77777777" w:rsidR="00613552" w:rsidRPr="00A71291" w:rsidRDefault="00613552" w:rsidP="00613552">
      <w:pPr>
        <w:spacing w:line="480" w:lineRule="auto"/>
        <w:jc w:val="both"/>
        <w:rPr>
          <w:sz w:val="24"/>
          <w:szCs w:val="24"/>
        </w:rPr>
        <w:sectPr w:rsidR="00613552" w:rsidRPr="00A71291" w:rsidSect="00613552">
          <w:footerReference w:type="default" r:id="rId10"/>
          <w:pgSz w:w="11906" w:h="16838"/>
          <w:pgMar w:top="1440" w:right="1440" w:bottom="1440" w:left="1440" w:header="708" w:footer="708" w:gutter="0"/>
          <w:pgNumType w:start="1"/>
          <w:cols w:space="720"/>
          <w:docGrid w:linePitch="299"/>
        </w:sectPr>
      </w:pPr>
    </w:p>
    <w:p w14:paraId="35F15D98" w14:textId="77777777" w:rsidR="00613552" w:rsidRPr="00CF7E7A" w:rsidRDefault="00613552" w:rsidP="00613552">
      <w:pPr>
        <w:pStyle w:val="Heading1"/>
        <w:spacing w:line="480" w:lineRule="auto"/>
        <w:rPr>
          <w:sz w:val="24"/>
          <w:szCs w:val="24"/>
        </w:rPr>
      </w:pPr>
      <w:bookmarkStart w:id="13" w:name="_heading=h.nmf14n" w:colFirst="0" w:colLast="0"/>
      <w:bookmarkEnd w:id="13"/>
      <w:r w:rsidRPr="00A71291">
        <w:rPr>
          <w:sz w:val="24"/>
          <w:szCs w:val="24"/>
        </w:rPr>
        <w:lastRenderedPageBreak/>
        <w:t>Supplementary Tables</w:t>
      </w:r>
    </w:p>
    <w:p w14:paraId="07A04DD0" w14:textId="77777777" w:rsidR="00613552" w:rsidRPr="00A71291" w:rsidRDefault="00613552" w:rsidP="00613552">
      <w:pPr>
        <w:spacing w:line="480" w:lineRule="auto"/>
        <w:jc w:val="both"/>
        <w:rPr>
          <w:sz w:val="24"/>
          <w:szCs w:val="24"/>
        </w:rPr>
      </w:pPr>
      <w:r w:rsidRPr="00A71291">
        <w:rPr>
          <w:b/>
          <w:sz w:val="24"/>
          <w:szCs w:val="24"/>
        </w:rPr>
        <w:t xml:space="preserve">Table S1. Geomorphology and soil information of sampling sites. </w:t>
      </w:r>
      <w:r w:rsidRPr="00A71291">
        <w:rPr>
          <w:sz w:val="24"/>
          <w:szCs w:val="24"/>
        </w:rPr>
        <w:t xml:space="preserve">Site IDs refer to the numbers as used in Figure 1. Literature used for metadata is indexed with numbers from 1 – 11: 1 = </w:t>
      </w:r>
      <w:proofErr w:type="spellStart"/>
      <w:r w:rsidRPr="00A71291">
        <w:rPr>
          <w:sz w:val="24"/>
          <w:szCs w:val="24"/>
        </w:rPr>
        <w:t>Aburto</w:t>
      </w:r>
      <w:proofErr w:type="spellEnd"/>
      <w:r w:rsidRPr="00A71291">
        <w:rPr>
          <w:sz w:val="24"/>
          <w:szCs w:val="24"/>
        </w:rPr>
        <w:t xml:space="preserve"> F., Hernández C., Pfeiffer M., Casanova M., </w:t>
      </w:r>
      <w:proofErr w:type="spellStart"/>
      <w:r w:rsidRPr="00A71291">
        <w:rPr>
          <w:sz w:val="24"/>
          <w:szCs w:val="24"/>
        </w:rPr>
        <w:t>Luzio</w:t>
      </w:r>
      <w:proofErr w:type="spellEnd"/>
      <w:r w:rsidRPr="00A71291">
        <w:rPr>
          <w:sz w:val="24"/>
          <w:szCs w:val="24"/>
        </w:rPr>
        <w:t xml:space="preserve"> W. (2008). Soil: a work of art of nature. Northern field guide between 30S° and 33S° In: Casanova M., </w:t>
      </w:r>
      <w:proofErr w:type="spellStart"/>
      <w:r w:rsidRPr="00A71291">
        <w:rPr>
          <w:sz w:val="24"/>
          <w:szCs w:val="24"/>
        </w:rPr>
        <w:t>Luzio</w:t>
      </w:r>
      <w:proofErr w:type="spellEnd"/>
      <w:r w:rsidRPr="00A71291">
        <w:rPr>
          <w:sz w:val="24"/>
          <w:szCs w:val="24"/>
        </w:rPr>
        <w:t xml:space="preserve"> W. (Eds.) The international conference and field workshops on soil classification. University of Chile, Santiago-Ovalle, Chile; 2 = CIREN (1997). Soil survey, region V of Chile. Natural Resources Information Centre, Publication N° 116 Santiago (in Spanish); 3 = CIREN (1996). Soil survey of the Metropolitan region of Chile. Natural Resources Information Centre, Publication N° 115 Santiago (in Spanish); 4 = CIREN (1996). Soil survey, region VI of Chile. Natural Resources Information Centre, Publication N° 114 Santiago (in Spanish); 5 = CIREN (1997). Soil survey of the VII region of Chile. Natural Resources Information Centre, Publication N° 121 Santiago (in Spanish); 6 = CIREN (1999). Soil survey, region VIII of Chile. Natural Resources Information Centre, Publication N° 117 Santiago (in Spanish); 7 = CIREN (2002). Soil survey, region IX of Chile. Natural Resources Information Centre, Publication N° 122 Santiago (in Spanish); 8 = CIREN (2003). Soil survey, region X of Chile. Natural Resources Information Centre, Publication N° 123 Santiago (in Spanish); 9 = CIREN (2005). Soil survey, region XI of Chile. Natural Resources Information Centre, Publication N° 130 Santiago (in Spanish); 10 = INIA (2014). Taxonomic characterization of soils from valleys with agricultural interest from </w:t>
      </w:r>
      <w:proofErr w:type="spellStart"/>
      <w:r w:rsidRPr="00A71291">
        <w:rPr>
          <w:sz w:val="24"/>
          <w:szCs w:val="24"/>
        </w:rPr>
        <w:t>Aysen</w:t>
      </w:r>
      <w:proofErr w:type="spellEnd"/>
      <w:r w:rsidRPr="00A71291">
        <w:rPr>
          <w:sz w:val="24"/>
          <w:szCs w:val="24"/>
        </w:rPr>
        <w:t xml:space="preserve"> Region (Patagonia Occidental-Chile.). </w:t>
      </w:r>
      <w:r w:rsidRPr="00A71291">
        <w:rPr>
          <w:sz w:val="24"/>
          <w:szCs w:val="24"/>
          <w:lang w:val="es-ES"/>
        </w:rPr>
        <w:t xml:space="preserve">In: </w:t>
      </w:r>
      <w:proofErr w:type="spellStart"/>
      <w:r w:rsidRPr="00A71291">
        <w:rPr>
          <w:sz w:val="24"/>
          <w:szCs w:val="24"/>
          <w:lang w:val="es-ES"/>
        </w:rPr>
        <w:t>Stolpe</w:t>
      </w:r>
      <w:proofErr w:type="spellEnd"/>
      <w:r w:rsidRPr="00A71291">
        <w:rPr>
          <w:sz w:val="24"/>
          <w:szCs w:val="24"/>
          <w:lang w:val="es-ES"/>
        </w:rPr>
        <w:t xml:space="preserve"> N.</w:t>
      </w:r>
      <w:proofErr w:type="gramStart"/>
      <w:r w:rsidRPr="00A71291">
        <w:rPr>
          <w:sz w:val="24"/>
          <w:szCs w:val="24"/>
          <w:lang w:val="es-ES"/>
        </w:rPr>
        <w:t xml:space="preserve">,  </w:t>
      </w:r>
      <w:proofErr w:type="spellStart"/>
      <w:r w:rsidRPr="00A71291">
        <w:rPr>
          <w:sz w:val="24"/>
          <w:szCs w:val="24"/>
          <w:lang w:val="es-ES"/>
        </w:rPr>
        <w:t>Hepp</w:t>
      </w:r>
      <w:proofErr w:type="spellEnd"/>
      <w:proofErr w:type="gramEnd"/>
      <w:r w:rsidRPr="00A71291">
        <w:rPr>
          <w:sz w:val="24"/>
          <w:szCs w:val="24"/>
          <w:lang w:val="es-ES"/>
        </w:rPr>
        <w:t xml:space="preserve"> C. (Eds.). </w:t>
      </w:r>
      <w:proofErr w:type="spellStart"/>
      <w:r w:rsidRPr="00A71291">
        <w:rPr>
          <w:sz w:val="24"/>
          <w:szCs w:val="24"/>
          <w:lang w:val="es-ES"/>
        </w:rPr>
        <w:t>Bulletin</w:t>
      </w:r>
      <w:proofErr w:type="spellEnd"/>
      <w:r w:rsidRPr="00A71291">
        <w:rPr>
          <w:sz w:val="24"/>
          <w:szCs w:val="24"/>
          <w:lang w:val="es-ES"/>
        </w:rPr>
        <w:t xml:space="preserve"> INIA (Instituto de Investigaciones Agropecuarias) </w:t>
      </w:r>
      <w:proofErr w:type="spellStart"/>
      <w:r w:rsidRPr="00A71291">
        <w:rPr>
          <w:sz w:val="24"/>
          <w:szCs w:val="24"/>
          <w:lang w:val="es-ES"/>
        </w:rPr>
        <w:t>N°</w:t>
      </w:r>
      <w:proofErr w:type="spellEnd"/>
      <w:r w:rsidRPr="00A71291">
        <w:rPr>
          <w:sz w:val="24"/>
          <w:szCs w:val="24"/>
          <w:lang w:val="es-ES"/>
        </w:rPr>
        <w:t xml:space="preserve"> 299. </w:t>
      </w:r>
      <w:proofErr w:type="spellStart"/>
      <w:r w:rsidRPr="00A71291">
        <w:rPr>
          <w:sz w:val="24"/>
          <w:szCs w:val="24"/>
        </w:rPr>
        <w:t>Coyhaique</w:t>
      </w:r>
      <w:proofErr w:type="spellEnd"/>
      <w:r w:rsidRPr="00A71291">
        <w:rPr>
          <w:sz w:val="24"/>
          <w:szCs w:val="24"/>
        </w:rPr>
        <w:t>, Chile. (</w:t>
      </w:r>
      <w:proofErr w:type="gramStart"/>
      <w:r w:rsidRPr="00A71291">
        <w:rPr>
          <w:sz w:val="24"/>
          <w:szCs w:val="24"/>
        </w:rPr>
        <w:t>in</w:t>
      </w:r>
      <w:proofErr w:type="gramEnd"/>
      <w:r w:rsidRPr="00A71291">
        <w:rPr>
          <w:sz w:val="24"/>
          <w:szCs w:val="24"/>
        </w:rPr>
        <w:t xml:space="preserve"> Spanish); 11 = CNR (1997). Comprehensive study of irrigation and drainage of Magellan, XII Region, vol 2 (in Spanish).</w:t>
      </w:r>
    </w:p>
    <w:p w14:paraId="2BD5E3E1" w14:textId="77777777" w:rsidR="00613552" w:rsidRPr="00A71291" w:rsidRDefault="00613552" w:rsidP="00613552">
      <w:pPr>
        <w:spacing w:after="0" w:line="480" w:lineRule="auto"/>
        <w:rPr>
          <w:sz w:val="24"/>
          <w:szCs w:val="24"/>
        </w:rPr>
      </w:pPr>
      <w:r w:rsidRPr="00A71291">
        <w:rPr>
          <w:noProof/>
          <w:sz w:val="24"/>
          <w:szCs w:val="24"/>
          <w:lang w:val="de-CH"/>
        </w:rPr>
        <w:lastRenderedPageBreak/>
        <w:drawing>
          <wp:anchor distT="0" distB="0" distL="114300" distR="114300" simplePos="0" relativeHeight="251659264" behindDoc="0" locked="0" layoutInCell="1" allowOverlap="1" wp14:anchorId="4FF8161C" wp14:editId="7B751F36">
            <wp:simplePos x="0" y="0"/>
            <wp:positionH relativeFrom="column">
              <wp:posOffset>-476250</wp:posOffset>
            </wp:positionH>
            <wp:positionV relativeFrom="paragraph">
              <wp:posOffset>0</wp:posOffset>
            </wp:positionV>
            <wp:extent cx="6544800" cy="7963200"/>
            <wp:effectExtent l="0" t="0" r="8890" b="0"/>
            <wp:wrapSquare wrapText="bothSides"/>
            <wp:docPr id="4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a:extLst>
                        <a:ext uri="{28A0092B-C50C-407E-A947-70E740481C1C}">
                          <a14:useLocalDpi xmlns:a14="http://schemas.microsoft.com/office/drawing/2010/main" val="0"/>
                        </a:ext>
                      </a:extLst>
                    </a:blip>
                    <a:srcRect/>
                    <a:stretch>
                      <a:fillRect/>
                    </a:stretch>
                  </pic:blipFill>
                  <pic:spPr>
                    <a:xfrm>
                      <a:off x="0" y="0"/>
                      <a:ext cx="6544800" cy="7963200"/>
                    </a:xfrm>
                    <a:prstGeom prst="rect">
                      <a:avLst/>
                    </a:prstGeom>
                    <a:ln/>
                  </pic:spPr>
                </pic:pic>
              </a:graphicData>
            </a:graphic>
          </wp:anchor>
        </w:drawing>
      </w:r>
    </w:p>
    <w:p w14:paraId="4793F4DF" w14:textId="77777777" w:rsidR="00613552" w:rsidRPr="00A71291" w:rsidRDefault="00613552" w:rsidP="00613552">
      <w:pPr>
        <w:spacing w:after="0" w:line="480" w:lineRule="auto"/>
        <w:rPr>
          <w:color w:val="FF0000"/>
          <w:sz w:val="24"/>
          <w:szCs w:val="24"/>
        </w:rPr>
      </w:pPr>
    </w:p>
    <w:p w14:paraId="1225E974" w14:textId="77777777" w:rsidR="00613552" w:rsidRPr="00A71291" w:rsidRDefault="00613552" w:rsidP="00613552">
      <w:pPr>
        <w:spacing w:after="0" w:line="480" w:lineRule="auto"/>
        <w:jc w:val="both"/>
        <w:rPr>
          <w:b/>
          <w:sz w:val="24"/>
          <w:szCs w:val="24"/>
        </w:rPr>
      </w:pPr>
    </w:p>
    <w:p w14:paraId="5379C3D5" w14:textId="77777777" w:rsidR="00613552" w:rsidRPr="00A71291" w:rsidRDefault="00613552" w:rsidP="00613552">
      <w:pPr>
        <w:spacing w:after="0" w:line="480" w:lineRule="auto"/>
        <w:jc w:val="both"/>
        <w:rPr>
          <w:b/>
          <w:sz w:val="24"/>
          <w:szCs w:val="24"/>
        </w:rPr>
      </w:pPr>
    </w:p>
    <w:p w14:paraId="015AA12B" w14:textId="77777777" w:rsidR="00613552" w:rsidRPr="00A71291" w:rsidRDefault="00613552" w:rsidP="00613552">
      <w:pPr>
        <w:spacing w:after="0" w:line="480" w:lineRule="auto"/>
        <w:jc w:val="both"/>
        <w:rPr>
          <w:b/>
          <w:sz w:val="24"/>
          <w:szCs w:val="24"/>
        </w:rPr>
      </w:pPr>
      <w:r w:rsidRPr="00A71291">
        <w:rPr>
          <w:b/>
          <w:sz w:val="24"/>
          <w:szCs w:val="24"/>
        </w:rPr>
        <w:t xml:space="preserve">Table S2. Soil physicochemical and climatic variation along the gradient. </w:t>
      </w:r>
      <w:r w:rsidRPr="00A71291">
        <w:rPr>
          <w:sz w:val="24"/>
          <w:szCs w:val="24"/>
        </w:rPr>
        <w:t xml:space="preserve">Ranges of all soil physicochemical and climatic variables that were used for the </w:t>
      </w:r>
      <w:proofErr w:type="spellStart"/>
      <w:r w:rsidRPr="00A71291">
        <w:rPr>
          <w:sz w:val="24"/>
          <w:szCs w:val="24"/>
        </w:rPr>
        <w:t>rPCA</w:t>
      </w:r>
      <w:proofErr w:type="spellEnd"/>
      <w:r w:rsidRPr="00A71291">
        <w:rPr>
          <w:sz w:val="24"/>
          <w:szCs w:val="24"/>
        </w:rPr>
        <w:t xml:space="preserve"> for dimension reduction. </w:t>
      </w:r>
    </w:p>
    <w:p w14:paraId="0CE5997C" w14:textId="77777777" w:rsidR="00613552" w:rsidRPr="00A71291" w:rsidRDefault="00613552" w:rsidP="00613552">
      <w:pPr>
        <w:spacing w:after="0" w:line="480" w:lineRule="auto"/>
        <w:jc w:val="center"/>
        <w:rPr>
          <w:sz w:val="24"/>
          <w:szCs w:val="24"/>
        </w:rPr>
      </w:pPr>
      <w:r w:rsidRPr="008E32DD">
        <w:rPr>
          <w:noProof/>
          <w:sz w:val="24"/>
          <w:szCs w:val="24"/>
          <w:lang w:val="de-CH"/>
        </w:rPr>
        <w:drawing>
          <wp:inline distT="0" distB="0" distL="0" distR="0" wp14:anchorId="573B6229" wp14:editId="1C31AF5D">
            <wp:extent cx="4152900" cy="4953000"/>
            <wp:effectExtent l="0" t="0" r="0" b="0"/>
            <wp:docPr id="9" name="Picture 9">
              <a:extLst xmlns:a="http://schemas.openxmlformats.org/drawingml/2006/main">
                <a:ext uri="{FF2B5EF4-FFF2-40B4-BE49-F238E27FC236}">
                  <a16:creationId xmlns:a16="http://schemas.microsoft.com/office/drawing/2014/main" id="{DAB4C4AF-2BC3-41BE-BA5A-DAEEF29749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AB4C4AF-2BC3-41BE-BA5A-DAEEF29749F5}"/>
                        </a:ext>
                      </a:extLst>
                    </pic:cNvPr>
                    <pic:cNvPicPr>
                      <a:picLocks noChangeAspect="1"/>
                    </pic:cNvPicPr>
                  </pic:nvPicPr>
                  <pic:blipFill>
                    <a:blip r:embed="rId12"/>
                    <a:stretch>
                      <a:fillRect/>
                    </a:stretch>
                  </pic:blipFill>
                  <pic:spPr>
                    <a:xfrm>
                      <a:off x="0" y="0"/>
                      <a:ext cx="4152900" cy="4953000"/>
                    </a:xfrm>
                    <a:prstGeom prst="rect">
                      <a:avLst/>
                    </a:prstGeom>
                  </pic:spPr>
                </pic:pic>
              </a:graphicData>
            </a:graphic>
          </wp:inline>
        </w:drawing>
      </w:r>
    </w:p>
    <w:p w14:paraId="5F3DD9A0" w14:textId="77777777" w:rsidR="00613552" w:rsidRPr="00A71291" w:rsidRDefault="00613552" w:rsidP="00613552">
      <w:pPr>
        <w:spacing w:after="0" w:line="480" w:lineRule="auto"/>
        <w:jc w:val="center"/>
        <w:rPr>
          <w:sz w:val="24"/>
          <w:szCs w:val="24"/>
        </w:rPr>
      </w:pPr>
    </w:p>
    <w:p w14:paraId="62D2C193" w14:textId="77777777" w:rsidR="00613552" w:rsidRPr="00A71291" w:rsidRDefault="00613552" w:rsidP="00613552">
      <w:pPr>
        <w:spacing w:after="0" w:line="480" w:lineRule="auto"/>
        <w:jc w:val="center"/>
        <w:rPr>
          <w:sz w:val="24"/>
          <w:szCs w:val="24"/>
        </w:rPr>
      </w:pPr>
    </w:p>
    <w:p w14:paraId="4A5922E2" w14:textId="77777777" w:rsidR="00613552" w:rsidRPr="00A71291" w:rsidRDefault="00613552" w:rsidP="00613552">
      <w:pPr>
        <w:spacing w:after="0" w:line="480" w:lineRule="auto"/>
        <w:jc w:val="center"/>
        <w:rPr>
          <w:sz w:val="24"/>
          <w:szCs w:val="24"/>
        </w:rPr>
      </w:pPr>
    </w:p>
    <w:p w14:paraId="589C02F4" w14:textId="77777777" w:rsidR="00613552" w:rsidRDefault="00613552" w:rsidP="00613552">
      <w:pPr>
        <w:spacing w:line="480" w:lineRule="auto"/>
        <w:jc w:val="both"/>
        <w:rPr>
          <w:b/>
          <w:sz w:val="24"/>
          <w:szCs w:val="24"/>
        </w:rPr>
      </w:pPr>
    </w:p>
    <w:p w14:paraId="742A3616" w14:textId="77777777" w:rsidR="00613552" w:rsidRDefault="00613552" w:rsidP="00613552">
      <w:pPr>
        <w:spacing w:line="480" w:lineRule="auto"/>
        <w:jc w:val="both"/>
        <w:rPr>
          <w:b/>
          <w:sz w:val="24"/>
          <w:szCs w:val="24"/>
        </w:rPr>
      </w:pPr>
    </w:p>
    <w:p w14:paraId="1269D5F8" w14:textId="77777777" w:rsidR="00613552" w:rsidRDefault="00613552" w:rsidP="00613552">
      <w:pPr>
        <w:spacing w:line="480" w:lineRule="auto"/>
        <w:jc w:val="both"/>
        <w:rPr>
          <w:b/>
          <w:sz w:val="24"/>
          <w:szCs w:val="24"/>
        </w:rPr>
      </w:pPr>
    </w:p>
    <w:p w14:paraId="014234D5" w14:textId="77777777" w:rsidR="00613552" w:rsidRPr="00A71291" w:rsidRDefault="00613552" w:rsidP="00613552">
      <w:pPr>
        <w:spacing w:line="480" w:lineRule="auto"/>
        <w:jc w:val="both"/>
        <w:rPr>
          <w:sz w:val="24"/>
          <w:szCs w:val="24"/>
        </w:rPr>
      </w:pPr>
      <w:r w:rsidRPr="00A71291">
        <w:rPr>
          <w:b/>
          <w:sz w:val="24"/>
          <w:szCs w:val="24"/>
        </w:rPr>
        <w:t>Table S3. Regression analysis of SOC quantities and qualities in the fractions with bulk SOC</w:t>
      </w:r>
      <w:r w:rsidRPr="00A71291">
        <w:rPr>
          <w:b/>
          <w:sz w:val="24"/>
          <w:szCs w:val="24"/>
          <w:vertAlign w:val="subscript"/>
        </w:rPr>
        <w:t>%</w:t>
      </w:r>
      <w:r w:rsidRPr="00A71291">
        <w:rPr>
          <w:b/>
          <w:sz w:val="24"/>
          <w:szCs w:val="24"/>
        </w:rPr>
        <w:t xml:space="preserve">. </w:t>
      </w:r>
      <w:r w:rsidRPr="00A71291">
        <w:rPr>
          <w:sz w:val="24"/>
          <w:szCs w:val="24"/>
        </w:rPr>
        <w:t>* BP-test not possible in models that have zero-intercept; **C</w:t>
      </w:r>
      <w:r w:rsidRPr="00A71291">
        <w:rPr>
          <w:sz w:val="24"/>
          <w:szCs w:val="24"/>
          <w:vertAlign w:val="subscript"/>
        </w:rPr>
        <w:t>TOT</w:t>
      </w:r>
      <w:r w:rsidRPr="00A71291">
        <w:rPr>
          <w:sz w:val="24"/>
          <w:szCs w:val="24"/>
        </w:rPr>
        <w:t xml:space="preserve"> of POM is forced through zero and has one outlier.</w:t>
      </w:r>
      <w:r>
        <w:rPr>
          <w:sz w:val="24"/>
          <w:szCs w:val="24"/>
        </w:rPr>
        <w:t xml:space="preserve"> Transf. = transformation of the dependent variable; BP = p-value of Breusch-Pagan test for homoscedasticity of model residuals; SW = p-value of Shapiro-Wilk test for homoscedasticity of model residuals.</w:t>
      </w:r>
    </w:p>
    <w:p w14:paraId="63F18985" w14:textId="77777777" w:rsidR="00613552" w:rsidRPr="00A71291" w:rsidRDefault="00613552" w:rsidP="00613552">
      <w:pPr>
        <w:spacing w:line="480" w:lineRule="auto"/>
        <w:jc w:val="center"/>
        <w:rPr>
          <w:sz w:val="24"/>
          <w:szCs w:val="24"/>
        </w:rPr>
      </w:pPr>
      <w:r w:rsidRPr="008E32DD">
        <w:rPr>
          <w:noProof/>
          <w:sz w:val="24"/>
          <w:szCs w:val="24"/>
          <w:lang w:val="de-CH"/>
        </w:rPr>
        <w:drawing>
          <wp:inline distT="0" distB="0" distL="0" distR="0" wp14:anchorId="39214EEA" wp14:editId="4DDD2F77">
            <wp:extent cx="5731510" cy="2105025"/>
            <wp:effectExtent l="0" t="0" r="2540" b="9525"/>
            <wp:docPr id="10" name="Picture 3">
              <a:extLst xmlns:a="http://schemas.openxmlformats.org/drawingml/2006/main">
                <a:ext uri="{FF2B5EF4-FFF2-40B4-BE49-F238E27FC236}">
                  <a16:creationId xmlns:a16="http://schemas.microsoft.com/office/drawing/2014/main" id="{86EB189B-B286-4C2C-A66B-DAB36120FB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6EB189B-B286-4C2C-A66B-DAB36120FB74}"/>
                        </a:ext>
                      </a:extLst>
                    </pic:cNvPr>
                    <pic:cNvPicPr>
                      <a:picLocks noChangeAspect="1"/>
                    </pic:cNvPicPr>
                  </pic:nvPicPr>
                  <pic:blipFill>
                    <a:blip r:embed="rId13"/>
                    <a:stretch>
                      <a:fillRect/>
                    </a:stretch>
                  </pic:blipFill>
                  <pic:spPr>
                    <a:xfrm>
                      <a:off x="0" y="0"/>
                      <a:ext cx="5731510" cy="2105025"/>
                    </a:xfrm>
                    <a:prstGeom prst="rect">
                      <a:avLst/>
                    </a:prstGeom>
                  </pic:spPr>
                </pic:pic>
              </a:graphicData>
            </a:graphic>
          </wp:inline>
        </w:drawing>
      </w:r>
    </w:p>
    <w:p w14:paraId="4435B1B9" w14:textId="77777777" w:rsidR="00613552" w:rsidRPr="00A71291" w:rsidRDefault="00613552" w:rsidP="00613552">
      <w:pPr>
        <w:spacing w:after="0" w:line="480" w:lineRule="auto"/>
        <w:jc w:val="both"/>
        <w:rPr>
          <w:sz w:val="24"/>
          <w:szCs w:val="24"/>
        </w:rPr>
      </w:pPr>
    </w:p>
    <w:p w14:paraId="5AEFD58E" w14:textId="77777777" w:rsidR="00613552" w:rsidRDefault="00613552" w:rsidP="00613552">
      <w:pPr>
        <w:spacing w:after="0" w:line="480" w:lineRule="auto"/>
        <w:jc w:val="both"/>
        <w:rPr>
          <w:b/>
          <w:sz w:val="24"/>
          <w:szCs w:val="24"/>
        </w:rPr>
      </w:pPr>
    </w:p>
    <w:p w14:paraId="3DE09023" w14:textId="77777777" w:rsidR="00613552" w:rsidRDefault="00613552" w:rsidP="00613552">
      <w:pPr>
        <w:spacing w:after="0" w:line="480" w:lineRule="auto"/>
        <w:jc w:val="both"/>
        <w:rPr>
          <w:b/>
          <w:sz w:val="24"/>
          <w:szCs w:val="24"/>
        </w:rPr>
      </w:pPr>
    </w:p>
    <w:p w14:paraId="6B06699A" w14:textId="77777777" w:rsidR="00613552" w:rsidRDefault="00613552" w:rsidP="00613552">
      <w:pPr>
        <w:spacing w:after="0" w:line="480" w:lineRule="auto"/>
        <w:jc w:val="both"/>
        <w:rPr>
          <w:b/>
          <w:sz w:val="24"/>
          <w:szCs w:val="24"/>
        </w:rPr>
      </w:pPr>
    </w:p>
    <w:p w14:paraId="700E1F72" w14:textId="77777777" w:rsidR="00613552" w:rsidRDefault="00613552" w:rsidP="00613552">
      <w:pPr>
        <w:spacing w:after="0" w:line="480" w:lineRule="auto"/>
        <w:jc w:val="both"/>
        <w:rPr>
          <w:b/>
          <w:sz w:val="24"/>
          <w:szCs w:val="24"/>
        </w:rPr>
      </w:pPr>
    </w:p>
    <w:p w14:paraId="68D944D5" w14:textId="77777777" w:rsidR="00613552" w:rsidRDefault="00613552" w:rsidP="00613552">
      <w:pPr>
        <w:spacing w:after="0" w:line="480" w:lineRule="auto"/>
        <w:jc w:val="both"/>
        <w:rPr>
          <w:b/>
          <w:sz w:val="24"/>
          <w:szCs w:val="24"/>
        </w:rPr>
      </w:pPr>
    </w:p>
    <w:p w14:paraId="72329949" w14:textId="77777777" w:rsidR="00613552" w:rsidRDefault="00613552" w:rsidP="00613552">
      <w:pPr>
        <w:spacing w:after="0" w:line="480" w:lineRule="auto"/>
        <w:jc w:val="both"/>
        <w:rPr>
          <w:b/>
          <w:sz w:val="24"/>
          <w:szCs w:val="24"/>
        </w:rPr>
      </w:pPr>
    </w:p>
    <w:p w14:paraId="1A2F73AB" w14:textId="77777777" w:rsidR="00613552" w:rsidRDefault="00613552" w:rsidP="00613552">
      <w:pPr>
        <w:spacing w:after="0" w:line="480" w:lineRule="auto"/>
        <w:jc w:val="both"/>
        <w:rPr>
          <w:b/>
          <w:sz w:val="24"/>
          <w:szCs w:val="24"/>
        </w:rPr>
      </w:pPr>
    </w:p>
    <w:p w14:paraId="29751B33" w14:textId="77777777" w:rsidR="00613552" w:rsidRDefault="00613552" w:rsidP="00613552">
      <w:pPr>
        <w:spacing w:after="0" w:line="480" w:lineRule="auto"/>
        <w:jc w:val="both"/>
        <w:rPr>
          <w:b/>
          <w:sz w:val="24"/>
          <w:szCs w:val="24"/>
        </w:rPr>
      </w:pPr>
    </w:p>
    <w:p w14:paraId="0CA13039" w14:textId="77777777" w:rsidR="00613552" w:rsidRDefault="00613552" w:rsidP="00613552">
      <w:pPr>
        <w:spacing w:after="0" w:line="480" w:lineRule="auto"/>
        <w:jc w:val="both"/>
        <w:rPr>
          <w:b/>
          <w:sz w:val="24"/>
          <w:szCs w:val="24"/>
        </w:rPr>
      </w:pPr>
    </w:p>
    <w:p w14:paraId="1EC3B321" w14:textId="77777777" w:rsidR="00613552" w:rsidRDefault="00613552" w:rsidP="00613552">
      <w:pPr>
        <w:spacing w:after="0" w:line="480" w:lineRule="auto"/>
        <w:jc w:val="both"/>
        <w:rPr>
          <w:b/>
          <w:sz w:val="24"/>
          <w:szCs w:val="24"/>
        </w:rPr>
      </w:pPr>
    </w:p>
    <w:p w14:paraId="54BBCA36" w14:textId="77777777" w:rsidR="00613552" w:rsidRDefault="00613552" w:rsidP="00613552">
      <w:pPr>
        <w:spacing w:after="0" w:line="480" w:lineRule="auto"/>
        <w:jc w:val="both"/>
        <w:rPr>
          <w:b/>
          <w:sz w:val="24"/>
          <w:szCs w:val="24"/>
        </w:rPr>
      </w:pPr>
    </w:p>
    <w:p w14:paraId="43494F8F" w14:textId="77777777" w:rsidR="00613552" w:rsidRPr="00A71291" w:rsidRDefault="00613552" w:rsidP="00613552">
      <w:pPr>
        <w:spacing w:after="0" w:line="480" w:lineRule="auto"/>
        <w:jc w:val="both"/>
        <w:rPr>
          <w:sz w:val="24"/>
          <w:szCs w:val="24"/>
        </w:rPr>
      </w:pPr>
      <w:r w:rsidRPr="00A71291">
        <w:rPr>
          <w:b/>
          <w:sz w:val="24"/>
          <w:szCs w:val="24"/>
        </w:rPr>
        <w:t xml:space="preserve">Table S4. Results of the </w:t>
      </w:r>
      <w:proofErr w:type="spellStart"/>
      <w:r w:rsidRPr="00A71291">
        <w:rPr>
          <w:b/>
          <w:sz w:val="24"/>
          <w:szCs w:val="24"/>
        </w:rPr>
        <w:t>rPCA</w:t>
      </w:r>
      <w:proofErr w:type="spellEnd"/>
      <w:r w:rsidRPr="00A71291">
        <w:rPr>
          <w:b/>
          <w:sz w:val="24"/>
          <w:szCs w:val="24"/>
        </w:rPr>
        <w:t xml:space="preserve"> for dimension reduction.</w:t>
      </w:r>
      <w:r w:rsidRPr="00A71291">
        <w:rPr>
          <w:sz w:val="24"/>
          <w:szCs w:val="24"/>
        </w:rPr>
        <w:t xml:space="preserve"> The six retained rotated components (RCs) with Eigenvalue &gt; 1 that resulted from this </w:t>
      </w:r>
      <w:proofErr w:type="spellStart"/>
      <w:r w:rsidRPr="00A71291">
        <w:rPr>
          <w:sz w:val="24"/>
          <w:szCs w:val="24"/>
        </w:rPr>
        <w:t>rPCA</w:t>
      </w:r>
      <w:proofErr w:type="spellEnd"/>
      <w:r w:rsidRPr="00A71291">
        <w:rPr>
          <w:sz w:val="24"/>
          <w:szCs w:val="24"/>
        </w:rPr>
        <w:t>. The top shows Eigenvalues and individual as well as cumulative variability explained by the RCs. Loadings are shown for all 22 input variables. Interpretation and naming of the RCs was based on variables with loadings ≥ 0.5 (highlighted), and the assigned names for the RCs are given at the top. OM Decomp. = OM Decomposition; Ped. Oxides = Pedogenic Oxides.</w:t>
      </w:r>
    </w:p>
    <w:p w14:paraId="6E7E07E6" w14:textId="77777777" w:rsidR="00613552" w:rsidRPr="00A71291" w:rsidRDefault="00613552" w:rsidP="00613552">
      <w:pPr>
        <w:spacing w:after="0" w:line="480" w:lineRule="auto"/>
        <w:jc w:val="center"/>
        <w:rPr>
          <w:sz w:val="24"/>
          <w:szCs w:val="24"/>
        </w:rPr>
      </w:pPr>
      <w:r w:rsidRPr="008E32DD">
        <w:rPr>
          <w:noProof/>
          <w:sz w:val="24"/>
          <w:szCs w:val="24"/>
          <w:lang w:val="de-CH"/>
        </w:rPr>
        <w:drawing>
          <wp:inline distT="0" distB="0" distL="0" distR="0" wp14:anchorId="3972B482" wp14:editId="0083B5A0">
            <wp:extent cx="4923082" cy="4983330"/>
            <wp:effectExtent l="0" t="0" r="0" b="8255"/>
            <wp:docPr id="11" name="Picture 3">
              <a:extLst xmlns:a="http://schemas.openxmlformats.org/drawingml/2006/main">
                <a:ext uri="{FF2B5EF4-FFF2-40B4-BE49-F238E27FC236}">
                  <a16:creationId xmlns:a16="http://schemas.microsoft.com/office/drawing/2014/main" id="{0208F505-C2FF-4599-859F-4EE1FE264F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208F505-C2FF-4599-859F-4EE1FE264F64}"/>
                        </a:ext>
                      </a:extLst>
                    </pic:cNvPr>
                    <pic:cNvPicPr>
                      <a:picLocks noChangeAspect="1"/>
                    </pic:cNvPicPr>
                  </pic:nvPicPr>
                  <pic:blipFill>
                    <a:blip r:embed="rId14"/>
                    <a:stretch>
                      <a:fillRect/>
                    </a:stretch>
                  </pic:blipFill>
                  <pic:spPr>
                    <a:xfrm>
                      <a:off x="0" y="0"/>
                      <a:ext cx="4923082" cy="4983330"/>
                    </a:xfrm>
                    <a:prstGeom prst="rect">
                      <a:avLst/>
                    </a:prstGeom>
                  </pic:spPr>
                </pic:pic>
              </a:graphicData>
            </a:graphic>
          </wp:inline>
        </w:drawing>
      </w:r>
    </w:p>
    <w:p w14:paraId="7401F26B" w14:textId="77777777" w:rsidR="00613552" w:rsidRPr="00A71291" w:rsidRDefault="00613552" w:rsidP="00613552">
      <w:pPr>
        <w:spacing w:after="0" w:line="480" w:lineRule="auto"/>
        <w:jc w:val="both"/>
        <w:rPr>
          <w:b/>
          <w:sz w:val="24"/>
          <w:szCs w:val="24"/>
        </w:rPr>
      </w:pPr>
    </w:p>
    <w:p w14:paraId="09BDFA6C" w14:textId="77777777" w:rsidR="00613552" w:rsidRDefault="00613552" w:rsidP="00613552">
      <w:pPr>
        <w:spacing w:after="0" w:line="480" w:lineRule="auto"/>
        <w:jc w:val="both"/>
        <w:rPr>
          <w:b/>
          <w:sz w:val="24"/>
          <w:szCs w:val="24"/>
        </w:rPr>
      </w:pPr>
    </w:p>
    <w:p w14:paraId="583CA4F9" w14:textId="77777777" w:rsidR="00613552" w:rsidRPr="00A71291" w:rsidRDefault="00613552" w:rsidP="00613552">
      <w:pPr>
        <w:spacing w:after="0" w:line="480" w:lineRule="auto"/>
        <w:jc w:val="both"/>
        <w:rPr>
          <w:sz w:val="24"/>
          <w:szCs w:val="24"/>
        </w:rPr>
      </w:pPr>
      <w:r w:rsidRPr="00A71291">
        <w:rPr>
          <w:b/>
          <w:sz w:val="24"/>
          <w:szCs w:val="24"/>
        </w:rPr>
        <w:lastRenderedPageBreak/>
        <w:t xml:space="preserve">Table S5. </w:t>
      </w:r>
      <w:r w:rsidRPr="00A71291">
        <w:rPr>
          <w:sz w:val="24"/>
          <w:szCs w:val="24"/>
        </w:rPr>
        <w:t>Comparison of performances of the simple linear model (SLM), linear model allowing for interactions (ILM) and non-linear random forest model for each predicted SOC variable. The model with the best performance is highlighted in yellow.</w:t>
      </w:r>
      <w:r w:rsidRPr="00D57C3E">
        <w:rPr>
          <w:sz w:val="24"/>
          <w:szCs w:val="24"/>
        </w:rPr>
        <w:t xml:space="preserve"> </w:t>
      </w:r>
      <w:r>
        <w:rPr>
          <w:sz w:val="24"/>
          <w:szCs w:val="24"/>
        </w:rPr>
        <w:t>Transf. = transformation of the dependent variable;</w:t>
      </w:r>
      <w:r w:rsidRPr="00A71291">
        <w:rPr>
          <w:sz w:val="24"/>
          <w:szCs w:val="24"/>
        </w:rPr>
        <w:t xml:space="preserve"> BP = p-value of Breusch-Pagan test for homoscedasticity of model residuals; SW = p-value of Shapiro-Wilk test for homoscedasticity of model residuals.</w:t>
      </w:r>
    </w:p>
    <w:p w14:paraId="2991D6F3" w14:textId="77777777" w:rsidR="00613552" w:rsidRPr="00A71291" w:rsidRDefault="00613552" w:rsidP="00613552">
      <w:pPr>
        <w:spacing w:after="0" w:line="480" w:lineRule="auto"/>
        <w:jc w:val="center"/>
        <w:rPr>
          <w:sz w:val="24"/>
          <w:szCs w:val="24"/>
        </w:rPr>
      </w:pPr>
      <w:r w:rsidRPr="008E32DD">
        <w:rPr>
          <w:noProof/>
          <w:sz w:val="24"/>
          <w:szCs w:val="24"/>
          <w:lang w:val="de-CH"/>
        </w:rPr>
        <w:drawing>
          <wp:inline distT="0" distB="0" distL="0" distR="0" wp14:anchorId="57DB58CC" wp14:editId="14EA6141">
            <wp:extent cx="5731510" cy="2366010"/>
            <wp:effectExtent l="0" t="0" r="2540" b="0"/>
            <wp:docPr id="12" name="Picture 2">
              <a:extLst xmlns:a="http://schemas.openxmlformats.org/drawingml/2006/main">
                <a:ext uri="{FF2B5EF4-FFF2-40B4-BE49-F238E27FC236}">
                  <a16:creationId xmlns:a16="http://schemas.microsoft.com/office/drawing/2014/main" id="{576E97C8-07B5-4F38-B1FD-241E6CCBCC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76E97C8-07B5-4F38-B1FD-241E6CCBCCB1}"/>
                        </a:ext>
                      </a:extLst>
                    </pic:cNvPr>
                    <pic:cNvPicPr>
                      <a:picLocks noChangeAspect="1"/>
                    </pic:cNvPicPr>
                  </pic:nvPicPr>
                  <pic:blipFill>
                    <a:blip r:embed="rId15"/>
                    <a:stretch>
                      <a:fillRect/>
                    </a:stretch>
                  </pic:blipFill>
                  <pic:spPr>
                    <a:xfrm>
                      <a:off x="0" y="0"/>
                      <a:ext cx="5731510" cy="2366010"/>
                    </a:xfrm>
                    <a:prstGeom prst="rect">
                      <a:avLst/>
                    </a:prstGeom>
                  </pic:spPr>
                </pic:pic>
              </a:graphicData>
            </a:graphic>
          </wp:inline>
        </w:drawing>
      </w:r>
    </w:p>
    <w:p w14:paraId="5AEFF0BB" w14:textId="77777777" w:rsidR="00613552" w:rsidRPr="00A71291" w:rsidRDefault="00613552" w:rsidP="00613552">
      <w:pPr>
        <w:spacing w:line="480" w:lineRule="auto"/>
        <w:rPr>
          <w:sz w:val="24"/>
          <w:szCs w:val="24"/>
        </w:rPr>
      </w:pPr>
    </w:p>
    <w:p w14:paraId="41F32893" w14:textId="77777777" w:rsidR="00613552" w:rsidRPr="00A71291" w:rsidRDefault="00613552" w:rsidP="00613552">
      <w:pPr>
        <w:spacing w:after="0" w:line="480" w:lineRule="auto"/>
        <w:jc w:val="both"/>
        <w:rPr>
          <w:b/>
          <w:sz w:val="24"/>
          <w:szCs w:val="24"/>
        </w:rPr>
      </w:pPr>
    </w:p>
    <w:p w14:paraId="286865CC" w14:textId="77777777" w:rsidR="00613552" w:rsidRPr="00A71291" w:rsidRDefault="00613552" w:rsidP="00613552">
      <w:pPr>
        <w:spacing w:after="0" w:line="480" w:lineRule="auto"/>
        <w:jc w:val="both"/>
        <w:rPr>
          <w:sz w:val="24"/>
          <w:szCs w:val="24"/>
        </w:rPr>
      </w:pPr>
    </w:p>
    <w:p w14:paraId="48160725" w14:textId="77777777" w:rsidR="00613552" w:rsidRPr="00A71291" w:rsidRDefault="00613552" w:rsidP="00613552">
      <w:pPr>
        <w:spacing w:after="0" w:line="480" w:lineRule="auto"/>
        <w:jc w:val="right"/>
        <w:rPr>
          <w:sz w:val="24"/>
          <w:szCs w:val="24"/>
        </w:rPr>
      </w:pPr>
    </w:p>
    <w:p w14:paraId="101CED96" w14:textId="77777777" w:rsidR="00613552" w:rsidRPr="00A71291" w:rsidRDefault="00613552" w:rsidP="00613552">
      <w:pPr>
        <w:spacing w:after="0" w:line="480" w:lineRule="auto"/>
        <w:jc w:val="both"/>
        <w:rPr>
          <w:sz w:val="24"/>
          <w:szCs w:val="24"/>
        </w:rPr>
      </w:pPr>
    </w:p>
    <w:p w14:paraId="40D3507C" w14:textId="77777777" w:rsidR="00613552" w:rsidRPr="00A71291" w:rsidRDefault="00613552" w:rsidP="00613552">
      <w:pPr>
        <w:spacing w:after="0" w:line="480" w:lineRule="auto"/>
        <w:jc w:val="both"/>
        <w:rPr>
          <w:sz w:val="24"/>
          <w:szCs w:val="24"/>
        </w:rPr>
      </w:pPr>
    </w:p>
    <w:p w14:paraId="05C37958" w14:textId="77777777" w:rsidR="00613552" w:rsidRPr="00A71291" w:rsidRDefault="00613552" w:rsidP="00613552">
      <w:pPr>
        <w:spacing w:after="0" w:line="480" w:lineRule="auto"/>
        <w:jc w:val="both"/>
        <w:rPr>
          <w:b/>
          <w:sz w:val="24"/>
          <w:szCs w:val="24"/>
        </w:rPr>
      </w:pPr>
    </w:p>
    <w:p w14:paraId="3712E5B5" w14:textId="77777777" w:rsidR="00613552" w:rsidRDefault="00613552" w:rsidP="00613552">
      <w:pPr>
        <w:spacing w:after="0" w:line="480" w:lineRule="auto"/>
        <w:jc w:val="both"/>
        <w:rPr>
          <w:b/>
          <w:sz w:val="24"/>
          <w:szCs w:val="24"/>
        </w:rPr>
      </w:pPr>
    </w:p>
    <w:p w14:paraId="6B032831" w14:textId="77777777" w:rsidR="00613552" w:rsidRDefault="00613552" w:rsidP="00613552">
      <w:pPr>
        <w:spacing w:after="0" w:line="480" w:lineRule="auto"/>
        <w:jc w:val="both"/>
        <w:rPr>
          <w:b/>
          <w:sz w:val="24"/>
          <w:szCs w:val="24"/>
        </w:rPr>
      </w:pPr>
    </w:p>
    <w:p w14:paraId="7329DF07" w14:textId="77777777" w:rsidR="00613552" w:rsidRDefault="00613552" w:rsidP="00613552">
      <w:pPr>
        <w:spacing w:after="0" w:line="480" w:lineRule="auto"/>
        <w:jc w:val="both"/>
        <w:rPr>
          <w:b/>
          <w:sz w:val="24"/>
          <w:szCs w:val="24"/>
        </w:rPr>
      </w:pPr>
    </w:p>
    <w:p w14:paraId="285DF9DE" w14:textId="77777777" w:rsidR="00613552" w:rsidRDefault="00613552" w:rsidP="00613552">
      <w:pPr>
        <w:spacing w:after="0" w:line="480" w:lineRule="auto"/>
        <w:jc w:val="both"/>
        <w:rPr>
          <w:b/>
          <w:sz w:val="24"/>
          <w:szCs w:val="24"/>
        </w:rPr>
      </w:pPr>
    </w:p>
    <w:p w14:paraId="384789E6" w14:textId="77777777" w:rsidR="00613552" w:rsidRPr="00A71291" w:rsidRDefault="00613552" w:rsidP="00613552">
      <w:pPr>
        <w:spacing w:after="0" w:line="480" w:lineRule="auto"/>
        <w:jc w:val="both"/>
        <w:rPr>
          <w:sz w:val="24"/>
          <w:szCs w:val="24"/>
        </w:rPr>
      </w:pPr>
      <w:r w:rsidRPr="00A71291">
        <w:rPr>
          <w:noProof/>
          <w:sz w:val="24"/>
          <w:szCs w:val="24"/>
          <w:lang w:val="de-CH"/>
        </w:rPr>
        <w:lastRenderedPageBreak/>
        <w:drawing>
          <wp:anchor distT="0" distB="0" distL="114300" distR="114300" simplePos="0" relativeHeight="251660288" behindDoc="0" locked="0" layoutInCell="1" allowOverlap="1" wp14:anchorId="7EA1C311" wp14:editId="1EC555D2">
            <wp:simplePos x="0" y="0"/>
            <wp:positionH relativeFrom="column">
              <wp:posOffset>476250</wp:posOffset>
            </wp:positionH>
            <wp:positionV relativeFrom="paragraph">
              <wp:posOffset>371601</wp:posOffset>
            </wp:positionV>
            <wp:extent cx="4368866" cy="8343900"/>
            <wp:effectExtent l="0" t="0" r="0" b="0"/>
            <wp:wrapSquare wrapText="bothSides"/>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extLst>
                        <a:ext uri="{28A0092B-C50C-407E-A947-70E740481C1C}">
                          <a14:useLocalDpi xmlns:a14="http://schemas.microsoft.com/office/drawing/2010/main" val="0"/>
                        </a:ext>
                      </a:extLst>
                    </a:blip>
                    <a:srcRect/>
                    <a:stretch>
                      <a:fillRect/>
                    </a:stretch>
                  </pic:blipFill>
                  <pic:spPr>
                    <a:xfrm>
                      <a:off x="0" y="0"/>
                      <a:ext cx="4368866" cy="8343900"/>
                    </a:xfrm>
                    <a:prstGeom prst="rect">
                      <a:avLst/>
                    </a:prstGeom>
                    <a:ln/>
                  </pic:spPr>
                </pic:pic>
              </a:graphicData>
            </a:graphic>
          </wp:anchor>
        </w:drawing>
      </w:r>
      <w:r w:rsidRPr="00A71291">
        <w:rPr>
          <w:b/>
          <w:sz w:val="24"/>
          <w:szCs w:val="24"/>
        </w:rPr>
        <w:t>Table S6. General site information.</w:t>
      </w:r>
      <w:r w:rsidRPr="00A71291">
        <w:rPr>
          <w:sz w:val="24"/>
          <w:szCs w:val="24"/>
        </w:rPr>
        <w:t xml:space="preserve"> Site IDs refer to the numbers as used in Figure 1.</w:t>
      </w:r>
    </w:p>
    <w:p w14:paraId="2B8204A3" w14:textId="77777777" w:rsidR="00613552" w:rsidRPr="00A71291" w:rsidRDefault="00613552" w:rsidP="00613552">
      <w:pPr>
        <w:spacing w:after="0" w:line="480" w:lineRule="auto"/>
        <w:jc w:val="both"/>
        <w:rPr>
          <w:sz w:val="24"/>
          <w:szCs w:val="24"/>
        </w:rPr>
      </w:pPr>
    </w:p>
    <w:p w14:paraId="35F8B104" w14:textId="77777777" w:rsidR="00613552" w:rsidRPr="00B91144" w:rsidRDefault="00613552" w:rsidP="00613552">
      <w:pPr>
        <w:spacing w:after="0" w:line="480" w:lineRule="auto"/>
        <w:jc w:val="both"/>
        <w:rPr>
          <w:b/>
          <w:sz w:val="24"/>
          <w:szCs w:val="24"/>
        </w:rPr>
        <w:sectPr w:rsidR="00613552" w:rsidRPr="00B91144" w:rsidSect="004F3DE5">
          <w:pgSz w:w="11906" w:h="16838"/>
          <w:pgMar w:top="1440" w:right="1440" w:bottom="1440" w:left="1440" w:header="708" w:footer="708" w:gutter="0"/>
          <w:cols w:space="720"/>
          <w:docGrid w:linePitch="299"/>
        </w:sectPr>
      </w:pPr>
    </w:p>
    <w:p w14:paraId="20ABAB17" w14:textId="77777777" w:rsidR="00613552" w:rsidRPr="00A71291" w:rsidRDefault="00613552" w:rsidP="00613552">
      <w:pPr>
        <w:spacing w:line="480" w:lineRule="auto"/>
        <w:jc w:val="both"/>
        <w:rPr>
          <w:sz w:val="24"/>
          <w:szCs w:val="24"/>
        </w:rPr>
      </w:pPr>
      <w:r w:rsidRPr="00A71291">
        <w:rPr>
          <w:b/>
          <w:sz w:val="24"/>
          <w:szCs w:val="24"/>
        </w:rPr>
        <w:lastRenderedPageBreak/>
        <w:t xml:space="preserve">Table S7. Vegetation information of sampling sites.  </w:t>
      </w:r>
      <w:r w:rsidRPr="00A71291">
        <w:rPr>
          <w:sz w:val="24"/>
          <w:szCs w:val="24"/>
        </w:rPr>
        <w:t xml:space="preserve">Site IDs refer to the numbers as used in Figure 1. Literature used for metadata is indexed with numbers from 1 – 11 (see caption </w:t>
      </w:r>
      <w:r>
        <w:rPr>
          <w:sz w:val="24"/>
          <w:szCs w:val="24"/>
        </w:rPr>
        <w:t>Table</w:t>
      </w:r>
      <w:r w:rsidRPr="00A71291">
        <w:rPr>
          <w:sz w:val="24"/>
          <w:szCs w:val="24"/>
        </w:rPr>
        <w:t xml:space="preserve"> S1).</w:t>
      </w:r>
    </w:p>
    <w:p w14:paraId="74CF5384" w14:textId="77777777" w:rsidR="00613552" w:rsidRPr="00A71291" w:rsidRDefault="00613552" w:rsidP="00613552">
      <w:pPr>
        <w:spacing w:line="480" w:lineRule="auto"/>
        <w:jc w:val="center"/>
        <w:rPr>
          <w:sz w:val="24"/>
          <w:szCs w:val="24"/>
        </w:rPr>
      </w:pPr>
      <w:r w:rsidRPr="008E32DD">
        <w:rPr>
          <w:noProof/>
          <w:sz w:val="24"/>
          <w:szCs w:val="24"/>
          <w:lang w:val="de-CH"/>
        </w:rPr>
        <w:drawing>
          <wp:inline distT="0" distB="0" distL="0" distR="0" wp14:anchorId="137A0979" wp14:editId="4BCA1291">
            <wp:extent cx="4706418" cy="6798757"/>
            <wp:effectExtent l="0" t="0" r="0" b="2540"/>
            <wp:docPr id="13" name="Picture 5">
              <a:extLst xmlns:a="http://schemas.openxmlformats.org/drawingml/2006/main">
                <a:ext uri="{FF2B5EF4-FFF2-40B4-BE49-F238E27FC236}">
                  <a16:creationId xmlns:a16="http://schemas.microsoft.com/office/drawing/2014/main" id="{DD77C397-6C45-4CB4-AD66-70876F4428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D77C397-6C45-4CB4-AD66-70876F442805}"/>
                        </a:ext>
                      </a:extLst>
                    </pic:cNvPr>
                    <pic:cNvPicPr>
                      <a:picLocks noChangeAspect="1"/>
                    </pic:cNvPicPr>
                  </pic:nvPicPr>
                  <pic:blipFill>
                    <a:blip r:embed="rId17"/>
                    <a:stretch>
                      <a:fillRect/>
                    </a:stretch>
                  </pic:blipFill>
                  <pic:spPr>
                    <a:xfrm>
                      <a:off x="0" y="0"/>
                      <a:ext cx="4706418" cy="6798757"/>
                    </a:xfrm>
                    <a:prstGeom prst="rect">
                      <a:avLst/>
                    </a:prstGeom>
                  </pic:spPr>
                </pic:pic>
              </a:graphicData>
            </a:graphic>
          </wp:inline>
        </w:drawing>
      </w:r>
    </w:p>
    <w:p w14:paraId="50C3D7B4" w14:textId="77777777" w:rsidR="00613552" w:rsidRPr="00A71291" w:rsidRDefault="00613552" w:rsidP="00613552">
      <w:pPr>
        <w:spacing w:after="0" w:line="480" w:lineRule="auto"/>
        <w:jc w:val="both"/>
        <w:rPr>
          <w:b/>
          <w:sz w:val="24"/>
          <w:szCs w:val="24"/>
        </w:rPr>
      </w:pPr>
    </w:p>
    <w:p w14:paraId="0436EBD6" w14:textId="77777777" w:rsidR="00613552" w:rsidRPr="00A71291" w:rsidRDefault="00613552" w:rsidP="00613552">
      <w:pPr>
        <w:spacing w:after="0" w:line="480" w:lineRule="auto"/>
        <w:jc w:val="both"/>
        <w:rPr>
          <w:b/>
          <w:sz w:val="24"/>
          <w:szCs w:val="24"/>
        </w:rPr>
      </w:pPr>
    </w:p>
    <w:p w14:paraId="16098610" w14:textId="234F6597" w:rsidR="00061D35" w:rsidRPr="00613552" w:rsidRDefault="00613552" w:rsidP="00613552">
      <w:pPr>
        <w:spacing w:after="0" w:line="480" w:lineRule="auto"/>
        <w:jc w:val="both"/>
        <w:rPr>
          <w:sz w:val="24"/>
          <w:szCs w:val="24"/>
        </w:rPr>
      </w:pPr>
      <w:r>
        <w:rPr>
          <w:noProof/>
          <w:lang w:val="de-CH"/>
        </w:rPr>
        <w:drawing>
          <wp:anchor distT="0" distB="0" distL="114300" distR="114300" simplePos="0" relativeHeight="251661312" behindDoc="0" locked="0" layoutInCell="1" allowOverlap="1" wp14:anchorId="22371394" wp14:editId="35F6D282">
            <wp:simplePos x="0" y="0"/>
            <wp:positionH relativeFrom="margin">
              <wp:align>center</wp:align>
            </wp:positionH>
            <wp:positionV relativeFrom="paragraph">
              <wp:posOffset>1098874</wp:posOffset>
            </wp:positionV>
            <wp:extent cx="6480000" cy="21924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l="5841" t="28352" r="41899" b="24519"/>
                    <a:stretch/>
                  </pic:blipFill>
                  <pic:spPr bwMode="auto">
                    <a:xfrm>
                      <a:off x="0" y="0"/>
                      <a:ext cx="6480000" cy="2192400"/>
                    </a:xfrm>
                    <a:prstGeom prst="rect">
                      <a:avLst/>
                    </a:prstGeom>
                    <a:ln>
                      <a:noFill/>
                    </a:ln>
                    <a:extLst>
                      <a:ext uri="{53640926-AAD7-44D8-BBD7-CCE9431645EC}">
                        <a14:shadowObscured xmlns:a14="http://schemas.microsoft.com/office/drawing/2010/main"/>
                      </a:ext>
                    </a:extLst>
                  </pic:spPr>
                </pic:pic>
              </a:graphicData>
            </a:graphic>
          </wp:anchor>
        </w:drawing>
      </w:r>
      <w:r w:rsidRPr="00A71291">
        <w:rPr>
          <w:b/>
          <w:sz w:val="24"/>
          <w:szCs w:val="24"/>
        </w:rPr>
        <w:t>Table S8. Summary of quantitative and qualitative SOC data of the three isolated fractions.</w:t>
      </w:r>
      <w:r w:rsidRPr="00A71291">
        <w:rPr>
          <w:b/>
          <w:color w:val="FF0000"/>
          <w:sz w:val="24"/>
          <w:szCs w:val="24"/>
        </w:rPr>
        <w:t xml:space="preserve"> </w:t>
      </w:r>
      <w:r w:rsidRPr="00A71291">
        <w:rPr>
          <w:sz w:val="24"/>
          <w:szCs w:val="24"/>
        </w:rPr>
        <w:t xml:space="preserve">Shown without outliers, which were removed based on Cochran’s C test. Thus, DRIFTS-values </w:t>
      </w:r>
      <w:proofErr w:type="spellStart"/>
      <w:r w:rsidRPr="00A71291">
        <w:rPr>
          <w:sz w:val="24"/>
          <w:szCs w:val="24"/>
        </w:rPr>
        <w:t>n</w:t>
      </w:r>
      <w:r w:rsidRPr="00A71291">
        <w:rPr>
          <w:sz w:val="24"/>
          <w:szCs w:val="24"/>
          <w:vertAlign w:val="subscript"/>
        </w:rPr>
        <w:t>SA</w:t>
      </w:r>
      <w:proofErr w:type="spellEnd"/>
      <w:r w:rsidRPr="00A71291">
        <w:rPr>
          <w:sz w:val="24"/>
          <w:szCs w:val="24"/>
        </w:rPr>
        <w:t xml:space="preserve"> = 35, </w:t>
      </w:r>
      <w:proofErr w:type="spellStart"/>
      <w:r w:rsidRPr="00A71291">
        <w:rPr>
          <w:sz w:val="24"/>
          <w:szCs w:val="24"/>
        </w:rPr>
        <w:t>n</w:t>
      </w:r>
      <w:r w:rsidRPr="00A71291">
        <w:rPr>
          <w:sz w:val="24"/>
          <w:szCs w:val="24"/>
          <w:vertAlign w:val="subscript"/>
        </w:rPr>
        <w:t>S+C</w:t>
      </w:r>
      <w:proofErr w:type="spellEnd"/>
      <w:r w:rsidRPr="00A71291">
        <w:rPr>
          <w:sz w:val="24"/>
          <w:szCs w:val="24"/>
        </w:rPr>
        <w:t xml:space="preserve"> = 34, </w:t>
      </w:r>
      <w:proofErr w:type="spellStart"/>
      <w:r w:rsidRPr="00A71291">
        <w:rPr>
          <w:sz w:val="24"/>
          <w:szCs w:val="24"/>
        </w:rPr>
        <w:t>n</w:t>
      </w:r>
      <w:r w:rsidRPr="00A71291">
        <w:rPr>
          <w:sz w:val="24"/>
          <w:szCs w:val="24"/>
          <w:vertAlign w:val="subscript"/>
        </w:rPr>
        <w:t>POM</w:t>
      </w:r>
      <w:proofErr w:type="spellEnd"/>
      <w:r w:rsidRPr="00A71291">
        <w:rPr>
          <w:sz w:val="24"/>
          <w:szCs w:val="24"/>
        </w:rPr>
        <w:t xml:space="preserve"> = 28; else n = 35.</w:t>
      </w:r>
    </w:p>
    <w:sectPr w:rsidR="00061D35" w:rsidRPr="00613552" w:rsidSect="00613552">
      <w:footerReference w:type="default" r:id="rId19"/>
      <w:pgSz w:w="11906" w:h="16838"/>
      <w:pgMar w:top="1440" w:right="1440" w:bottom="1440" w:left="1440" w:header="708" w:footer="708"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6927A" w14:textId="77777777" w:rsidR="00D26B3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18</w:t>
    </w:r>
    <w:r>
      <w:rPr>
        <w:color w:val="000000"/>
      </w:rPr>
      <w:fldChar w:fldCharType="end"/>
    </w:r>
  </w:p>
  <w:p w14:paraId="065E3694" w14:textId="77777777" w:rsidR="00D26B39" w:rsidRDefault="00000000">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1FCDD" w14:textId="77777777" w:rsidR="00D26B3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65</w:t>
    </w:r>
    <w:r>
      <w:rPr>
        <w:color w:val="000000"/>
      </w:rPr>
      <w:fldChar w:fldCharType="end"/>
    </w:r>
  </w:p>
  <w:p w14:paraId="24BEAC96" w14:textId="77777777" w:rsidR="00D26B39" w:rsidRDefault="00000000">
    <w:pPr>
      <w:pBdr>
        <w:top w:val="nil"/>
        <w:left w:val="nil"/>
        <w:bottom w:val="nil"/>
        <w:right w:val="nil"/>
        <w:between w:val="nil"/>
      </w:pBdr>
      <w:tabs>
        <w:tab w:val="center" w:pos="4680"/>
        <w:tab w:val="right" w:pos="9360"/>
      </w:tabs>
      <w:spacing w:after="0" w:line="240" w:lineRule="auto"/>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552"/>
    <w:rsid w:val="00061D35"/>
    <w:rsid w:val="0026615C"/>
    <w:rsid w:val="003624EB"/>
    <w:rsid w:val="00613552"/>
    <w:rsid w:val="00671F0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9A8C1"/>
  <w15:chartTrackingRefBased/>
  <w15:docId w15:val="{F2E3C18D-1FC0-4314-88B4-5C429D3F3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552"/>
    <w:rPr>
      <w:rFonts w:ascii="Calibri" w:eastAsia="Calibri" w:hAnsi="Calibri" w:cs="Calibri"/>
      <w:lang w:val="en-US" w:eastAsia="de-CH"/>
    </w:rPr>
  </w:style>
  <w:style w:type="paragraph" w:styleId="Heading1">
    <w:name w:val="heading 1"/>
    <w:basedOn w:val="Normal"/>
    <w:next w:val="Normal"/>
    <w:link w:val="Heading1Char"/>
    <w:uiPriority w:val="9"/>
    <w:qFormat/>
    <w:rsid w:val="00613552"/>
    <w:pPr>
      <w:keepNext/>
      <w:keepLines/>
      <w:spacing w:after="0" w:line="240" w:lineRule="auto"/>
      <w:outlineLvl w:val="0"/>
    </w:pPr>
    <w:rPr>
      <w:b/>
      <w:sz w:val="26"/>
      <w:szCs w:val="26"/>
    </w:rPr>
  </w:style>
  <w:style w:type="paragraph" w:styleId="Heading2">
    <w:name w:val="heading 2"/>
    <w:basedOn w:val="Normal"/>
    <w:next w:val="Normal"/>
    <w:link w:val="Heading2Char"/>
    <w:uiPriority w:val="9"/>
    <w:unhideWhenUsed/>
    <w:qFormat/>
    <w:rsid w:val="00613552"/>
    <w:pPr>
      <w:keepNext/>
      <w:keepLines/>
      <w:spacing w:after="0" w:line="240" w:lineRule="auto"/>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552"/>
    <w:rPr>
      <w:rFonts w:ascii="Calibri" w:eastAsia="Calibri" w:hAnsi="Calibri" w:cs="Calibri"/>
      <w:b/>
      <w:sz w:val="26"/>
      <w:szCs w:val="26"/>
      <w:lang w:val="en-US" w:eastAsia="de-CH"/>
    </w:rPr>
  </w:style>
  <w:style w:type="character" w:customStyle="1" w:styleId="Heading2Char">
    <w:name w:val="Heading 2 Char"/>
    <w:basedOn w:val="DefaultParagraphFont"/>
    <w:link w:val="Heading2"/>
    <w:uiPriority w:val="9"/>
    <w:rsid w:val="00613552"/>
    <w:rPr>
      <w:rFonts w:ascii="Calibri" w:eastAsia="Calibri" w:hAnsi="Calibri" w:cs="Calibri"/>
      <w:b/>
      <w:lang w:val="en-US" w:eastAsia="de-CH"/>
    </w:rPr>
  </w:style>
  <w:style w:type="character" w:styleId="LineNumber">
    <w:name w:val="line number"/>
    <w:basedOn w:val="DefaultParagraphFont"/>
    <w:uiPriority w:val="99"/>
    <w:semiHidden/>
    <w:unhideWhenUsed/>
    <w:rsid w:val="00613552"/>
  </w:style>
  <w:style w:type="paragraph" w:styleId="Bibliography">
    <w:name w:val="Bibliography"/>
    <w:basedOn w:val="Normal"/>
    <w:next w:val="Normal"/>
    <w:uiPriority w:val="37"/>
    <w:unhideWhenUsed/>
    <w:rsid w:val="00613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emf"/><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0.emf"/><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38A5B3-4419-466A-A2B6-E1C62AF25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12382</Words>
  <Characters>78007</Characters>
  <Application>Microsoft Office Word</Application>
  <DocSecurity>0</DocSecurity>
  <Lines>650</Lines>
  <Paragraphs>180</Paragraphs>
  <ScaleCrop>false</ScaleCrop>
  <Company/>
  <LinksUpToDate>false</LinksUpToDate>
  <CharactersWithSpaces>90209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Wasner  Daniel</dc:creator>
  <cp:keywords/>
  <dc:description/>
  <cp:lastModifiedBy>Wasner  Daniel</cp:lastModifiedBy>
  <cp:revision>1</cp:revision>
  <dcterms:created xsi:type="dcterms:W3CDTF">2023-04-25T00:53:00Z</dcterms:created>
  <dcterms:modified xsi:type="dcterms:W3CDTF">2023-04-25T00:58:00Z</dcterms:modified>
</cp:coreProperties>
</file>