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CCA837" w14:textId="77777777" w:rsidR="00FB6511" w:rsidRDefault="00FB6511" w:rsidP="00FB6511">
      <w:pPr>
        <w:pStyle w:val="Heading1"/>
        <w:rPr>
          <w:b/>
          <w:bCs/>
          <w:sz w:val="24"/>
          <w:szCs w:val="24"/>
          <w:lang w:val="en-US"/>
        </w:rPr>
      </w:pPr>
      <w:r>
        <w:rPr>
          <w:b/>
          <w:bCs/>
          <w:sz w:val="24"/>
          <w:szCs w:val="24"/>
          <w:lang w:val="en-US"/>
        </w:rPr>
        <w:t>Supplemental Data</w:t>
      </w:r>
    </w:p>
    <w:p w14:paraId="4D5E14E1" w14:textId="77777777" w:rsidR="00FB6511" w:rsidRDefault="00FB6511" w:rsidP="00FB6511">
      <w:pPr>
        <w:rPr>
          <w:lang w:val="en-US"/>
        </w:rPr>
      </w:pPr>
      <w:r>
        <w:rPr>
          <w:noProof/>
          <w:lang w:val="en-US"/>
        </w:rPr>
        <mc:AlternateContent>
          <mc:Choice Requires="wps">
            <w:drawing>
              <wp:anchor distT="0" distB="0" distL="114300" distR="114300" simplePos="0" relativeHeight="251659264" behindDoc="0" locked="0" layoutInCell="1" allowOverlap="1" wp14:anchorId="1D58A1F7" wp14:editId="6C4A4B22">
                <wp:simplePos x="0" y="0"/>
                <wp:positionH relativeFrom="column">
                  <wp:posOffset>-92075</wp:posOffset>
                </wp:positionH>
                <wp:positionV relativeFrom="paragraph">
                  <wp:posOffset>111260</wp:posOffset>
                </wp:positionV>
                <wp:extent cx="6384925" cy="5249902"/>
                <wp:effectExtent l="0" t="0" r="3175" b="0"/>
                <wp:wrapNone/>
                <wp:docPr id="49" name="Text Box 49"/>
                <wp:cNvGraphicFramePr/>
                <a:graphic xmlns:a="http://schemas.openxmlformats.org/drawingml/2006/main">
                  <a:graphicData uri="http://schemas.microsoft.com/office/word/2010/wordprocessingShape">
                    <wps:wsp>
                      <wps:cNvSpPr txBox="1"/>
                      <wps:spPr>
                        <a:xfrm>
                          <a:off x="0" y="0"/>
                          <a:ext cx="6384925" cy="5249902"/>
                        </a:xfrm>
                        <a:prstGeom prst="rect">
                          <a:avLst/>
                        </a:prstGeom>
                        <a:solidFill>
                          <a:schemeClr val="lt1"/>
                        </a:solidFill>
                        <a:ln w="6350">
                          <a:noFill/>
                        </a:ln>
                      </wps:spPr>
                      <wps:txbx>
                        <w:txbxContent>
                          <w:p w14:paraId="32098F56" w14:textId="77777777" w:rsidR="00FB6511" w:rsidRDefault="00FB6511" w:rsidP="00FB6511">
                            <w:r w:rsidRPr="00471649">
                              <w:rPr>
                                <w:b/>
                                <w:bCs/>
                              </w:rPr>
                              <w:t xml:space="preserve">Supplemental Figure 1. In Vitro Phenotype and Functional Characterization of HUVEC and MSCs. </w:t>
                            </w:r>
                            <w:r w:rsidRPr="00471649">
                              <w:t>(A) HUVECs on Matrigel coated plasticware exhibit angiogenesis tube formation compared to culture on uncoated plastic. (B) Immunophenotype of HUVECs demonstrate positive cell surface markers CD31 (PECAM-1) and CD144 (VE-Cadherin). (C) Trilineage differentiation of MSCs into adipocytes, osteocytes, and chondrocytes were achieve</w:t>
                            </w:r>
                            <w:r>
                              <w:t>d</w:t>
                            </w:r>
                            <w:r w:rsidRPr="00471649">
                              <w:t xml:space="preserve"> after 14-day culture in appropriate differentiation media. Control media for adipogenesis and osteogenesis was standard MSC Growth Media (Promocell) containing 5% FBS. Note the formation of small cartilage pellet (white arrow) when MSCs are cultured in chondrogenic differentiation media. (D) Immunophenotype of MSCs demonstrate positive cell surface markers CD90, CD73, and CD44 as well as negative markers CD34, CD11b, CD19, and CD45. Representative microscopy images shown from n = 3 replicates. Scale Bars: 200 µm. Both HUVEC and MSCs were used at passage 5 for all flow cytometry and functional assay experiments.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58A1F7" id="_x0000_t202" coordsize="21600,21600" o:spt="202" path="m,l,21600r21600,l21600,xe">
                <v:stroke joinstyle="miter"/>
                <v:path gradientshapeok="t" o:connecttype="rect"/>
              </v:shapetype>
              <v:shape id="Text Box 49" o:spid="_x0000_s1026" type="#_x0000_t202" style="position:absolute;margin-left:-7.25pt;margin-top:8.75pt;width:502.75pt;height:4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" fillcolor="white [3201]" stroked="f" strokeweight=".5pt">
                <v:textbox>
                  <w:txbxContent>
                    <w:p w14:paraId="32098F56" w14:textId="77777777" w:rsidR="00FB6511" w:rsidRDefault="00FB6511" w:rsidP="00FB6511">
                      <w:r w:rsidRPr="00471649">
                        <w:rPr>
                          <w:b/>
                          <w:bCs/>
                        </w:rPr>
                        <w:t xml:space="preserve">Supplemental Figure 1. In Vitro Phenotype and Functional Characterization of HUVEC and MSCs. </w:t>
                      </w:r>
                      <w:r w:rsidRPr="00471649">
                        <w:t>(A) HUVECs on Matrigel coated plasticware exhibit angiogenesis tube formation compared to culture on uncoated plastic. (B) Immunophenotype of HUVECs demonstrate positive cell surface markers CD31 (PECAM-1) and CD144 (VE-Cadherin). (C) Trilineage differentiation of MSCs into adipocytes, osteocytes, and chondrocytes were achieve</w:t>
                      </w:r>
                      <w:r>
                        <w:t>d</w:t>
                      </w:r>
                      <w:r w:rsidRPr="00471649">
                        <w:t xml:space="preserve"> after 14-day culture in appropriate differentiation media. Control media for adipogenesis and osteogenesis was standard MSC Growth Media (Promocell) containing 5% FBS. Note the formation of small cartilage pellet (white arrow) when MSCs are cultured in chondrogenic differentiation media. (D) Immunophenotype of MSCs demonstrate positive cell surface markers CD90, CD73, and CD44 as well as negative markers CD34, CD11b, CD19, and CD45. Representative microscopy images shown from n = 3 replicates. Scale Bars: 200 µm. Both HUVEC and MSCs were used at passage 5 for all flow cytometry and functional assay experiments.</w:t>
                      </w:r>
                    </w:p>
                  </w:txbxContent>
                </v:textbox>
              </v:shape>
            </w:pict>
          </mc:Fallback>
        </mc:AlternateContent>
      </w:r>
      <w:r>
        <w:rPr>
          <w:noProof/>
          <w:lang w:val="en-US"/>
        </w:rPr>
        <w:drawing>
          <wp:anchor distT="0" distB="0" distL="114300" distR="114300" simplePos="0" relativeHeight="251660288" behindDoc="0" locked="0" layoutInCell="1" allowOverlap="1" wp14:anchorId="79313F59" wp14:editId="71583E07">
            <wp:simplePos x="0" y="0"/>
            <wp:positionH relativeFrom="column">
              <wp:posOffset>-194310</wp:posOffset>
            </wp:positionH>
            <wp:positionV relativeFrom="paragraph">
              <wp:posOffset>101764</wp:posOffset>
            </wp:positionV>
            <wp:extent cx="6409589" cy="2958957"/>
            <wp:effectExtent l="0" t="0" r="4445" b="635"/>
            <wp:wrapNone/>
            <wp:docPr id="48" name="Picture 4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application&#10;&#10;Description automatically generated"/>
                    <pic:cNvPicPr/>
                  </pic:nvPicPr>
                  <pic:blipFill>
                    <a:blip r:embed="rId4" cstate="email">
                      <a:extLst>
                        <a:ext uri="{28A0092B-C50C-407E-A947-70E740481C1C}">
                          <a14:useLocalDpi xmlns:a14="http://schemas.microsoft.com/office/drawing/2010/main"/>
                        </a:ext>
                      </a:extLst>
                    </a:blip>
                    <a:stretch>
                      <a:fillRect/>
                    </a:stretch>
                  </pic:blipFill>
                  <pic:spPr>
                    <a:xfrm>
                      <a:off x="0" y="0"/>
                      <a:ext cx="6409589" cy="2958957"/>
                    </a:xfrm>
                    <a:prstGeom prst="rect">
                      <a:avLst/>
                    </a:prstGeom>
                  </pic:spPr>
                </pic:pic>
              </a:graphicData>
            </a:graphic>
            <wp14:sizeRelH relativeFrom="page">
              <wp14:pctWidth>0</wp14:pctWidth>
            </wp14:sizeRelH>
            <wp14:sizeRelV relativeFrom="page">
              <wp14:pctHeight>0</wp14:pctHeight>
            </wp14:sizeRelV>
          </wp:anchor>
        </w:drawing>
      </w:r>
    </w:p>
    <w:p w14:paraId="2D53DFD8" w14:textId="77777777" w:rsidR="00FB6511" w:rsidRDefault="00FB6511" w:rsidP="00FB6511">
      <w:pPr>
        <w:rPr>
          <w:lang w:val="en-US"/>
        </w:rPr>
      </w:pPr>
    </w:p>
    <w:p w14:paraId="05BF2EB9" w14:textId="77777777" w:rsidR="00FB6511" w:rsidRDefault="00FB6511" w:rsidP="00FB6511">
      <w:pPr>
        <w:rPr>
          <w:lang w:val="en-US"/>
        </w:rPr>
      </w:pPr>
    </w:p>
    <w:p w14:paraId="12702D1A" w14:textId="77777777" w:rsidR="00FB6511" w:rsidRDefault="00FB6511" w:rsidP="00FB6511">
      <w:pPr>
        <w:rPr>
          <w:lang w:val="en-US"/>
        </w:rPr>
      </w:pPr>
    </w:p>
    <w:p w14:paraId="747EF344" w14:textId="77777777" w:rsidR="00FB6511" w:rsidRDefault="00FB6511" w:rsidP="00FB6511">
      <w:pPr>
        <w:rPr>
          <w:lang w:val="en-US"/>
        </w:rPr>
      </w:pPr>
    </w:p>
    <w:p w14:paraId="45477A14" w14:textId="77777777" w:rsidR="00FB6511" w:rsidRDefault="00FB6511" w:rsidP="00FB6511">
      <w:pPr>
        <w:rPr>
          <w:lang w:val="en-US"/>
        </w:rPr>
      </w:pPr>
    </w:p>
    <w:p w14:paraId="62232D33" w14:textId="77777777" w:rsidR="00FB6511" w:rsidRDefault="00FB6511" w:rsidP="00FB6511">
      <w:pPr>
        <w:rPr>
          <w:lang w:val="en-US"/>
        </w:rPr>
      </w:pPr>
    </w:p>
    <w:p w14:paraId="7A89F8DB" w14:textId="77777777" w:rsidR="00FB6511" w:rsidRDefault="00FB6511" w:rsidP="00FB6511">
      <w:pPr>
        <w:rPr>
          <w:lang w:val="en-US"/>
        </w:rPr>
      </w:pPr>
    </w:p>
    <w:p w14:paraId="1A1CE904" w14:textId="77777777" w:rsidR="00FB6511" w:rsidRDefault="00FB6511" w:rsidP="00FB6511">
      <w:pPr>
        <w:rPr>
          <w:lang w:val="en-US"/>
        </w:rPr>
      </w:pPr>
    </w:p>
    <w:p w14:paraId="6223F0E1" w14:textId="77777777" w:rsidR="00FB6511" w:rsidRDefault="00FB6511" w:rsidP="00FB6511">
      <w:pPr>
        <w:rPr>
          <w:lang w:val="en-US"/>
        </w:rPr>
      </w:pPr>
    </w:p>
    <w:p w14:paraId="17DCCAF2" w14:textId="77777777" w:rsidR="00FB6511" w:rsidRDefault="00FB6511" w:rsidP="00FB6511">
      <w:pPr>
        <w:rPr>
          <w:lang w:val="en-US"/>
        </w:rPr>
      </w:pPr>
    </w:p>
    <w:p w14:paraId="0C626C46" w14:textId="77777777" w:rsidR="00FB6511" w:rsidRDefault="00FB6511" w:rsidP="00FB6511">
      <w:pPr>
        <w:rPr>
          <w:lang w:val="en-US"/>
        </w:rPr>
      </w:pPr>
    </w:p>
    <w:p w14:paraId="36E08269" w14:textId="77777777" w:rsidR="00FB6511" w:rsidRDefault="00FB6511" w:rsidP="00FB6511">
      <w:pPr>
        <w:rPr>
          <w:lang w:val="en-US"/>
        </w:rPr>
      </w:pPr>
    </w:p>
    <w:p w14:paraId="5DF7CCD6" w14:textId="77777777" w:rsidR="00FB6511" w:rsidRDefault="00FB6511" w:rsidP="00FB6511">
      <w:pPr>
        <w:rPr>
          <w:lang w:val="en-US"/>
        </w:rPr>
      </w:pPr>
    </w:p>
    <w:p w14:paraId="067A0DA7" w14:textId="77777777" w:rsidR="00FB6511" w:rsidRDefault="00FB6511" w:rsidP="00FB6511">
      <w:pPr>
        <w:rPr>
          <w:lang w:val="en-US"/>
        </w:rPr>
      </w:pPr>
    </w:p>
    <w:p w14:paraId="136A8654" w14:textId="77777777" w:rsidR="00FB6511" w:rsidRDefault="00FB6511" w:rsidP="00FB6511">
      <w:pPr>
        <w:rPr>
          <w:lang w:val="en-US"/>
        </w:rPr>
      </w:pPr>
    </w:p>
    <w:p w14:paraId="78B00301" w14:textId="77777777" w:rsidR="00FB6511" w:rsidRDefault="00FB6511" w:rsidP="00FB6511">
      <w:pPr>
        <w:rPr>
          <w:lang w:val="en-US"/>
        </w:rPr>
      </w:pPr>
    </w:p>
    <w:p w14:paraId="137029F0" w14:textId="77777777" w:rsidR="00FB6511" w:rsidRDefault="00FB6511" w:rsidP="00FB6511">
      <w:pPr>
        <w:rPr>
          <w:lang w:val="en-US"/>
        </w:rPr>
      </w:pPr>
    </w:p>
    <w:p w14:paraId="5105974E" w14:textId="77777777" w:rsidR="00FB6511" w:rsidRDefault="00FB6511" w:rsidP="00FB6511">
      <w:pPr>
        <w:rPr>
          <w:lang w:val="en-US"/>
        </w:rPr>
      </w:pPr>
    </w:p>
    <w:p w14:paraId="5E8A713D" w14:textId="77777777" w:rsidR="00FB6511" w:rsidRDefault="00FB6511" w:rsidP="00FB6511">
      <w:pPr>
        <w:rPr>
          <w:lang w:val="en-US"/>
        </w:rPr>
      </w:pPr>
    </w:p>
    <w:p w14:paraId="00270C34" w14:textId="77777777" w:rsidR="00FB6511" w:rsidRDefault="00FB6511" w:rsidP="00FB6511">
      <w:pPr>
        <w:rPr>
          <w:lang w:val="en-US"/>
        </w:rPr>
      </w:pPr>
    </w:p>
    <w:p w14:paraId="750BCE9A" w14:textId="77777777" w:rsidR="00FB6511" w:rsidRDefault="00FB6511" w:rsidP="00FB6511">
      <w:pPr>
        <w:rPr>
          <w:lang w:val="en-US"/>
        </w:rPr>
      </w:pPr>
    </w:p>
    <w:p w14:paraId="6101CE20" w14:textId="77777777" w:rsidR="00FB6511" w:rsidRDefault="00FB6511" w:rsidP="00FB6511">
      <w:pPr>
        <w:rPr>
          <w:lang w:val="en-US"/>
        </w:rPr>
      </w:pPr>
    </w:p>
    <w:p w14:paraId="1D4D844F" w14:textId="77777777" w:rsidR="00FB6511" w:rsidRDefault="00FB6511" w:rsidP="00FB6511">
      <w:pPr>
        <w:rPr>
          <w:lang w:val="en-US"/>
        </w:rPr>
      </w:pPr>
    </w:p>
    <w:p w14:paraId="41D986A4" w14:textId="77777777" w:rsidR="00FB6511" w:rsidRDefault="00FB6511" w:rsidP="00FB6511">
      <w:pPr>
        <w:rPr>
          <w:lang w:val="en-US"/>
        </w:rPr>
      </w:pPr>
    </w:p>
    <w:p w14:paraId="510F2768" w14:textId="77777777" w:rsidR="00FB6511" w:rsidRDefault="00FB6511" w:rsidP="00FB6511">
      <w:pPr>
        <w:rPr>
          <w:lang w:val="en-US"/>
        </w:rPr>
      </w:pPr>
    </w:p>
    <w:p w14:paraId="4D6794DA" w14:textId="77777777" w:rsidR="00FB6511" w:rsidRDefault="00FB6511" w:rsidP="00FB6511">
      <w:pPr>
        <w:rPr>
          <w:lang w:val="en-US"/>
        </w:rPr>
      </w:pPr>
    </w:p>
    <w:p w14:paraId="19C64165" w14:textId="77777777" w:rsidR="00FB6511" w:rsidRDefault="00FB6511" w:rsidP="00FB6511">
      <w:pPr>
        <w:rPr>
          <w:lang w:val="en-US"/>
        </w:rPr>
      </w:pPr>
    </w:p>
    <w:p w14:paraId="65C77D21" w14:textId="77777777" w:rsidR="00FB6511" w:rsidRDefault="00FB6511" w:rsidP="00FB6511">
      <w:pPr>
        <w:rPr>
          <w:lang w:val="en-US"/>
        </w:rPr>
      </w:pPr>
    </w:p>
    <w:p w14:paraId="31185918" w14:textId="77777777" w:rsidR="00FB6511" w:rsidRDefault="00FB6511" w:rsidP="00FB6511">
      <w:pPr>
        <w:rPr>
          <w:lang w:val="en-US"/>
        </w:rPr>
      </w:pPr>
    </w:p>
    <w:p w14:paraId="0E1EBC19" w14:textId="77777777" w:rsidR="00FB6511" w:rsidRDefault="00FB6511" w:rsidP="00FB6511">
      <w:pPr>
        <w:rPr>
          <w:rFonts w:ascii="Times New Roman" w:hAnsi="Times New Roman" w:cs="Times New Roman"/>
          <w:b/>
          <w:bCs/>
          <w:lang w:val="en-US"/>
        </w:rPr>
      </w:pPr>
      <w:r w:rsidRPr="00C82E82">
        <w:rPr>
          <w:rFonts w:ascii="Times New Roman" w:hAnsi="Times New Roman" w:cs="Times New Roman"/>
          <w:b/>
          <w:bCs/>
          <w:lang w:val="en-US"/>
        </w:rPr>
        <w:t>Supplemental Methods</w:t>
      </w:r>
    </w:p>
    <w:p w14:paraId="4C22BE68" w14:textId="77777777" w:rsidR="00FB6511" w:rsidRDefault="00FB6511" w:rsidP="00FB6511">
      <w:pPr>
        <w:rPr>
          <w:rFonts w:ascii="Times New Roman" w:hAnsi="Times New Roman" w:cs="Times New Roman"/>
          <w:b/>
          <w:bCs/>
          <w:lang w:val="en-US"/>
        </w:rPr>
      </w:pPr>
    </w:p>
    <w:p w14:paraId="6BEF85E1" w14:textId="77777777" w:rsidR="00FB6511" w:rsidRPr="008F040D" w:rsidRDefault="00FB6511" w:rsidP="00FB6511">
      <w:pPr>
        <w:spacing w:line="480" w:lineRule="auto"/>
        <w:rPr>
          <w:rFonts w:ascii="Times New Roman" w:hAnsi="Times New Roman" w:cs="Times New Roman"/>
          <w:b/>
          <w:bCs/>
          <w:lang w:val="en-US"/>
        </w:rPr>
      </w:pPr>
      <w:r w:rsidRPr="00C82E82">
        <w:rPr>
          <w:rFonts w:ascii="Times New Roman" w:hAnsi="Times New Roman" w:cs="Times New Roman"/>
          <w:i/>
          <w:iCs/>
          <w:lang w:val="en-US"/>
        </w:rPr>
        <w:t>Flow Cytometry</w:t>
      </w:r>
    </w:p>
    <w:p w14:paraId="5EEFEA5E" w14:textId="77777777" w:rsidR="00FB6511" w:rsidRDefault="00FB6511" w:rsidP="00FB6511">
      <w:pPr>
        <w:spacing w:line="480" w:lineRule="auto"/>
        <w:ind w:firstLine="720"/>
        <w:rPr>
          <w:rFonts w:ascii="Times New Roman" w:hAnsi="Times New Roman" w:cs="Times New Roman"/>
          <w:lang w:val="en-US"/>
        </w:rPr>
      </w:pPr>
      <w:r w:rsidRPr="00C82E82">
        <w:rPr>
          <w:rFonts w:ascii="Times New Roman" w:hAnsi="Times New Roman" w:cs="Times New Roman"/>
          <w:lang w:val="en-US"/>
        </w:rPr>
        <w:t xml:space="preserve">In order to </w:t>
      </w:r>
      <w:r>
        <w:rPr>
          <w:rFonts w:ascii="Times New Roman" w:hAnsi="Times New Roman" w:cs="Times New Roman"/>
          <w:lang w:val="en-US"/>
        </w:rPr>
        <w:t xml:space="preserve">confirm </w:t>
      </w:r>
      <w:r w:rsidRPr="00C82E82">
        <w:rPr>
          <w:rFonts w:ascii="Times New Roman" w:hAnsi="Times New Roman" w:cs="Times New Roman"/>
          <w:lang w:val="en-US"/>
        </w:rPr>
        <w:t xml:space="preserve">endothelial </w:t>
      </w:r>
      <w:r>
        <w:rPr>
          <w:rFonts w:ascii="Times New Roman" w:hAnsi="Times New Roman" w:cs="Times New Roman"/>
          <w:lang w:val="en-US"/>
        </w:rPr>
        <w:t xml:space="preserve">cell </w:t>
      </w:r>
      <w:r w:rsidRPr="00C82E82">
        <w:rPr>
          <w:rFonts w:ascii="Times New Roman" w:hAnsi="Times New Roman" w:cs="Times New Roman"/>
          <w:lang w:val="en-US"/>
        </w:rPr>
        <w:t xml:space="preserve">phenotype, </w:t>
      </w:r>
      <w:r>
        <w:rPr>
          <w:rFonts w:ascii="Times New Roman" w:hAnsi="Times New Roman" w:cs="Times New Roman"/>
          <w:lang w:val="en-US"/>
        </w:rPr>
        <w:t xml:space="preserve">commercially obtained HUVEC (ATCC) </w:t>
      </w:r>
      <w:r w:rsidRPr="00C82E82">
        <w:rPr>
          <w:rFonts w:ascii="Times New Roman" w:hAnsi="Times New Roman" w:cs="Times New Roman"/>
          <w:lang w:val="en-US"/>
        </w:rPr>
        <w:t>at passage</w:t>
      </w:r>
      <w:r>
        <w:rPr>
          <w:rFonts w:ascii="Times New Roman" w:hAnsi="Times New Roman" w:cs="Times New Roman"/>
          <w:lang w:val="en-US"/>
        </w:rPr>
        <w:t xml:space="preserve"> 5</w:t>
      </w:r>
      <w:r w:rsidRPr="00C82E82">
        <w:rPr>
          <w:rFonts w:ascii="Times New Roman" w:hAnsi="Times New Roman" w:cs="Times New Roman"/>
          <w:lang w:val="en-US"/>
        </w:rPr>
        <w:t xml:space="preserve"> were</w:t>
      </w:r>
      <w:r>
        <w:rPr>
          <w:rFonts w:ascii="Times New Roman" w:hAnsi="Times New Roman" w:cs="Times New Roman"/>
          <w:lang w:val="en-US"/>
        </w:rPr>
        <w:t xml:space="preserve"> dissociated with trypsin-EDTA (Gibco) and single cell suspension was stained at a concentration of 1 x 10</w:t>
      </w:r>
      <w:r>
        <w:rPr>
          <w:rFonts w:ascii="Times New Roman" w:hAnsi="Times New Roman" w:cs="Times New Roman"/>
          <w:vertAlign w:val="superscript"/>
          <w:lang w:val="en-US"/>
        </w:rPr>
        <w:t>5</w:t>
      </w:r>
      <w:r>
        <w:rPr>
          <w:rFonts w:ascii="Times New Roman" w:hAnsi="Times New Roman" w:cs="Times New Roman"/>
          <w:lang w:val="en-US"/>
        </w:rPr>
        <w:t xml:space="preserve">/mL with </w:t>
      </w:r>
      <w:r w:rsidRPr="00C82E82">
        <w:rPr>
          <w:rFonts w:ascii="Times New Roman" w:hAnsi="Times New Roman" w:cs="Times New Roman"/>
          <w:lang w:val="en-US"/>
        </w:rPr>
        <w:t xml:space="preserve">monoclonal antibodies against </w:t>
      </w:r>
      <w:r>
        <w:rPr>
          <w:rFonts w:ascii="Times New Roman" w:hAnsi="Times New Roman" w:cs="Times New Roman"/>
          <w:lang w:val="en-US"/>
        </w:rPr>
        <w:t>CD31-FITC (BD Biosciences, USA</w:t>
      </w:r>
      <w:r w:rsidRPr="00C82E82">
        <w:rPr>
          <w:rFonts w:ascii="Times New Roman" w:hAnsi="Times New Roman" w:cs="Times New Roman"/>
          <w:lang w:val="en-US"/>
        </w:rPr>
        <w:t>),</w:t>
      </w:r>
      <w:r>
        <w:rPr>
          <w:rFonts w:ascii="Times New Roman" w:hAnsi="Times New Roman" w:cs="Times New Roman"/>
          <w:lang w:val="en-US"/>
        </w:rPr>
        <w:t xml:space="preserve"> </w:t>
      </w:r>
      <w:r w:rsidRPr="00C82E82">
        <w:rPr>
          <w:rFonts w:ascii="Times New Roman" w:hAnsi="Times New Roman" w:cs="Times New Roman"/>
          <w:lang w:val="en-US"/>
        </w:rPr>
        <w:t xml:space="preserve">and </w:t>
      </w:r>
      <w:r>
        <w:rPr>
          <w:rFonts w:ascii="Times New Roman" w:hAnsi="Times New Roman" w:cs="Times New Roman"/>
          <w:lang w:val="en-US"/>
        </w:rPr>
        <w:t>VE-Cadherin-APC (Novus Biologicals, USA</w:t>
      </w:r>
      <w:r w:rsidRPr="00C82E82">
        <w:rPr>
          <w:rFonts w:ascii="Times New Roman" w:hAnsi="Times New Roman" w:cs="Times New Roman"/>
          <w:lang w:val="en-US"/>
        </w:rPr>
        <w:t>)</w:t>
      </w:r>
      <w:r>
        <w:rPr>
          <w:rFonts w:ascii="Times New Roman" w:hAnsi="Times New Roman" w:cs="Times New Roman"/>
          <w:lang w:val="en-US"/>
        </w:rPr>
        <w:t xml:space="preserve"> after 1 hour incubation in the dark at room temperature</w:t>
      </w:r>
      <w:r w:rsidRPr="00C82E82">
        <w:rPr>
          <w:rFonts w:ascii="Times New Roman" w:hAnsi="Times New Roman" w:cs="Times New Roman"/>
          <w:lang w:val="en-US"/>
        </w:rPr>
        <w:t>.</w:t>
      </w:r>
    </w:p>
    <w:p w14:paraId="34FF0C10" w14:textId="77777777" w:rsidR="00FB6511" w:rsidRDefault="00FB6511" w:rsidP="00FB6511">
      <w:pPr>
        <w:spacing w:line="480" w:lineRule="auto"/>
        <w:ind w:firstLine="720"/>
        <w:rPr>
          <w:rFonts w:ascii="Times New Roman" w:hAnsi="Times New Roman" w:cs="Times New Roman"/>
          <w:lang w:val="en-US"/>
        </w:rPr>
      </w:pPr>
      <w:r>
        <w:rPr>
          <w:rFonts w:ascii="Times New Roman" w:hAnsi="Times New Roman" w:cs="Times New Roman"/>
          <w:lang w:val="en-US"/>
        </w:rPr>
        <w:lastRenderedPageBreak/>
        <w:t xml:space="preserve">For MSC phenotyping, commercially obtained bone-marrow derived MSC (Promocell) </w:t>
      </w:r>
      <w:r w:rsidRPr="00C82E82">
        <w:rPr>
          <w:rFonts w:ascii="Times New Roman" w:hAnsi="Times New Roman" w:cs="Times New Roman"/>
          <w:lang w:val="en-US"/>
        </w:rPr>
        <w:t>at passage</w:t>
      </w:r>
      <w:r>
        <w:rPr>
          <w:rFonts w:ascii="Times New Roman" w:hAnsi="Times New Roman" w:cs="Times New Roman"/>
          <w:lang w:val="en-US"/>
        </w:rPr>
        <w:t xml:space="preserve"> 5 were analyzed using the BD Stemflow Human MSC Analysis Kit (BD Biosciences). Cells were s</w:t>
      </w:r>
      <w:r w:rsidRPr="001B5EA7">
        <w:rPr>
          <w:rFonts w:ascii="Times New Roman" w:hAnsi="Times New Roman" w:cs="Times New Roman"/>
          <w:lang w:val="en-US"/>
        </w:rPr>
        <w:t>tained with the</w:t>
      </w:r>
      <w:r>
        <w:rPr>
          <w:rFonts w:ascii="Times New Roman" w:hAnsi="Times New Roman" w:cs="Times New Roman"/>
          <w:lang w:val="en-US"/>
        </w:rPr>
        <w:t xml:space="preserve"> included</w:t>
      </w:r>
      <w:r w:rsidRPr="001B5EA7">
        <w:rPr>
          <w:rFonts w:ascii="Times New Roman" w:hAnsi="Times New Roman" w:cs="Times New Roman"/>
          <w:lang w:val="en-US"/>
        </w:rPr>
        <w:t xml:space="preserve"> positive</w:t>
      </w:r>
      <w:r>
        <w:rPr>
          <w:rFonts w:ascii="Times New Roman" w:hAnsi="Times New Roman" w:cs="Times New Roman"/>
          <w:lang w:val="en-US"/>
        </w:rPr>
        <w:t xml:space="preserve"> phenotype antibody cocktail containing </w:t>
      </w:r>
      <w:r w:rsidRPr="001B5EA7">
        <w:rPr>
          <w:rFonts w:ascii="Times New Roman" w:hAnsi="Times New Roman" w:cs="Times New Roman"/>
          <w:lang w:val="en-US"/>
        </w:rPr>
        <w:t>CD90</w:t>
      </w:r>
      <w:r>
        <w:rPr>
          <w:rFonts w:ascii="Times New Roman" w:hAnsi="Times New Roman" w:cs="Times New Roman"/>
          <w:lang w:val="en-US"/>
        </w:rPr>
        <w:t>-</w:t>
      </w:r>
      <w:r w:rsidRPr="001B5EA7">
        <w:rPr>
          <w:rFonts w:ascii="Times New Roman" w:hAnsi="Times New Roman" w:cs="Times New Roman"/>
          <w:lang w:val="en-US"/>
        </w:rPr>
        <w:t>FITC</w:t>
      </w:r>
      <w:r>
        <w:rPr>
          <w:rFonts w:ascii="Times New Roman" w:hAnsi="Times New Roman" w:cs="Times New Roman"/>
          <w:lang w:val="en-US"/>
        </w:rPr>
        <w:t>, CD44-PE</w:t>
      </w:r>
      <w:r w:rsidRPr="001B5EA7">
        <w:rPr>
          <w:rFonts w:ascii="Times New Roman" w:hAnsi="Times New Roman" w:cs="Times New Roman"/>
          <w:lang w:val="en-US"/>
        </w:rPr>
        <w:t xml:space="preserve"> and CD73</w:t>
      </w:r>
      <w:r>
        <w:rPr>
          <w:rFonts w:ascii="Times New Roman" w:hAnsi="Times New Roman" w:cs="Times New Roman"/>
          <w:lang w:val="en-US"/>
        </w:rPr>
        <w:t>-</w:t>
      </w:r>
      <w:r w:rsidRPr="001B5EA7">
        <w:rPr>
          <w:rFonts w:ascii="Times New Roman" w:hAnsi="Times New Roman" w:cs="Times New Roman"/>
          <w:lang w:val="en-US"/>
        </w:rPr>
        <w:t>APC</w:t>
      </w:r>
      <w:r>
        <w:rPr>
          <w:rFonts w:ascii="Times New Roman" w:hAnsi="Times New Roman" w:cs="Times New Roman"/>
          <w:lang w:val="en-US"/>
        </w:rPr>
        <w:t xml:space="preserve"> fluorochromes in addition to </w:t>
      </w:r>
      <w:r w:rsidRPr="001B5EA7">
        <w:rPr>
          <w:rFonts w:ascii="Times New Roman" w:hAnsi="Times New Roman" w:cs="Times New Roman"/>
          <w:lang w:val="en-US"/>
        </w:rPr>
        <w:t xml:space="preserve">negative </w:t>
      </w:r>
      <w:r>
        <w:rPr>
          <w:rFonts w:ascii="Times New Roman" w:hAnsi="Times New Roman" w:cs="Times New Roman"/>
          <w:lang w:val="en-US"/>
        </w:rPr>
        <w:t xml:space="preserve">phenotype antibody </w:t>
      </w:r>
      <w:r w:rsidRPr="001B5EA7">
        <w:rPr>
          <w:rFonts w:ascii="Times New Roman" w:hAnsi="Times New Roman" w:cs="Times New Roman"/>
          <w:lang w:val="en-US"/>
        </w:rPr>
        <w:t>cocktail</w:t>
      </w:r>
      <w:r>
        <w:rPr>
          <w:rFonts w:ascii="Times New Roman" w:hAnsi="Times New Roman" w:cs="Times New Roman"/>
          <w:lang w:val="en-US"/>
        </w:rPr>
        <w:t xml:space="preserve"> containing </w:t>
      </w:r>
      <w:r w:rsidRPr="001B5EA7">
        <w:rPr>
          <w:rFonts w:ascii="Times New Roman" w:hAnsi="Times New Roman" w:cs="Times New Roman"/>
          <w:lang w:val="en-US"/>
        </w:rPr>
        <w:t>CD45</w:t>
      </w:r>
      <w:r>
        <w:rPr>
          <w:rFonts w:ascii="Times New Roman" w:hAnsi="Times New Roman" w:cs="Times New Roman"/>
          <w:lang w:val="en-US"/>
        </w:rPr>
        <w:t>-PE</w:t>
      </w:r>
      <w:r w:rsidRPr="001B5EA7">
        <w:rPr>
          <w:rFonts w:ascii="Times New Roman" w:hAnsi="Times New Roman" w:cs="Times New Roman"/>
          <w:lang w:val="en-US"/>
        </w:rPr>
        <w:t>,</w:t>
      </w:r>
      <w:r>
        <w:rPr>
          <w:rFonts w:ascii="Times New Roman" w:hAnsi="Times New Roman" w:cs="Times New Roman"/>
          <w:lang w:val="en-US"/>
        </w:rPr>
        <w:t xml:space="preserve"> </w:t>
      </w:r>
      <w:r w:rsidRPr="001B5EA7">
        <w:rPr>
          <w:rFonts w:ascii="Times New Roman" w:hAnsi="Times New Roman" w:cs="Times New Roman"/>
          <w:lang w:val="en-US"/>
        </w:rPr>
        <w:t>CD34</w:t>
      </w:r>
      <w:r>
        <w:rPr>
          <w:rFonts w:ascii="Times New Roman" w:hAnsi="Times New Roman" w:cs="Times New Roman"/>
          <w:lang w:val="en-US"/>
        </w:rPr>
        <w:t>-PE</w:t>
      </w:r>
      <w:r w:rsidRPr="001B5EA7">
        <w:rPr>
          <w:rFonts w:ascii="Times New Roman" w:hAnsi="Times New Roman" w:cs="Times New Roman"/>
          <w:lang w:val="en-US"/>
        </w:rPr>
        <w:t>, CD11b</w:t>
      </w:r>
      <w:r>
        <w:rPr>
          <w:rFonts w:ascii="Times New Roman" w:hAnsi="Times New Roman" w:cs="Times New Roman"/>
          <w:lang w:val="en-US"/>
        </w:rPr>
        <w:t>-PE</w:t>
      </w:r>
      <w:r w:rsidRPr="001B5EA7">
        <w:rPr>
          <w:rFonts w:ascii="Times New Roman" w:hAnsi="Times New Roman" w:cs="Times New Roman"/>
          <w:lang w:val="en-US"/>
        </w:rPr>
        <w:t>, CD19</w:t>
      </w:r>
      <w:r>
        <w:rPr>
          <w:rFonts w:ascii="Times New Roman" w:hAnsi="Times New Roman" w:cs="Times New Roman"/>
          <w:lang w:val="en-US"/>
        </w:rPr>
        <w:t>-PE</w:t>
      </w:r>
      <w:r w:rsidRPr="001B5EA7">
        <w:rPr>
          <w:rFonts w:ascii="Times New Roman" w:hAnsi="Times New Roman" w:cs="Times New Roman"/>
          <w:lang w:val="en-US"/>
        </w:rPr>
        <w:t xml:space="preserve"> and HLA-DR</w:t>
      </w:r>
      <w:r>
        <w:rPr>
          <w:rFonts w:ascii="Times New Roman" w:hAnsi="Times New Roman" w:cs="Times New Roman"/>
          <w:lang w:val="en-US"/>
        </w:rPr>
        <w:t>-PE fluorochromes after 1 hour incubation in the dark at room temperature.</w:t>
      </w:r>
    </w:p>
    <w:p w14:paraId="377E9B94" w14:textId="77777777" w:rsidR="00FB6511" w:rsidRDefault="00FB6511" w:rsidP="00FB6511">
      <w:pPr>
        <w:spacing w:line="480" w:lineRule="auto"/>
        <w:ind w:firstLine="720"/>
        <w:rPr>
          <w:rFonts w:ascii="Times New Roman" w:hAnsi="Times New Roman" w:cs="Times New Roman"/>
          <w:lang w:val="en-US"/>
        </w:rPr>
      </w:pPr>
      <w:r w:rsidRPr="00C82E82">
        <w:rPr>
          <w:rFonts w:ascii="Times New Roman" w:hAnsi="Times New Roman" w:cs="Times New Roman"/>
          <w:lang w:val="en-US"/>
        </w:rPr>
        <w:t xml:space="preserve">After incubation </w:t>
      </w:r>
      <w:r>
        <w:rPr>
          <w:rFonts w:ascii="Times New Roman" w:hAnsi="Times New Roman" w:cs="Times New Roman"/>
          <w:lang w:val="en-US"/>
        </w:rPr>
        <w:t xml:space="preserve">with staining antibody, all </w:t>
      </w:r>
      <w:r w:rsidRPr="00C82E82">
        <w:rPr>
          <w:rFonts w:ascii="Times New Roman" w:hAnsi="Times New Roman" w:cs="Times New Roman"/>
          <w:lang w:val="en-US"/>
        </w:rPr>
        <w:t xml:space="preserve">cells were washed </w:t>
      </w:r>
      <w:r>
        <w:rPr>
          <w:rFonts w:ascii="Times New Roman" w:hAnsi="Times New Roman" w:cs="Times New Roman"/>
          <w:lang w:val="en-US"/>
        </w:rPr>
        <w:t xml:space="preserve">twice </w:t>
      </w:r>
      <w:r w:rsidRPr="00C82E82">
        <w:rPr>
          <w:rFonts w:ascii="Times New Roman" w:hAnsi="Times New Roman" w:cs="Times New Roman"/>
          <w:lang w:val="en-US"/>
        </w:rPr>
        <w:t xml:space="preserve">with PBS </w:t>
      </w:r>
      <w:r>
        <w:rPr>
          <w:rFonts w:ascii="Times New Roman" w:hAnsi="Times New Roman" w:cs="Times New Roman"/>
          <w:lang w:val="en-US"/>
        </w:rPr>
        <w:t>+ 0.1% BSA. Conjugated i</w:t>
      </w:r>
      <w:r w:rsidRPr="00C82E82">
        <w:rPr>
          <w:rFonts w:ascii="Times New Roman" w:hAnsi="Times New Roman" w:cs="Times New Roman"/>
          <w:lang w:val="en-US"/>
        </w:rPr>
        <w:t>sotype</w:t>
      </w:r>
      <w:r>
        <w:rPr>
          <w:rFonts w:ascii="Times New Roman" w:hAnsi="Times New Roman" w:cs="Times New Roman"/>
          <w:lang w:val="en-US"/>
        </w:rPr>
        <w:t xml:space="preserve"> (IgG)</w:t>
      </w:r>
      <w:r w:rsidRPr="00C82E82">
        <w:rPr>
          <w:rFonts w:ascii="Times New Roman" w:hAnsi="Times New Roman" w:cs="Times New Roman"/>
          <w:lang w:val="en-US"/>
        </w:rPr>
        <w:t xml:space="preserve"> antibodies were used as</w:t>
      </w:r>
      <w:r>
        <w:rPr>
          <w:rFonts w:ascii="Times New Roman" w:hAnsi="Times New Roman" w:cs="Times New Roman"/>
          <w:lang w:val="en-US"/>
        </w:rPr>
        <w:t xml:space="preserve"> in all flow cytometry experiments as</w:t>
      </w:r>
      <w:r w:rsidRPr="00C82E82">
        <w:rPr>
          <w:rFonts w:ascii="Times New Roman" w:hAnsi="Times New Roman" w:cs="Times New Roman"/>
          <w:lang w:val="en-US"/>
        </w:rPr>
        <w:t xml:space="preserve"> </w:t>
      </w:r>
      <w:r>
        <w:rPr>
          <w:rFonts w:ascii="Times New Roman" w:hAnsi="Times New Roman" w:cs="Times New Roman"/>
          <w:lang w:val="en-US"/>
        </w:rPr>
        <w:t xml:space="preserve">negative </w:t>
      </w:r>
      <w:r w:rsidRPr="00C82E82">
        <w:rPr>
          <w:rFonts w:ascii="Times New Roman" w:hAnsi="Times New Roman" w:cs="Times New Roman"/>
          <w:lang w:val="en-US"/>
        </w:rPr>
        <w:t xml:space="preserve">controls. </w:t>
      </w:r>
      <w:r>
        <w:rPr>
          <w:rFonts w:ascii="Times New Roman" w:hAnsi="Times New Roman" w:cs="Times New Roman"/>
          <w:lang w:val="en-US"/>
        </w:rPr>
        <w:t xml:space="preserve">Stained cells were </w:t>
      </w:r>
      <w:r w:rsidRPr="00C82E82">
        <w:rPr>
          <w:rFonts w:ascii="Times New Roman" w:hAnsi="Times New Roman" w:cs="Times New Roman"/>
          <w:lang w:val="en-US"/>
        </w:rPr>
        <w:t xml:space="preserve">analyzed with a flow cytometer </w:t>
      </w:r>
      <w:r>
        <w:rPr>
          <w:rFonts w:ascii="Times New Roman" w:hAnsi="Times New Roman" w:cs="Times New Roman"/>
          <w:lang w:val="en-US"/>
        </w:rPr>
        <w:t>(LSR-II Analyzer</w:t>
      </w:r>
      <w:r w:rsidRPr="00C82E82">
        <w:rPr>
          <w:rFonts w:ascii="Times New Roman" w:hAnsi="Times New Roman" w:cs="Times New Roman"/>
          <w:lang w:val="en-US"/>
        </w:rPr>
        <w:t>, BD Biosciences)</w:t>
      </w:r>
      <w:r>
        <w:rPr>
          <w:rFonts w:ascii="Times New Roman" w:hAnsi="Times New Roman" w:cs="Times New Roman"/>
          <w:lang w:val="en-US"/>
        </w:rPr>
        <w:t xml:space="preserve"> with FACSDiva analysis software package</w:t>
      </w:r>
      <w:r w:rsidRPr="00C82E82">
        <w:rPr>
          <w:rFonts w:ascii="Times New Roman" w:hAnsi="Times New Roman" w:cs="Times New Roman"/>
          <w:lang w:val="en-US"/>
        </w:rPr>
        <w:t xml:space="preserve">. Each analysis </w:t>
      </w:r>
      <w:r>
        <w:rPr>
          <w:rFonts w:ascii="Times New Roman" w:hAnsi="Times New Roman" w:cs="Times New Roman"/>
          <w:lang w:val="en-US"/>
        </w:rPr>
        <w:t xml:space="preserve">were repeated in triplicated and </w:t>
      </w:r>
      <w:r w:rsidRPr="00C82E82">
        <w:rPr>
          <w:rFonts w:ascii="Times New Roman" w:hAnsi="Times New Roman" w:cs="Times New Roman"/>
          <w:lang w:val="en-US"/>
        </w:rPr>
        <w:t>included 100,000 events, after selection for viability</w:t>
      </w:r>
      <w:r>
        <w:rPr>
          <w:rFonts w:ascii="Times New Roman" w:hAnsi="Times New Roman" w:cs="Times New Roman"/>
          <w:lang w:val="en-US"/>
        </w:rPr>
        <w:t xml:space="preserve"> </w:t>
      </w:r>
      <w:r w:rsidRPr="00C82E82">
        <w:rPr>
          <w:rFonts w:ascii="Times New Roman" w:hAnsi="Times New Roman" w:cs="Times New Roman"/>
          <w:lang w:val="en-US"/>
        </w:rPr>
        <w:t>and exclusion of debris</w:t>
      </w:r>
      <w:r>
        <w:rPr>
          <w:rFonts w:ascii="Times New Roman" w:hAnsi="Times New Roman" w:cs="Times New Roman"/>
          <w:lang w:val="en-US"/>
        </w:rPr>
        <w:t xml:space="preserve">. </w:t>
      </w:r>
    </w:p>
    <w:p w14:paraId="0F234779" w14:textId="77777777" w:rsidR="00FB6511" w:rsidRPr="00C82E82" w:rsidRDefault="00FB6511" w:rsidP="00FB6511">
      <w:pPr>
        <w:spacing w:line="480" w:lineRule="auto"/>
        <w:rPr>
          <w:rFonts w:ascii="Times New Roman" w:hAnsi="Times New Roman" w:cs="Times New Roman"/>
          <w:lang w:val="en-US"/>
        </w:rPr>
      </w:pPr>
    </w:p>
    <w:p w14:paraId="5779A41A" w14:textId="77777777" w:rsidR="00FB6511" w:rsidRDefault="00FB6511" w:rsidP="00FB6511">
      <w:pPr>
        <w:spacing w:line="480" w:lineRule="auto"/>
        <w:rPr>
          <w:rFonts w:ascii="Times New Roman" w:hAnsi="Times New Roman" w:cs="Times New Roman"/>
          <w:i/>
          <w:iCs/>
          <w:lang w:val="en-US"/>
        </w:rPr>
      </w:pPr>
      <w:r>
        <w:rPr>
          <w:rFonts w:ascii="Times New Roman" w:hAnsi="Times New Roman" w:cs="Times New Roman"/>
          <w:i/>
          <w:iCs/>
          <w:lang w:val="en-US"/>
        </w:rPr>
        <w:t>In Vitro Tube Angiogenesis Assay</w:t>
      </w:r>
    </w:p>
    <w:p w14:paraId="70996DA8" w14:textId="77777777" w:rsidR="00FB6511" w:rsidRPr="00201149" w:rsidRDefault="00FB6511" w:rsidP="00FB6511">
      <w:pPr>
        <w:spacing w:line="480" w:lineRule="auto"/>
        <w:ind w:firstLine="720"/>
        <w:rPr>
          <w:rFonts w:ascii="Times New Roman" w:hAnsi="Times New Roman" w:cs="Times New Roman"/>
          <w:lang w:val="en-US"/>
        </w:rPr>
      </w:pPr>
      <w:r w:rsidRPr="00D04689">
        <w:rPr>
          <w:rFonts w:ascii="Times New Roman" w:hAnsi="Times New Roman" w:cs="Times New Roman"/>
          <w:lang w:val="en-US"/>
        </w:rPr>
        <w:t xml:space="preserve">HUVECs </w:t>
      </w:r>
      <w:r>
        <w:rPr>
          <w:rFonts w:ascii="Times New Roman" w:hAnsi="Times New Roman" w:cs="Times New Roman"/>
          <w:lang w:val="en-US"/>
        </w:rPr>
        <w:t>were grown to 70-80% confluence in complete EGM 2 Media (Lonza) and dissociated with Trypsin-EDTA (Gibco). The single cell suspension was plated onto Matrigel (10mg/mL concentration; Corning) coated 96-well plates with final cell count of 25,000 cells per well to induce tube angiogenesis formation. Uncoated wells served as negative control for tube angiogenesis. Cells were incubated at 37°C/ 5 % CO</w:t>
      </w:r>
      <w:r>
        <w:rPr>
          <w:rFonts w:ascii="Times New Roman" w:hAnsi="Times New Roman" w:cs="Times New Roman"/>
          <w:vertAlign w:val="subscript"/>
          <w:lang w:val="en-US"/>
        </w:rPr>
        <w:t>2</w:t>
      </w:r>
      <w:r>
        <w:rPr>
          <w:rFonts w:ascii="Times New Roman" w:hAnsi="Times New Roman" w:cs="Times New Roman"/>
          <w:lang w:val="en-US"/>
        </w:rPr>
        <w:t xml:space="preserve"> for 20 hours prior to washing with PBS and staining with Calcein AM (Invitrogen) Live dye. Wells were imaged on standard epifluorescence microscope (EVOS FL, Invitrogen) with standard FITC filter.</w:t>
      </w:r>
    </w:p>
    <w:p w14:paraId="4910BBAB" w14:textId="77777777" w:rsidR="00FB6511" w:rsidRPr="009F36D4" w:rsidRDefault="00FB6511" w:rsidP="00FB6511">
      <w:pPr>
        <w:spacing w:line="480" w:lineRule="auto"/>
        <w:rPr>
          <w:rFonts w:ascii="Times New Roman" w:hAnsi="Times New Roman" w:cs="Times New Roman"/>
          <w:i/>
          <w:iCs/>
          <w:lang w:val="en-US"/>
        </w:rPr>
      </w:pPr>
    </w:p>
    <w:p w14:paraId="21FC6FDB" w14:textId="77777777" w:rsidR="00FB6511" w:rsidRPr="009F36D4" w:rsidRDefault="00FB6511" w:rsidP="00FB6511">
      <w:pPr>
        <w:spacing w:line="480" w:lineRule="auto"/>
        <w:rPr>
          <w:rFonts w:ascii="Times New Roman" w:eastAsia="Times New Roman" w:hAnsi="Times New Roman" w:cs="Times New Roman"/>
          <w:i/>
          <w:iCs/>
        </w:rPr>
      </w:pPr>
      <w:r w:rsidRPr="009F46DA">
        <w:rPr>
          <w:rFonts w:ascii="Times New Roman" w:eastAsia="Times New Roman" w:hAnsi="Times New Roman" w:cs="Times New Roman"/>
          <w:i/>
          <w:iCs/>
        </w:rPr>
        <w:t xml:space="preserve">In Vitro Differentiation of MSC </w:t>
      </w:r>
    </w:p>
    <w:p w14:paraId="6C5BEB23" w14:textId="75230A88" w:rsidR="00FB6511" w:rsidRPr="00E17EF8" w:rsidRDefault="00FB6511" w:rsidP="00FB6511">
      <w:pPr>
        <w:spacing w:line="480" w:lineRule="auto"/>
        <w:ind w:firstLine="720"/>
        <w:rPr>
          <w:rFonts w:ascii="Times New Roman" w:eastAsia="Times New Roman" w:hAnsi="Times New Roman" w:cs="Times New Roman"/>
        </w:rPr>
        <w:sectPr w:rsidR="00FB6511" w:rsidRPr="00E17EF8" w:rsidSect="00D623FC">
          <w:pgSz w:w="12240" w:h="15840"/>
          <w:pgMar w:top="1440" w:right="1440" w:bottom="1440" w:left="1440" w:header="708" w:footer="708" w:gutter="0"/>
          <w:cols w:space="708"/>
          <w:docGrid w:linePitch="360"/>
        </w:sectPr>
      </w:pPr>
      <w:r>
        <w:rPr>
          <w:rFonts w:ascii="Times New Roman" w:eastAsia="Times New Roman" w:hAnsi="Times New Roman" w:cs="Times New Roman"/>
        </w:rPr>
        <w:lastRenderedPageBreak/>
        <w:t xml:space="preserve">Commercially available </w:t>
      </w:r>
      <w:r w:rsidRPr="009F46DA">
        <w:rPr>
          <w:rFonts w:ascii="Times New Roman" w:eastAsia="Times New Roman" w:hAnsi="Times New Roman" w:cs="Times New Roman"/>
        </w:rPr>
        <w:t>MSCs</w:t>
      </w:r>
      <w:r>
        <w:rPr>
          <w:rFonts w:ascii="Times New Roman" w:eastAsia="Times New Roman" w:hAnsi="Times New Roman" w:cs="Times New Roman"/>
        </w:rPr>
        <w:t xml:space="preserve"> (Promocell)</w:t>
      </w:r>
      <w:r w:rsidRPr="009F46DA">
        <w:rPr>
          <w:rFonts w:ascii="Times New Roman" w:eastAsia="Times New Roman" w:hAnsi="Times New Roman" w:cs="Times New Roman"/>
        </w:rPr>
        <w:t xml:space="preserve"> were seeded at </w:t>
      </w:r>
      <w:r>
        <w:rPr>
          <w:rFonts w:ascii="Times New Roman" w:eastAsia="Times New Roman" w:hAnsi="Times New Roman" w:cs="Times New Roman"/>
        </w:rPr>
        <w:t>3 x 1</w:t>
      </w:r>
      <w:r w:rsidRPr="009F46DA">
        <w:rPr>
          <w:rFonts w:ascii="Times New Roman" w:eastAsia="Times New Roman" w:hAnsi="Times New Roman" w:cs="Times New Roman"/>
        </w:rPr>
        <w:t>0</w:t>
      </w:r>
      <w:r w:rsidRPr="009F46DA">
        <w:rPr>
          <w:rFonts w:ascii="Times New Roman" w:eastAsia="Times New Roman" w:hAnsi="Times New Roman" w:cs="Times New Roman"/>
          <w:vertAlign w:val="superscript"/>
        </w:rPr>
        <w:t>4</w:t>
      </w:r>
      <w:r w:rsidRPr="009F46DA">
        <w:rPr>
          <w:rFonts w:ascii="Times New Roman" w:eastAsia="Times New Roman" w:hAnsi="Times New Roman" w:cs="Times New Roman"/>
        </w:rPr>
        <w:t xml:space="preserve"> cells</w:t>
      </w:r>
      <w:r>
        <w:rPr>
          <w:rFonts w:ascii="Times New Roman" w:eastAsia="Times New Roman" w:hAnsi="Times New Roman" w:cs="Times New Roman"/>
        </w:rPr>
        <w:t>/cm</w:t>
      </w:r>
      <w:r>
        <w:rPr>
          <w:rFonts w:ascii="Times New Roman" w:eastAsia="Times New Roman" w:hAnsi="Times New Roman" w:cs="Times New Roman"/>
          <w:vertAlign w:val="superscript"/>
        </w:rPr>
        <w:t>2</w:t>
      </w:r>
      <w:r w:rsidRPr="009F46DA">
        <w:rPr>
          <w:rFonts w:ascii="Times New Roman" w:eastAsia="Times New Roman" w:hAnsi="Times New Roman" w:cs="Times New Roman"/>
        </w:rPr>
        <w:t xml:space="preserve"> in </w:t>
      </w:r>
      <w:r>
        <w:rPr>
          <w:rFonts w:ascii="Times New Roman" w:eastAsia="Times New Roman" w:hAnsi="Times New Roman" w:cs="Times New Roman"/>
        </w:rPr>
        <w:t>complete MSC Growth Media containing</w:t>
      </w:r>
      <w:r w:rsidRPr="009F46DA">
        <w:rPr>
          <w:rFonts w:ascii="Times New Roman" w:eastAsia="Times New Roman" w:hAnsi="Times New Roman" w:cs="Times New Roman"/>
        </w:rPr>
        <w:t xml:space="preserve"> </w:t>
      </w:r>
      <w:r>
        <w:rPr>
          <w:rFonts w:ascii="Times New Roman" w:eastAsia="Times New Roman" w:hAnsi="Times New Roman" w:cs="Times New Roman"/>
        </w:rPr>
        <w:t>5</w:t>
      </w:r>
      <w:r w:rsidRPr="009F46DA">
        <w:rPr>
          <w:rFonts w:ascii="Times New Roman" w:eastAsia="Times New Roman" w:hAnsi="Times New Roman" w:cs="Times New Roman"/>
        </w:rPr>
        <w:t>% F</w:t>
      </w:r>
      <w:r>
        <w:rPr>
          <w:rFonts w:ascii="Times New Roman" w:eastAsia="Times New Roman" w:hAnsi="Times New Roman" w:cs="Times New Roman"/>
        </w:rPr>
        <w:t>B</w:t>
      </w:r>
      <w:r w:rsidRPr="009F46DA">
        <w:rPr>
          <w:rFonts w:ascii="Times New Roman" w:eastAsia="Times New Roman" w:hAnsi="Times New Roman" w:cs="Times New Roman"/>
        </w:rPr>
        <w:t>S</w:t>
      </w:r>
      <w:r>
        <w:rPr>
          <w:rFonts w:ascii="Times New Roman" w:eastAsia="Times New Roman" w:hAnsi="Times New Roman" w:cs="Times New Roman"/>
        </w:rPr>
        <w:t xml:space="preserve"> </w:t>
      </w:r>
      <w:r w:rsidRPr="009F46DA">
        <w:rPr>
          <w:rFonts w:ascii="Times New Roman" w:eastAsia="Times New Roman" w:hAnsi="Times New Roman" w:cs="Times New Roman"/>
        </w:rPr>
        <w:t xml:space="preserve">and were allowed to expand and reach </w:t>
      </w:r>
      <w:r>
        <w:rPr>
          <w:rFonts w:ascii="Times New Roman" w:eastAsia="Times New Roman" w:hAnsi="Times New Roman" w:cs="Times New Roman"/>
        </w:rPr>
        <w:t>approximately</w:t>
      </w:r>
      <w:r w:rsidRPr="009F46DA">
        <w:rPr>
          <w:rFonts w:ascii="Times New Roman" w:eastAsia="Times New Roman" w:hAnsi="Times New Roman" w:cs="Times New Roman"/>
        </w:rPr>
        <w:t xml:space="preserve"> </w:t>
      </w:r>
      <w:r>
        <w:rPr>
          <w:rFonts w:ascii="Times New Roman" w:eastAsia="Times New Roman" w:hAnsi="Times New Roman" w:cs="Times New Roman"/>
        </w:rPr>
        <w:t>100</w:t>
      </w:r>
      <w:r w:rsidRPr="009F46DA">
        <w:rPr>
          <w:rFonts w:ascii="Times New Roman" w:eastAsia="Times New Roman" w:hAnsi="Times New Roman" w:cs="Times New Roman"/>
        </w:rPr>
        <w:t>% confluence. Culture medium was then replaced with specific differentiation inductive medium.</w:t>
      </w:r>
      <w:r>
        <w:rPr>
          <w:rFonts w:ascii="Times New Roman" w:eastAsia="Times New Roman" w:hAnsi="Times New Roman" w:cs="Times New Roman"/>
        </w:rPr>
        <w:t xml:space="preserve"> MSC Growth Media served as negative differentiation control. Culture media was changed every 2-3 days. </w:t>
      </w:r>
      <w:r w:rsidRPr="009F46DA">
        <w:rPr>
          <w:rFonts w:ascii="Times New Roman" w:eastAsia="Times New Roman" w:hAnsi="Times New Roman" w:cs="Times New Roman"/>
        </w:rPr>
        <w:t>For adipogenic differentiation, cells were cultured in</w:t>
      </w:r>
      <w:r>
        <w:rPr>
          <w:rFonts w:ascii="Times New Roman" w:eastAsia="Times New Roman" w:hAnsi="Times New Roman" w:cs="Times New Roman"/>
        </w:rPr>
        <w:t xml:space="preserve"> </w:t>
      </w:r>
      <w:r w:rsidRPr="009F46DA">
        <w:rPr>
          <w:rFonts w:ascii="Times New Roman" w:eastAsia="Times New Roman" w:hAnsi="Times New Roman" w:cs="Times New Roman"/>
        </w:rPr>
        <w:t>MSC</w:t>
      </w:r>
      <w:r>
        <w:rPr>
          <w:rFonts w:ascii="Times New Roman" w:eastAsia="Times New Roman" w:hAnsi="Times New Roman" w:cs="Times New Roman"/>
        </w:rPr>
        <w:t xml:space="preserve"> Adipogenic </w:t>
      </w:r>
      <w:r w:rsidRPr="009F46DA">
        <w:rPr>
          <w:rFonts w:ascii="Times New Roman" w:eastAsia="Times New Roman" w:hAnsi="Times New Roman" w:cs="Times New Roman"/>
        </w:rPr>
        <w:t xml:space="preserve">Differentiation </w:t>
      </w:r>
      <w:r>
        <w:rPr>
          <w:rFonts w:ascii="Times New Roman" w:eastAsia="Times New Roman" w:hAnsi="Times New Roman" w:cs="Times New Roman"/>
        </w:rPr>
        <w:t>Media 2</w:t>
      </w:r>
      <w:r w:rsidRPr="009F46DA">
        <w:rPr>
          <w:rFonts w:ascii="Times New Roman" w:eastAsia="Times New Roman" w:hAnsi="Times New Roman" w:cs="Times New Roman"/>
        </w:rPr>
        <w:t xml:space="preserve"> (</w:t>
      </w:r>
      <w:r>
        <w:rPr>
          <w:rFonts w:ascii="Times New Roman" w:eastAsia="Times New Roman" w:hAnsi="Times New Roman" w:cs="Times New Roman"/>
        </w:rPr>
        <w:t>Promocell</w:t>
      </w:r>
      <w:r w:rsidRPr="009F46DA">
        <w:rPr>
          <w:rFonts w:ascii="Times New Roman" w:eastAsia="Times New Roman" w:hAnsi="Times New Roman" w:cs="Times New Roman"/>
        </w:rPr>
        <w:t>) for 2 weeks. Differentiated MSC</w:t>
      </w:r>
      <w:r>
        <w:rPr>
          <w:rFonts w:ascii="Times New Roman" w:eastAsia="Times New Roman" w:hAnsi="Times New Roman" w:cs="Times New Roman"/>
        </w:rPr>
        <w:t>-derived adipocyte</w:t>
      </w:r>
      <w:r w:rsidRPr="009F46DA">
        <w:rPr>
          <w:rFonts w:ascii="Times New Roman" w:eastAsia="Times New Roman" w:hAnsi="Times New Roman" w:cs="Times New Roman"/>
        </w:rPr>
        <w:t xml:space="preserve"> cell cultures were stained with Oil Red (Sigma). For osteogenic differentiation, cells were cultured in the MSC Osteogenic Differentiation Kit (</w:t>
      </w:r>
      <w:r>
        <w:rPr>
          <w:rFonts w:ascii="Times New Roman" w:eastAsia="Times New Roman" w:hAnsi="Times New Roman" w:cs="Times New Roman"/>
        </w:rPr>
        <w:t>Promocell</w:t>
      </w:r>
      <w:r w:rsidRPr="009F46DA">
        <w:rPr>
          <w:rFonts w:ascii="Times New Roman" w:eastAsia="Times New Roman" w:hAnsi="Times New Roman" w:cs="Times New Roman"/>
        </w:rPr>
        <w:t>) for 2 weeks. Differentiated cultures were stained with Alizarin Red (Sigma)</w:t>
      </w:r>
      <w:r>
        <w:rPr>
          <w:rFonts w:ascii="Times New Roman" w:eastAsia="Times New Roman" w:hAnsi="Times New Roman" w:cs="Times New Roman"/>
        </w:rPr>
        <w:t>. For chondrocyte differentiation, MSC</w:t>
      </w:r>
      <w:r w:rsidRPr="009F46DA">
        <w:rPr>
          <w:rFonts w:ascii="Times New Roman" w:eastAsia="Times New Roman" w:hAnsi="Times New Roman" w:cs="Times New Roman"/>
        </w:rPr>
        <w:t xml:space="preserve">s were cultured in the MSC </w:t>
      </w:r>
      <w:r>
        <w:rPr>
          <w:rFonts w:ascii="Times New Roman" w:eastAsia="Times New Roman" w:hAnsi="Times New Roman" w:cs="Times New Roman"/>
        </w:rPr>
        <w:t>Chondrogenic</w:t>
      </w:r>
      <w:r w:rsidRPr="009F46DA">
        <w:rPr>
          <w:rFonts w:ascii="Times New Roman" w:eastAsia="Times New Roman" w:hAnsi="Times New Roman" w:cs="Times New Roman"/>
        </w:rPr>
        <w:t xml:space="preserve"> Differentiation Kit </w:t>
      </w:r>
      <w:r>
        <w:rPr>
          <w:rFonts w:ascii="Times New Roman" w:eastAsia="Times New Roman" w:hAnsi="Times New Roman" w:cs="Times New Roman"/>
        </w:rPr>
        <w:t>(StemCell Technologies, Canada) at 1 x 10</w:t>
      </w:r>
      <w:r>
        <w:rPr>
          <w:rFonts w:ascii="Times New Roman" w:eastAsia="Times New Roman" w:hAnsi="Times New Roman" w:cs="Times New Roman"/>
          <w:vertAlign w:val="superscript"/>
        </w:rPr>
        <w:t xml:space="preserve">6 </w:t>
      </w:r>
      <w:r>
        <w:rPr>
          <w:rFonts w:ascii="Times New Roman" w:eastAsia="Times New Roman" w:hAnsi="Times New Roman" w:cs="Times New Roman"/>
        </w:rPr>
        <w:t>cells suspended within a 15mL conical tube to induce chondrogenic pellet formation. After 2 week incubation, the chondrocyte pellet was fixed in 10 % formalin (Fisher) and processed by routine histology and sectioned on microtome (Leica Biosystems) at 5µm thickness and stained with Alcian Blue (Sigma) according to manufacturer instructions. All differentiation experiments were conducted with n = 3 replicates</w:t>
      </w:r>
      <w:r>
        <w:rPr>
          <w:rFonts w:ascii="Times New Roman" w:eastAsia="Times New Roman" w:hAnsi="Times New Roman" w:cs="Times New Roman"/>
        </w:rPr>
        <w:t>.</w:t>
      </w:r>
    </w:p>
    <w:p w14:paraId="179CC366" w14:textId="77777777" w:rsidR="003F1652" w:rsidRPr="00FB6511" w:rsidRDefault="003F1652" w:rsidP="00FB6511"/>
    <w:sectPr w:rsidR="003F1652" w:rsidRPr="00FB65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511"/>
    <w:rsid w:val="003F1652"/>
    <w:rsid w:val="00FB65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3A84D"/>
  <w15:chartTrackingRefBased/>
  <w15:docId w15:val="{B31A6169-31ED-4C90-9295-40249AE2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511"/>
    <w:pPr>
      <w:spacing w:after="0" w:line="240" w:lineRule="auto"/>
    </w:pPr>
    <w:rPr>
      <w:rFonts w:eastAsiaTheme="minorEastAsia"/>
      <w:sz w:val="24"/>
      <w:szCs w:val="24"/>
      <w:lang w:val="en-CA" w:eastAsia="zh-CN"/>
    </w:rPr>
  </w:style>
  <w:style w:type="paragraph" w:styleId="Heading1">
    <w:name w:val="heading 1"/>
    <w:basedOn w:val="Normal"/>
    <w:next w:val="Normal"/>
    <w:link w:val="Heading1Char"/>
    <w:uiPriority w:val="9"/>
    <w:qFormat/>
    <w:rsid w:val="00FB6511"/>
    <w:pPr>
      <w:keepNext/>
      <w:keepLines/>
      <w:spacing w:before="240"/>
      <w:outlineLvl w:val="0"/>
    </w:pPr>
    <w:rPr>
      <w:rFonts w:ascii="Times New Roman" w:eastAsiaTheme="majorEastAsia" w:hAnsi="Times New Roman" w:cstheme="majorBidi"/>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511"/>
    <w:rPr>
      <w:rFonts w:ascii="Times New Roman" w:eastAsiaTheme="majorEastAsia" w:hAnsi="Times New Roman" w:cstheme="majorBidi"/>
      <w:color w:val="000000" w:themeColor="text1"/>
      <w:sz w:val="32"/>
      <w:szCs w:val="32"/>
      <w:lang w:val="en-C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505</Words>
  <Characters>2883</Characters>
  <Application>Microsoft Office Word</Application>
  <DocSecurity>0</DocSecurity>
  <Lines>24</Lines>
  <Paragraphs>6</Paragraphs>
  <ScaleCrop>false</ScaleCrop>
  <Company>Springer Nature</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2023-05-17T08:30:00Z</dcterms:created>
  <dcterms:modified xsi:type="dcterms:W3CDTF">2023-05-17T08:31:00Z</dcterms:modified>
</cp:coreProperties>
</file>