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239C" w:rsidRPr="00266145" w:rsidRDefault="00D7239C" w:rsidP="00D7239C">
      <w:pPr>
        <w:pStyle w:val="Titre1"/>
        <w:numPr>
          <w:ilvl w:val="0"/>
          <w:numId w:val="0"/>
        </w:numPr>
        <w:spacing w:before="0" w:after="0" w:line="360" w:lineRule="auto"/>
        <w:ind w:left="720" w:hanging="720"/>
        <w:jc w:val="both"/>
        <w:rPr>
          <w:rFonts w:cs="Times New Roman"/>
          <w:sz w:val="26"/>
          <w:szCs w:val="26"/>
        </w:rPr>
      </w:pPr>
      <w:r w:rsidRPr="00266145">
        <w:rPr>
          <w:rFonts w:cs="Times New Roman"/>
          <w:sz w:val="26"/>
          <w:szCs w:val="26"/>
        </w:rPr>
        <w:t>Supplementary information</w:t>
      </w:r>
    </w:p>
    <w:p w:rsidR="00D7239C" w:rsidRDefault="00D7239C" w:rsidP="00D7239C">
      <w:pPr>
        <w:spacing w:after="0" w:line="360" w:lineRule="auto"/>
        <w:jc w:val="both"/>
        <w:rPr>
          <w:rFonts w:cs="Times New Roman"/>
          <w:b/>
          <w:szCs w:val="20"/>
          <w:lang w:val="en-GB"/>
        </w:rPr>
      </w:pPr>
    </w:p>
    <w:p w:rsidR="00D7239C" w:rsidRDefault="00D7239C" w:rsidP="00D7239C">
      <w:pPr>
        <w:spacing w:after="0" w:line="360" w:lineRule="auto"/>
        <w:jc w:val="both"/>
        <w:rPr>
          <w:rFonts w:cs="Times New Roman"/>
          <w:b/>
          <w:szCs w:val="20"/>
          <w:lang w:val="en-GB"/>
        </w:rPr>
      </w:pPr>
    </w:p>
    <w:p w:rsidR="00D7239C" w:rsidRPr="00EF4CFA" w:rsidRDefault="00D7239C" w:rsidP="00D7239C">
      <w:pPr>
        <w:spacing w:after="0" w:line="360" w:lineRule="auto"/>
        <w:jc w:val="center"/>
        <w:rPr>
          <w:rFonts w:cs="Times New Roman"/>
          <w:b/>
          <w:sz w:val="24"/>
          <w:szCs w:val="24"/>
          <w:lang w:val="en-GB"/>
        </w:rPr>
      </w:pPr>
      <w:r w:rsidRPr="00EF4CFA">
        <w:rPr>
          <w:rFonts w:cs="Times New Roman"/>
          <w:b/>
          <w:sz w:val="24"/>
          <w:szCs w:val="24"/>
          <w:lang w:val="en-GB"/>
        </w:rPr>
        <w:t>3D model of bronchial epithelial barrier to study xenobiotic repeated exposure: application to silver nanoparticles</w:t>
      </w:r>
    </w:p>
    <w:p w:rsidR="00D7239C" w:rsidRPr="003D5082" w:rsidRDefault="00D7239C" w:rsidP="00D7239C">
      <w:pPr>
        <w:spacing w:after="0" w:line="360" w:lineRule="auto"/>
        <w:jc w:val="both"/>
        <w:rPr>
          <w:rFonts w:cs="Times New Roman"/>
          <w:b/>
          <w:szCs w:val="20"/>
          <w:lang w:val="en-GB"/>
        </w:rPr>
      </w:pPr>
    </w:p>
    <w:p w:rsidR="00D7239C" w:rsidRPr="003D5082" w:rsidRDefault="00D7239C" w:rsidP="00D7239C">
      <w:pPr>
        <w:spacing w:after="0" w:line="360" w:lineRule="auto"/>
        <w:jc w:val="both"/>
        <w:rPr>
          <w:rFonts w:cs="Times New Roman"/>
          <w:szCs w:val="20"/>
          <w:vertAlign w:val="superscript"/>
        </w:rPr>
      </w:pPr>
      <w:r w:rsidRPr="003D5082">
        <w:rPr>
          <w:rFonts w:cs="Times New Roman"/>
          <w:szCs w:val="20"/>
        </w:rPr>
        <w:t>Chloé Chivé</w:t>
      </w:r>
      <w:r w:rsidRPr="003D5082">
        <w:rPr>
          <w:rFonts w:cs="Times New Roman"/>
          <w:szCs w:val="20"/>
          <w:vertAlign w:val="superscript"/>
        </w:rPr>
        <w:t>1</w:t>
      </w:r>
      <w:r w:rsidRPr="003D5082">
        <w:rPr>
          <w:rFonts w:cs="Times New Roman"/>
          <w:szCs w:val="20"/>
        </w:rPr>
        <w:t>*, Claire Mac-Cord</w:t>
      </w:r>
      <w:r w:rsidRPr="003D5082">
        <w:rPr>
          <w:rFonts w:cs="Times New Roman"/>
          <w:szCs w:val="20"/>
          <w:vertAlign w:val="superscript"/>
        </w:rPr>
        <w:t>1</w:t>
      </w:r>
      <w:r w:rsidRPr="003D5082">
        <w:rPr>
          <w:rFonts w:cs="Times New Roman"/>
          <w:szCs w:val="20"/>
        </w:rPr>
        <w:t>*, Daniel Sanchez-Guzman</w:t>
      </w:r>
      <w:r w:rsidRPr="003D5082">
        <w:rPr>
          <w:rFonts w:cs="Times New Roman"/>
          <w:szCs w:val="20"/>
          <w:vertAlign w:val="superscript"/>
        </w:rPr>
        <w:t>1</w:t>
      </w:r>
      <w:r w:rsidRPr="003D5082">
        <w:rPr>
          <w:rFonts w:cs="Times New Roman"/>
          <w:szCs w:val="20"/>
        </w:rPr>
        <w:t>, Oliver Brookes</w:t>
      </w:r>
      <w:r w:rsidRPr="003D5082">
        <w:rPr>
          <w:rFonts w:cs="Times New Roman"/>
          <w:szCs w:val="20"/>
          <w:vertAlign w:val="superscript"/>
        </w:rPr>
        <w:t>1</w:t>
      </w:r>
      <w:r w:rsidRPr="003D5082">
        <w:rPr>
          <w:rFonts w:cs="Times New Roman"/>
          <w:szCs w:val="20"/>
        </w:rPr>
        <w:t>, Prinitha Joseph</w:t>
      </w:r>
      <w:r w:rsidRPr="003D5082">
        <w:rPr>
          <w:rFonts w:cs="Times New Roman"/>
          <w:szCs w:val="20"/>
          <w:vertAlign w:val="superscript"/>
        </w:rPr>
        <w:t>1</w:t>
      </w:r>
      <w:r w:rsidRPr="003D5082">
        <w:rPr>
          <w:rFonts w:cs="Times New Roman"/>
          <w:szCs w:val="20"/>
        </w:rPr>
        <w:t>, René Lai Kuen</w:t>
      </w:r>
      <w:r w:rsidRPr="003D5082">
        <w:rPr>
          <w:rFonts w:cs="Times New Roman"/>
          <w:szCs w:val="20"/>
          <w:vertAlign w:val="superscript"/>
        </w:rPr>
        <w:t>2</w:t>
      </w:r>
      <w:r w:rsidRPr="003D5082">
        <w:rPr>
          <w:rFonts w:cs="Times New Roman"/>
          <w:szCs w:val="20"/>
        </w:rPr>
        <w:t>, Guillaume Phan</w:t>
      </w:r>
      <w:r w:rsidRPr="003D5082">
        <w:rPr>
          <w:rFonts w:cs="Times New Roman"/>
          <w:szCs w:val="20"/>
          <w:vertAlign w:val="superscript"/>
        </w:rPr>
        <w:t>3</w:t>
      </w:r>
      <w:r w:rsidRPr="003D5082">
        <w:rPr>
          <w:rFonts w:cs="Times New Roman"/>
          <w:szCs w:val="20"/>
        </w:rPr>
        <w:t>, Armelle Baeza-Squiban</w:t>
      </w:r>
      <w:r w:rsidRPr="003D5082">
        <w:rPr>
          <w:rFonts w:cs="Times New Roman"/>
          <w:szCs w:val="20"/>
          <w:vertAlign w:val="superscript"/>
        </w:rPr>
        <w:t>1§</w:t>
      </w:r>
      <w:r w:rsidRPr="003D5082">
        <w:rPr>
          <w:rFonts w:cs="Times New Roman"/>
          <w:szCs w:val="20"/>
        </w:rPr>
        <w:t>, Stéphanie Devineau</w:t>
      </w:r>
      <w:r w:rsidRPr="003D5082">
        <w:rPr>
          <w:rFonts w:cs="Times New Roman"/>
          <w:szCs w:val="20"/>
          <w:vertAlign w:val="superscript"/>
        </w:rPr>
        <w:t>1#</w:t>
      </w:r>
      <w:r w:rsidRPr="003D5082">
        <w:rPr>
          <w:rFonts w:cs="Times New Roman"/>
          <w:szCs w:val="20"/>
        </w:rPr>
        <w:t>, Sonja Boland</w:t>
      </w:r>
      <w:r w:rsidRPr="003D5082">
        <w:rPr>
          <w:rFonts w:cs="Times New Roman"/>
          <w:szCs w:val="20"/>
          <w:vertAlign w:val="superscript"/>
        </w:rPr>
        <w:t>1#</w:t>
      </w:r>
    </w:p>
    <w:p w:rsidR="00D7239C" w:rsidRDefault="00D7239C" w:rsidP="00D7239C">
      <w:pPr>
        <w:spacing w:after="0" w:line="360" w:lineRule="auto"/>
        <w:jc w:val="both"/>
        <w:rPr>
          <w:rFonts w:cs="Times New Roman"/>
          <w:szCs w:val="20"/>
        </w:rPr>
      </w:pPr>
    </w:p>
    <w:p w:rsidR="00D7239C" w:rsidRPr="00377B4F" w:rsidRDefault="00D7239C" w:rsidP="00D7239C">
      <w:pPr>
        <w:spacing w:after="0" w:line="360" w:lineRule="auto"/>
        <w:jc w:val="both"/>
        <w:rPr>
          <w:rFonts w:cs="Times New Roman"/>
          <w:szCs w:val="20"/>
          <w:u w:val="single"/>
          <w:lang w:val="en-GB"/>
        </w:rPr>
      </w:pPr>
      <w:r w:rsidRPr="00377B4F">
        <w:rPr>
          <w:rFonts w:cs="Times New Roman"/>
          <w:szCs w:val="20"/>
          <w:u w:val="single"/>
          <w:lang w:val="en-GB"/>
        </w:rPr>
        <w:t>Detailed methods</w:t>
      </w:r>
    </w:p>
    <w:p w:rsidR="00D7239C" w:rsidRPr="003D5082" w:rsidRDefault="00D7239C" w:rsidP="00D7239C">
      <w:pPr>
        <w:pStyle w:val="Paragraphedeliste"/>
        <w:numPr>
          <w:ilvl w:val="0"/>
          <w:numId w:val="2"/>
        </w:numPr>
        <w:spacing w:after="0" w:line="360" w:lineRule="auto"/>
        <w:contextualSpacing w:val="0"/>
        <w:jc w:val="both"/>
        <w:rPr>
          <w:rFonts w:cs="Times New Roman"/>
          <w:szCs w:val="20"/>
          <w:lang w:val="en-GB"/>
        </w:rPr>
      </w:pPr>
      <w:r w:rsidRPr="003D5082">
        <w:rPr>
          <w:rFonts w:cs="Times New Roman"/>
          <w:szCs w:val="20"/>
          <w:lang w:val="en-GB"/>
        </w:rPr>
        <w:t>Calu-3 cell culture</w:t>
      </w:r>
    </w:p>
    <w:p w:rsidR="00D7239C" w:rsidRDefault="00D7239C" w:rsidP="00D7239C">
      <w:pPr>
        <w:pStyle w:val="Paragraphedeliste"/>
        <w:numPr>
          <w:ilvl w:val="0"/>
          <w:numId w:val="2"/>
        </w:numPr>
        <w:spacing w:after="0" w:line="360" w:lineRule="auto"/>
        <w:contextualSpacing w:val="0"/>
        <w:jc w:val="both"/>
        <w:rPr>
          <w:rFonts w:cs="Times New Roman"/>
          <w:szCs w:val="20"/>
          <w:lang w:val="en-GB"/>
        </w:rPr>
      </w:pPr>
      <w:r>
        <w:rPr>
          <w:rFonts w:cs="Times New Roman"/>
          <w:szCs w:val="20"/>
          <w:lang w:val="en-GB"/>
        </w:rPr>
        <w:t>O</w:t>
      </w:r>
      <w:r w:rsidRPr="003D5082">
        <w:rPr>
          <w:rFonts w:cs="Times New Roman"/>
          <w:szCs w:val="20"/>
          <w:lang w:val="en-GB"/>
        </w:rPr>
        <w:t>xidative potential</w:t>
      </w:r>
      <w:r>
        <w:rPr>
          <w:rFonts w:cs="Times New Roman"/>
          <w:szCs w:val="20"/>
          <w:lang w:val="en-GB"/>
        </w:rPr>
        <w:t xml:space="preserve"> of AgNPs</w:t>
      </w:r>
    </w:p>
    <w:p w:rsidR="00D7239C" w:rsidRPr="003D5082" w:rsidRDefault="00D7239C" w:rsidP="00D7239C">
      <w:pPr>
        <w:pStyle w:val="Paragraphedeliste"/>
        <w:numPr>
          <w:ilvl w:val="0"/>
          <w:numId w:val="2"/>
        </w:numPr>
        <w:spacing w:after="0" w:line="360" w:lineRule="auto"/>
        <w:contextualSpacing w:val="0"/>
        <w:jc w:val="both"/>
        <w:rPr>
          <w:rFonts w:cs="Times New Roman"/>
          <w:szCs w:val="20"/>
          <w:lang w:val="en-GB"/>
        </w:rPr>
      </w:pPr>
      <w:r>
        <w:rPr>
          <w:rFonts w:cs="Times New Roman"/>
          <w:szCs w:val="20"/>
          <w:lang w:val="en-GB"/>
        </w:rPr>
        <w:t>Exposure of Calu-3 cells to AgNO</w:t>
      </w:r>
      <w:r w:rsidRPr="007D5282">
        <w:rPr>
          <w:rFonts w:cs="Times New Roman"/>
          <w:szCs w:val="20"/>
          <w:vertAlign w:val="subscript"/>
          <w:lang w:val="en-GB"/>
        </w:rPr>
        <w:t>3</w:t>
      </w:r>
    </w:p>
    <w:p w:rsidR="00D7239C" w:rsidRPr="003D5082" w:rsidRDefault="00D7239C" w:rsidP="00D7239C">
      <w:pPr>
        <w:pStyle w:val="Paragraphedeliste"/>
        <w:numPr>
          <w:ilvl w:val="0"/>
          <w:numId w:val="2"/>
        </w:numPr>
        <w:spacing w:after="0" w:line="360" w:lineRule="auto"/>
        <w:contextualSpacing w:val="0"/>
        <w:jc w:val="both"/>
        <w:rPr>
          <w:rFonts w:cs="Times New Roman"/>
          <w:szCs w:val="20"/>
          <w:lang w:val="en-GB"/>
        </w:rPr>
      </w:pPr>
      <w:r w:rsidRPr="003D5082">
        <w:rPr>
          <w:rFonts w:cs="Times New Roman"/>
          <w:szCs w:val="20"/>
          <w:lang w:val="en-GB"/>
        </w:rPr>
        <w:t>C</w:t>
      </w:r>
      <w:r>
        <w:rPr>
          <w:rFonts w:cs="Times New Roman"/>
          <w:szCs w:val="20"/>
          <w:lang w:val="en-GB"/>
        </w:rPr>
        <w:t>h</w:t>
      </w:r>
      <w:r w:rsidRPr="003D5082">
        <w:rPr>
          <w:rFonts w:cs="Times New Roman"/>
          <w:szCs w:val="20"/>
          <w:lang w:val="en-GB"/>
        </w:rPr>
        <w:t>aracterisation of the insert porosity by Raman microscopy</w:t>
      </w:r>
    </w:p>
    <w:p w:rsidR="00D7239C" w:rsidRPr="003D5082" w:rsidRDefault="00D7239C" w:rsidP="00D7239C">
      <w:pPr>
        <w:pStyle w:val="Paragraphedeliste"/>
        <w:numPr>
          <w:ilvl w:val="0"/>
          <w:numId w:val="2"/>
        </w:numPr>
        <w:spacing w:after="0" w:line="360" w:lineRule="auto"/>
        <w:contextualSpacing w:val="0"/>
        <w:jc w:val="both"/>
        <w:rPr>
          <w:rFonts w:cs="Times New Roman"/>
          <w:szCs w:val="20"/>
          <w:lang w:val="en-GB"/>
        </w:rPr>
      </w:pPr>
      <w:r>
        <w:rPr>
          <w:rFonts w:cs="Times New Roman"/>
          <w:szCs w:val="20"/>
          <w:lang w:val="en-GB"/>
        </w:rPr>
        <w:t>E</w:t>
      </w:r>
      <w:r w:rsidRPr="003D5082">
        <w:rPr>
          <w:rFonts w:cs="Times New Roman"/>
          <w:szCs w:val="20"/>
          <w:lang w:val="en-GB"/>
        </w:rPr>
        <w:t>pithelial barrier integrity and cell viability</w:t>
      </w:r>
    </w:p>
    <w:p w:rsidR="00D7239C" w:rsidRDefault="00D7239C" w:rsidP="00D7239C">
      <w:pPr>
        <w:pStyle w:val="Paragraphedeliste"/>
        <w:numPr>
          <w:ilvl w:val="0"/>
          <w:numId w:val="2"/>
        </w:numPr>
        <w:spacing w:after="0" w:line="360" w:lineRule="auto"/>
        <w:contextualSpacing w:val="0"/>
        <w:jc w:val="both"/>
        <w:rPr>
          <w:rFonts w:cs="Times New Roman"/>
          <w:szCs w:val="20"/>
          <w:lang w:val="en-GB"/>
        </w:rPr>
      </w:pPr>
      <w:r>
        <w:rPr>
          <w:rFonts w:cs="Times New Roman"/>
          <w:szCs w:val="20"/>
          <w:lang w:val="en-GB"/>
        </w:rPr>
        <w:t>ELISA and ELLA assays</w:t>
      </w:r>
    </w:p>
    <w:p w:rsidR="00D7239C" w:rsidRPr="003D5082" w:rsidRDefault="00D7239C" w:rsidP="00D7239C">
      <w:pPr>
        <w:pStyle w:val="Paragraphedeliste"/>
        <w:numPr>
          <w:ilvl w:val="0"/>
          <w:numId w:val="2"/>
        </w:numPr>
        <w:spacing w:after="0" w:line="360" w:lineRule="auto"/>
        <w:contextualSpacing w:val="0"/>
        <w:jc w:val="both"/>
        <w:rPr>
          <w:rFonts w:cs="Times New Roman"/>
          <w:szCs w:val="20"/>
          <w:lang w:val="en-GB"/>
        </w:rPr>
      </w:pPr>
      <w:r>
        <w:rPr>
          <w:rFonts w:cs="Times New Roman"/>
          <w:szCs w:val="20"/>
          <w:lang w:val="en-GB"/>
        </w:rPr>
        <w:t>RT-qPCR</w:t>
      </w:r>
    </w:p>
    <w:p w:rsidR="00D7239C" w:rsidRDefault="00D7239C" w:rsidP="00D7239C">
      <w:pPr>
        <w:spacing w:after="0" w:line="360" w:lineRule="auto"/>
        <w:jc w:val="both"/>
        <w:rPr>
          <w:rFonts w:cs="Times New Roman"/>
          <w:szCs w:val="20"/>
          <w:lang w:val="en-GB"/>
        </w:rPr>
      </w:pPr>
    </w:p>
    <w:p w:rsidR="00D7239C" w:rsidRPr="00377B4F" w:rsidRDefault="00D7239C" w:rsidP="00D7239C">
      <w:pPr>
        <w:spacing w:after="0" w:line="360" w:lineRule="auto"/>
        <w:jc w:val="both"/>
        <w:rPr>
          <w:rFonts w:cs="Times New Roman"/>
          <w:szCs w:val="20"/>
          <w:u w:val="single"/>
          <w:lang w:val="en-GB"/>
        </w:rPr>
      </w:pPr>
      <w:r w:rsidRPr="00377B4F">
        <w:rPr>
          <w:rFonts w:cs="Times New Roman"/>
          <w:szCs w:val="20"/>
          <w:u w:val="single"/>
          <w:lang w:val="en-GB"/>
        </w:rPr>
        <w:t>List of figures</w:t>
      </w:r>
    </w:p>
    <w:p w:rsidR="00D7239C" w:rsidRPr="003D5082" w:rsidRDefault="00D7239C" w:rsidP="00D7239C">
      <w:pPr>
        <w:spacing w:after="0" w:line="360" w:lineRule="auto"/>
        <w:jc w:val="both"/>
        <w:rPr>
          <w:rFonts w:cs="Times New Roman"/>
          <w:szCs w:val="20"/>
          <w:lang w:val="en-GB"/>
        </w:rPr>
      </w:pPr>
      <w:r>
        <w:rPr>
          <w:rFonts w:cs="Times New Roman"/>
          <w:szCs w:val="20"/>
          <w:lang w:val="en-GB"/>
        </w:rPr>
        <w:t>Figure S1. Effect of pseudo-ALI conditions</w:t>
      </w:r>
      <w:r w:rsidRPr="003D5082">
        <w:rPr>
          <w:rFonts w:cs="Times New Roman"/>
          <w:szCs w:val="20"/>
          <w:lang w:val="en-GB"/>
        </w:rPr>
        <w:t xml:space="preserve"> on TEER of the Calu-3 barrier</w:t>
      </w:r>
    </w:p>
    <w:p w:rsidR="00D7239C" w:rsidRPr="003D5082" w:rsidRDefault="00D7239C" w:rsidP="00D7239C">
      <w:pPr>
        <w:spacing w:after="0" w:line="360" w:lineRule="auto"/>
        <w:jc w:val="both"/>
        <w:rPr>
          <w:rFonts w:cs="Times New Roman"/>
          <w:szCs w:val="20"/>
          <w:highlight w:val="yellow"/>
          <w:lang w:val="en-GB"/>
        </w:rPr>
      </w:pPr>
      <w:r>
        <w:rPr>
          <w:rFonts w:cs="Times New Roman"/>
          <w:szCs w:val="20"/>
          <w:lang w:val="en-GB"/>
        </w:rPr>
        <w:t>Figure S2.</w:t>
      </w:r>
      <w:r w:rsidRPr="003D5082">
        <w:rPr>
          <w:rFonts w:cs="Times New Roman"/>
          <w:szCs w:val="20"/>
          <w:lang w:val="en-GB"/>
        </w:rPr>
        <w:t xml:space="preserve"> Effect of 5 repeated exposures to 1 µg/cm² AgNP</w:t>
      </w:r>
      <w:r>
        <w:rPr>
          <w:rFonts w:cs="Times New Roman"/>
          <w:szCs w:val="20"/>
          <w:lang w:val="en-GB"/>
        </w:rPr>
        <w:t>s</w:t>
      </w:r>
      <w:r w:rsidRPr="003D5082">
        <w:rPr>
          <w:rFonts w:cs="Times New Roman"/>
          <w:szCs w:val="20"/>
          <w:lang w:val="en-GB"/>
        </w:rPr>
        <w:t xml:space="preserve"> on Calu-3 viability and epithelial barrier integrity </w:t>
      </w:r>
    </w:p>
    <w:p w:rsidR="00D7239C" w:rsidRPr="003D5082" w:rsidRDefault="00D7239C" w:rsidP="00D7239C">
      <w:pPr>
        <w:spacing w:after="0" w:line="360" w:lineRule="auto"/>
        <w:jc w:val="both"/>
        <w:rPr>
          <w:rFonts w:cs="Times New Roman"/>
          <w:szCs w:val="20"/>
          <w:lang w:val="en-GB"/>
        </w:rPr>
      </w:pPr>
      <w:r>
        <w:rPr>
          <w:rFonts w:cs="Times New Roman"/>
          <w:szCs w:val="20"/>
          <w:lang w:val="en-GB"/>
        </w:rPr>
        <w:t>Figure S3.</w:t>
      </w:r>
      <w:r w:rsidRPr="003D5082">
        <w:rPr>
          <w:rFonts w:cs="Times New Roman"/>
          <w:szCs w:val="20"/>
          <w:lang w:val="en-GB"/>
        </w:rPr>
        <w:t xml:space="preserve"> </w:t>
      </w:r>
      <w:r>
        <w:rPr>
          <w:rFonts w:cs="Times New Roman"/>
          <w:szCs w:val="20"/>
          <w:lang w:val="en-GB"/>
        </w:rPr>
        <w:t>Analysis of</w:t>
      </w:r>
      <w:r w:rsidRPr="003D5082">
        <w:rPr>
          <w:rFonts w:cs="Times New Roman"/>
          <w:szCs w:val="20"/>
          <w:lang w:val="en-GB"/>
        </w:rPr>
        <w:t xml:space="preserve"> the </w:t>
      </w:r>
      <w:r>
        <w:rPr>
          <w:rFonts w:cs="Times New Roman"/>
          <w:szCs w:val="20"/>
          <w:lang w:val="en-GB"/>
        </w:rPr>
        <w:t>porosity</w:t>
      </w:r>
      <w:r w:rsidRPr="003D5082">
        <w:rPr>
          <w:rFonts w:cs="Times New Roman"/>
          <w:szCs w:val="20"/>
          <w:lang w:val="en-GB"/>
        </w:rPr>
        <w:t xml:space="preserve"> </w:t>
      </w:r>
      <w:r>
        <w:rPr>
          <w:rFonts w:cs="Times New Roman"/>
          <w:szCs w:val="20"/>
          <w:lang w:val="en-GB"/>
        </w:rPr>
        <w:t>of</w:t>
      </w:r>
      <w:r w:rsidRPr="003D5082">
        <w:rPr>
          <w:rFonts w:cs="Times New Roman"/>
          <w:szCs w:val="20"/>
          <w:lang w:val="en-GB"/>
        </w:rPr>
        <w:t xml:space="preserve"> Transwell and Millicell inserts</w:t>
      </w:r>
    </w:p>
    <w:p w:rsidR="00D7239C" w:rsidRPr="003D5082" w:rsidRDefault="00D7239C" w:rsidP="00D7239C">
      <w:pPr>
        <w:spacing w:after="0" w:line="360" w:lineRule="auto"/>
        <w:jc w:val="both"/>
        <w:rPr>
          <w:rFonts w:cs="Times New Roman"/>
          <w:szCs w:val="20"/>
          <w:lang w:val="en-GB"/>
        </w:rPr>
      </w:pPr>
      <w:r>
        <w:rPr>
          <w:rFonts w:cs="Times New Roman"/>
          <w:szCs w:val="20"/>
          <w:lang w:val="en-GB"/>
        </w:rPr>
        <w:t>Figure S4.</w:t>
      </w:r>
      <w:r w:rsidRPr="003D5082">
        <w:rPr>
          <w:rFonts w:cs="Times New Roman"/>
          <w:szCs w:val="20"/>
          <w:lang w:val="en-GB"/>
        </w:rPr>
        <w:t xml:space="preserve"> </w:t>
      </w:r>
      <w:r>
        <w:rPr>
          <w:rFonts w:cs="Times New Roman"/>
          <w:szCs w:val="20"/>
          <w:lang w:val="en-GB"/>
        </w:rPr>
        <w:t>TEM</w:t>
      </w:r>
      <w:r w:rsidRPr="003D5082">
        <w:rPr>
          <w:rFonts w:cs="Times New Roman"/>
          <w:szCs w:val="20"/>
          <w:lang w:val="en-GB"/>
        </w:rPr>
        <w:t xml:space="preserve"> observations of control Calu-3 cultures at ALI at D11 after 5 repeated exposure to HBSS</w:t>
      </w:r>
    </w:p>
    <w:p w:rsidR="00D7239C" w:rsidRPr="009A5A81" w:rsidRDefault="00D7239C" w:rsidP="00D7239C">
      <w:pPr>
        <w:spacing w:after="0" w:line="360" w:lineRule="auto"/>
        <w:jc w:val="both"/>
        <w:rPr>
          <w:rFonts w:cs="Times New Roman"/>
          <w:szCs w:val="20"/>
          <w:lang w:val="en-GB"/>
        </w:rPr>
      </w:pPr>
      <w:r w:rsidRPr="009A5A81">
        <w:rPr>
          <w:rFonts w:cs="Times New Roman"/>
          <w:szCs w:val="20"/>
          <w:lang w:val="en-GB"/>
        </w:rPr>
        <w:t xml:space="preserve">Figure S5. Silver </w:t>
      </w:r>
      <w:r>
        <w:rPr>
          <w:rFonts w:cs="Times New Roman"/>
          <w:szCs w:val="20"/>
          <w:lang w:val="en-GB"/>
        </w:rPr>
        <w:t>concentration</w:t>
      </w:r>
      <w:r w:rsidRPr="009A5A81">
        <w:rPr>
          <w:rFonts w:cs="Times New Roman"/>
          <w:szCs w:val="20"/>
          <w:lang w:val="en-GB"/>
        </w:rPr>
        <w:t xml:space="preserve"> in the apical and basal medium </w:t>
      </w:r>
      <w:r>
        <w:rPr>
          <w:rFonts w:cs="Times New Roman"/>
          <w:szCs w:val="20"/>
          <w:lang w:val="en-GB"/>
        </w:rPr>
        <w:t xml:space="preserve">measured </w:t>
      </w:r>
      <w:r w:rsidRPr="009A5A81">
        <w:rPr>
          <w:rFonts w:cs="Times New Roman"/>
          <w:szCs w:val="20"/>
          <w:lang w:val="en-GB"/>
        </w:rPr>
        <w:t>by ICP-MS</w:t>
      </w:r>
    </w:p>
    <w:p w:rsidR="00D7239C" w:rsidRPr="003D5082" w:rsidRDefault="00D7239C" w:rsidP="00D7239C">
      <w:pPr>
        <w:spacing w:after="0" w:line="360" w:lineRule="auto"/>
        <w:jc w:val="both"/>
        <w:rPr>
          <w:rFonts w:cs="Times New Roman"/>
          <w:szCs w:val="20"/>
          <w:lang w:val="en-GB"/>
        </w:rPr>
      </w:pPr>
      <w:r>
        <w:rPr>
          <w:rFonts w:cs="Times New Roman"/>
          <w:szCs w:val="20"/>
          <w:lang w:val="en-GB"/>
        </w:rPr>
        <w:t>Figure S6.</w:t>
      </w:r>
      <w:r w:rsidRPr="003D5082">
        <w:rPr>
          <w:rFonts w:cs="Times New Roman"/>
          <w:szCs w:val="20"/>
          <w:lang w:val="en-GB"/>
        </w:rPr>
        <w:t xml:space="preserve"> </w:t>
      </w:r>
      <w:r>
        <w:rPr>
          <w:rFonts w:cs="Times New Roman"/>
          <w:szCs w:val="20"/>
          <w:lang w:val="en-GB"/>
        </w:rPr>
        <w:t>Constitute secretion of</w:t>
      </w:r>
      <w:r w:rsidRPr="003D5082">
        <w:rPr>
          <w:rFonts w:cs="Times New Roman"/>
          <w:szCs w:val="20"/>
          <w:lang w:val="en-GB"/>
        </w:rPr>
        <w:t xml:space="preserve"> IL-6 and IL-8 by Ca</w:t>
      </w:r>
      <w:r>
        <w:rPr>
          <w:rFonts w:cs="Times New Roman"/>
          <w:szCs w:val="20"/>
          <w:lang w:val="en-GB"/>
        </w:rPr>
        <w:t xml:space="preserve">lu-3 cells </w:t>
      </w:r>
    </w:p>
    <w:p w:rsidR="00D7239C" w:rsidRPr="003D5082" w:rsidRDefault="00D7239C" w:rsidP="00D7239C">
      <w:pPr>
        <w:spacing w:after="0" w:line="360" w:lineRule="auto"/>
        <w:jc w:val="both"/>
        <w:rPr>
          <w:rFonts w:cs="Times New Roman"/>
          <w:szCs w:val="20"/>
          <w:lang w:val="en-GB"/>
        </w:rPr>
      </w:pPr>
      <w:r>
        <w:rPr>
          <w:rFonts w:cs="Times New Roman"/>
          <w:szCs w:val="20"/>
          <w:lang w:val="en-GB"/>
        </w:rPr>
        <w:t xml:space="preserve">Figure S7. </w:t>
      </w:r>
      <w:r w:rsidRPr="003D5082">
        <w:rPr>
          <w:rFonts w:cs="Times New Roman"/>
          <w:szCs w:val="20"/>
          <w:lang w:val="en-GB"/>
        </w:rPr>
        <w:t>Interaction of AgNP</w:t>
      </w:r>
      <w:r>
        <w:rPr>
          <w:rFonts w:cs="Times New Roman"/>
          <w:szCs w:val="20"/>
          <w:lang w:val="en-GB"/>
        </w:rPr>
        <w:t>s with IL-6</w:t>
      </w:r>
    </w:p>
    <w:p w:rsidR="00D7239C" w:rsidRPr="003D5082" w:rsidRDefault="00D7239C" w:rsidP="00D7239C">
      <w:pPr>
        <w:spacing w:after="0" w:line="360" w:lineRule="auto"/>
        <w:jc w:val="both"/>
        <w:rPr>
          <w:rFonts w:cs="Times New Roman"/>
          <w:szCs w:val="20"/>
          <w:lang w:val="en-GB"/>
        </w:rPr>
      </w:pPr>
      <w:r>
        <w:rPr>
          <w:rFonts w:cs="Times New Roman"/>
          <w:szCs w:val="20"/>
          <w:lang w:val="en-GB"/>
        </w:rPr>
        <w:t xml:space="preserve">Figure S8. </w:t>
      </w:r>
      <w:r w:rsidRPr="003D5082">
        <w:rPr>
          <w:rFonts w:cs="Times New Roman"/>
          <w:szCs w:val="20"/>
          <w:lang w:val="en-GB"/>
        </w:rPr>
        <w:t xml:space="preserve">Effect of 5 repeated exposures to 10 µg/cm² </w:t>
      </w:r>
      <w:r>
        <w:rPr>
          <w:rFonts w:cs="Times New Roman"/>
          <w:szCs w:val="20"/>
          <w:lang w:val="en-GB"/>
        </w:rPr>
        <w:t xml:space="preserve">AgNPs </w:t>
      </w:r>
      <w:r w:rsidRPr="003D5082">
        <w:rPr>
          <w:rFonts w:cs="Times New Roman"/>
          <w:szCs w:val="20"/>
          <w:lang w:val="en-GB"/>
        </w:rPr>
        <w:t xml:space="preserve">on </w:t>
      </w:r>
      <w:r>
        <w:rPr>
          <w:rFonts w:cs="Times New Roman"/>
          <w:szCs w:val="20"/>
          <w:lang w:val="en-GB"/>
        </w:rPr>
        <w:t xml:space="preserve">MUC5AC </w:t>
      </w:r>
      <w:r w:rsidRPr="003D5082">
        <w:rPr>
          <w:rFonts w:cs="Times New Roman"/>
          <w:szCs w:val="20"/>
          <w:lang w:val="en-GB"/>
        </w:rPr>
        <w:t xml:space="preserve">expression </w:t>
      </w:r>
    </w:p>
    <w:p w:rsidR="00D7239C" w:rsidRPr="003D5082" w:rsidRDefault="00D7239C" w:rsidP="00D7239C">
      <w:pPr>
        <w:spacing w:after="0" w:line="360" w:lineRule="auto"/>
        <w:jc w:val="both"/>
        <w:rPr>
          <w:rFonts w:cs="Times New Roman"/>
          <w:szCs w:val="20"/>
          <w:lang w:val="en-GB"/>
        </w:rPr>
      </w:pPr>
      <w:r>
        <w:rPr>
          <w:rFonts w:cs="Times New Roman"/>
          <w:szCs w:val="20"/>
          <w:lang w:val="en-GB"/>
        </w:rPr>
        <w:t>Figure S9. Oxidative potential of AgNPs and copper nanoparticles</w:t>
      </w:r>
    </w:p>
    <w:p w:rsidR="00D7239C" w:rsidRPr="003D5082" w:rsidRDefault="00D7239C" w:rsidP="00D7239C">
      <w:pPr>
        <w:spacing w:after="0" w:line="360" w:lineRule="auto"/>
        <w:jc w:val="both"/>
        <w:rPr>
          <w:rFonts w:cs="Times New Roman"/>
          <w:szCs w:val="20"/>
          <w:lang w:val="en-GB"/>
        </w:rPr>
      </w:pPr>
      <w:r>
        <w:rPr>
          <w:rFonts w:cs="Times New Roman"/>
          <w:szCs w:val="20"/>
          <w:lang w:val="en-GB"/>
        </w:rPr>
        <w:t xml:space="preserve">Figure S10. </w:t>
      </w:r>
      <w:r w:rsidRPr="003D5082">
        <w:rPr>
          <w:rFonts w:cs="Times New Roman"/>
          <w:szCs w:val="20"/>
          <w:lang w:val="en-GB"/>
        </w:rPr>
        <w:t>Effect of AgNO</w:t>
      </w:r>
      <w:r w:rsidRPr="003D5082">
        <w:rPr>
          <w:rFonts w:cs="Times New Roman"/>
          <w:szCs w:val="20"/>
          <w:vertAlign w:val="subscript"/>
          <w:lang w:val="en-GB"/>
        </w:rPr>
        <w:t>3</w:t>
      </w:r>
      <w:r w:rsidRPr="003D5082">
        <w:rPr>
          <w:rFonts w:cs="Times New Roman"/>
          <w:szCs w:val="20"/>
          <w:lang w:val="en-GB"/>
        </w:rPr>
        <w:t xml:space="preserve"> on Calu-3 viability, epithelial barrier integrity </w:t>
      </w:r>
      <w:r>
        <w:rPr>
          <w:rFonts w:cs="Times New Roman"/>
          <w:szCs w:val="20"/>
          <w:lang w:val="en-GB"/>
        </w:rPr>
        <w:t xml:space="preserve">and gene expression </w:t>
      </w:r>
    </w:p>
    <w:p w:rsidR="00D7239C" w:rsidRDefault="00D7239C" w:rsidP="00D7239C">
      <w:pPr>
        <w:spacing w:after="0" w:line="360" w:lineRule="auto"/>
        <w:jc w:val="both"/>
        <w:rPr>
          <w:rFonts w:cs="Times New Roman"/>
          <w:szCs w:val="20"/>
          <w:lang w:val="en-GB"/>
        </w:rPr>
      </w:pPr>
      <w:r>
        <w:rPr>
          <w:rFonts w:cs="Times New Roman"/>
          <w:szCs w:val="20"/>
          <w:lang w:val="en-GB"/>
        </w:rPr>
        <w:t>Figure S11.</w:t>
      </w:r>
      <w:r w:rsidRPr="003D5082">
        <w:rPr>
          <w:rFonts w:cs="Times New Roman"/>
          <w:szCs w:val="20"/>
          <w:lang w:val="en-GB"/>
        </w:rPr>
        <w:t xml:space="preserve"> Quantitative analysis of the </w:t>
      </w:r>
      <w:r>
        <w:rPr>
          <w:rFonts w:cs="Times New Roman"/>
          <w:szCs w:val="20"/>
          <w:lang w:val="en-GB"/>
        </w:rPr>
        <w:t xml:space="preserve">apical </w:t>
      </w:r>
      <w:r w:rsidRPr="003D5082">
        <w:rPr>
          <w:rFonts w:cs="Times New Roman"/>
          <w:szCs w:val="20"/>
          <w:lang w:val="en-GB"/>
        </w:rPr>
        <w:t xml:space="preserve">secretome of Calu-3 cells after </w:t>
      </w:r>
      <w:r>
        <w:rPr>
          <w:rFonts w:cs="Times New Roman"/>
          <w:szCs w:val="20"/>
          <w:lang w:val="en-GB"/>
        </w:rPr>
        <w:t xml:space="preserve">single and </w:t>
      </w:r>
      <w:r w:rsidRPr="003D5082">
        <w:rPr>
          <w:rFonts w:cs="Times New Roman"/>
          <w:szCs w:val="20"/>
          <w:lang w:val="en-GB"/>
        </w:rPr>
        <w:t>repeated exposure to AgNPs</w:t>
      </w:r>
    </w:p>
    <w:p w:rsidR="00D7239C" w:rsidRDefault="00D7239C" w:rsidP="00D7239C">
      <w:pPr>
        <w:spacing w:after="0" w:line="360" w:lineRule="auto"/>
        <w:jc w:val="both"/>
        <w:rPr>
          <w:rFonts w:cs="Times New Roman"/>
          <w:szCs w:val="20"/>
          <w:lang w:val="en-GB"/>
        </w:rPr>
      </w:pPr>
    </w:p>
    <w:p w:rsidR="00D7239C" w:rsidRPr="00377B4F" w:rsidRDefault="00D7239C" w:rsidP="00D7239C">
      <w:pPr>
        <w:spacing w:after="0" w:line="360" w:lineRule="auto"/>
        <w:jc w:val="both"/>
        <w:rPr>
          <w:rFonts w:cs="Times New Roman"/>
          <w:szCs w:val="20"/>
          <w:u w:val="single"/>
          <w:lang w:val="en-GB"/>
        </w:rPr>
      </w:pPr>
      <w:r>
        <w:rPr>
          <w:rFonts w:cs="Times New Roman"/>
          <w:szCs w:val="20"/>
          <w:u w:val="single"/>
          <w:lang w:val="en-GB"/>
        </w:rPr>
        <w:t>List of tables</w:t>
      </w:r>
    </w:p>
    <w:p w:rsidR="00D7239C" w:rsidRPr="003D5082" w:rsidRDefault="00D7239C" w:rsidP="00D7239C">
      <w:pPr>
        <w:spacing w:after="0" w:line="360" w:lineRule="auto"/>
        <w:jc w:val="both"/>
        <w:rPr>
          <w:rFonts w:cs="Times New Roman"/>
          <w:szCs w:val="20"/>
          <w:lang w:val="en-GB"/>
        </w:rPr>
      </w:pPr>
      <w:r>
        <w:rPr>
          <w:rFonts w:cs="Times New Roman"/>
          <w:szCs w:val="20"/>
          <w:lang w:val="en-GB"/>
        </w:rPr>
        <w:t>Table S1.</w:t>
      </w:r>
      <w:r w:rsidRPr="003D5082">
        <w:rPr>
          <w:rFonts w:cs="Times New Roman"/>
          <w:szCs w:val="20"/>
          <w:lang w:val="en-GB"/>
        </w:rPr>
        <w:t xml:space="preserve"> Sequences of the primers used for RT-qPCR</w:t>
      </w:r>
    </w:p>
    <w:p w:rsidR="00D7239C" w:rsidRDefault="00D7239C" w:rsidP="00D7239C">
      <w:pPr>
        <w:spacing w:after="0" w:line="360" w:lineRule="auto"/>
        <w:jc w:val="both"/>
        <w:rPr>
          <w:rFonts w:cs="Times New Roman"/>
          <w:szCs w:val="20"/>
          <w:lang w:val="en-GB"/>
        </w:rPr>
      </w:pPr>
      <w:r w:rsidRPr="009A5A81">
        <w:rPr>
          <w:rFonts w:cs="Times New Roman"/>
          <w:szCs w:val="20"/>
          <w:lang w:val="en-GB"/>
        </w:rPr>
        <w:t>Table S2. Silver concentration and translocation</w:t>
      </w:r>
      <w:r>
        <w:rPr>
          <w:rFonts w:cs="Times New Roman"/>
          <w:szCs w:val="20"/>
          <w:lang w:val="en-GB"/>
        </w:rPr>
        <w:t xml:space="preserve"> measured by ICP-MS</w:t>
      </w:r>
    </w:p>
    <w:p w:rsidR="00D7239C" w:rsidRDefault="00D7239C" w:rsidP="00D7239C">
      <w:pPr>
        <w:spacing w:after="0" w:line="360" w:lineRule="auto"/>
        <w:jc w:val="both"/>
        <w:rPr>
          <w:rFonts w:cs="Times New Roman"/>
          <w:szCs w:val="20"/>
          <w:lang w:val="en-GB"/>
        </w:rPr>
      </w:pPr>
    </w:p>
    <w:p w:rsidR="00D7239C" w:rsidRPr="002B6BC5" w:rsidRDefault="00D7239C" w:rsidP="00D7239C">
      <w:pPr>
        <w:spacing w:after="0" w:line="360" w:lineRule="auto"/>
        <w:jc w:val="both"/>
        <w:rPr>
          <w:rFonts w:cs="Times New Roman"/>
          <w:szCs w:val="20"/>
          <w:u w:val="single"/>
          <w:lang w:val="en-GB"/>
        </w:rPr>
      </w:pPr>
      <w:r w:rsidRPr="002B6BC5">
        <w:rPr>
          <w:rFonts w:cs="Times New Roman"/>
          <w:szCs w:val="20"/>
          <w:u w:val="single"/>
          <w:lang w:val="en-GB"/>
        </w:rPr>
        <w:t>Associated files</w:t>
      </w:r>
    </w:p>
    <w:p w:rsidR="00D7239C" w:rsidRPr="002B6BC5" w:rsidRDefault="00D7239C" w:rsidP="00D7239C">
      <w:pPr>
        <w:spacing w:after="0" w:line="360" w:lineRule="auto"/>
        <w:jc w:val="both"/>
        <w:rPr>
          <w:rFonts w:cs="Times New Roman"/>
          <w:szCs w:val="20"/>
          <w:lang w:val="en-GB"/>
        </w:rPr>
      </w:pPr>
      <w:r w:rsidRPr="002B6BC5">
        <w:rPr>
          <w:rFonts w:cs="Times New Roman"/>
          <w:szCs w:val="20"/>
          <w:lang w:val="en-GB"/>
        </w:rPr>
        <w:t>The complete list of proteins identified in the apical secretome of Calu-3 cells following repeated exposure to AgNPs or HBSS is available in the Excel file WS1.</w:t>
      </w:r>
    </w:p>
    <w:p w:rsidR="00D7239C" w:rsidRDefault="00D7239C" w:rsidP="00D7239C">
      <w:pPr>
        <w:spacing w:after="0" w:line="360" w:lineRule="auto"/>
        <w:jc w:val="both"/>
        <w:rPr>
          <w:rFonts w:cs="Times New Roman"/>
          <w:b/>
          <w:szCs w:val="20"/>
          <w:lang w:val="en-GB"/>
        </w:rPr>
      </w:pPr>
      <w:r w:rsidRPr="003D5082">
        <w:rPr>
          <w:rFonts w:cs="Times New Roman"/>
          <w:szCs w:val="20"/>
          <w:lang w:val="en-GB"/>
        </w:rPr>
        <w:br w:type="page"/>
      </w:r>
      <w:r>
        <w:rPr>
          <w:rFonts w:cs="Times New Roman"/>
          <w:b/>
          <w:szCs w:val="20"/>
          <w:lang w:val="en-GB"/>
        </w:rPr>
        <w:lastRenderedPageBreak/>
        <w:t>Detailed Methods</w:t>
      </w:r>
    </w:p>
    <w:p w:rsidR="00D7239C" w:rsidRPr="003D5082" w:rsidRDefault="00D7239C" w:rsidP="00D7239C">
      <w:pPr>
        <w:spacing w:after="0" w:line="360" w:lineRule="auto"/>
        <w:jc w:val="both"/>
        <w:rPr>
          <w:rFonts w:cs="Times New Roman"/>
          <w:b/>
          <w:szCs w:val="20"/>
          <w:u w:val="single"/>
          <w:lang w:val="en-GB"/>
        </w:rPr>
      </w:pPr>
      <w:r w:rsidRPr="003D5082">
        <w:rPr>
          <w:rFonts w:cs="Times New Roman"/>
          <w:b/>
          <w:szCs w:val="20"/>
          <w:u w:val="single"/>
          <w:lang w:val="en-GB"/>
        </w:rPr>
        <w:t>Calu-3 cell culture</w:t>
      </w:r>
    </w:p>
    <w:p w:rsidR="00D7239C" w:rsidRDefault="00D7239C" w:rsidP="00D7239C">
      <w:pPr>
        <w:spacing w:after="0" w:line="360" w:lineRule="auto"/>
        <w:jc w:val="both"/>
        <w:rPr>
          <w:rFonts w:eastAsia="Times New Roman" w:cs="Times New Roman"/>
          <w:szCs w:val="20"/>
          <w:lang w:val="en-GB"/>
        </w:rPr>
      </w:pPr>
      <w:r w:rsidRPr="003D5082">
        <w:rPr>
          <w:rFonts w:eastAsia="Times New Roman" w:cs="Times New Roman"/>
          <w:szCs w:val="20"/>
          <w:lang w:val="en-GB"/>
        </w:rPr>
        <w:t>Calu-3, human adenocarcinoma epithelial cells, (ATCC</w:t>
      </w:r>
      <w:r w:rsidRPr="003D5082">
        <w:rPr>
          <w:rFonts w:eastAsia="Times New Roman" w:cs="Times New Roman"/>
          <w:szCs w:val="20"/>
          <w:vertAlign w:val="superscript"/>
          <w:lang w:val="en-GB"/>
        </w:rPr>
        <w:t>®</w:t>
      </w:r>
      <w:r w:rsidRPr="003D5082">
        <w:rPr>
          <w:rFonts w:eastAsia="Times New Roman" w:cs="Times New Roman"/>
          <w:szCs w:val="20"/>
          <w:lang w:val="en-GB"/>
        </w:rPr>
        <w:t xml:space="preserve"> HTB-55</w:t>
      </w:r>
      <w:r w:rsidRPr="003D5082">
        <w:rPr>
          <w:rFonts w:eastAsia="Times New Roman" w:cs="Times New Roman"/>
          <w:szCs w:val="20"/>
          <w:vertAlign w:val="superscript"/>
          <w:lang w:val="en-GB"/>
        </w:rPr>
        <w:t>TM</w:t>
      </w:r>
      <w:r w:rsidRPr="003D5082">
        <w:rPr>
          <w:rFonts w:eastAsia="Times New Roman" w:cs="Times New Roman"/>
          <w:szCs w:val="20"/>
          <w:lang w:val="en-GB"/>
        </w:rPr>
        <w:t xml:space="preserve">, LGC standard, Molsheim, France) were used from passage 27 to 34 according to </w:t>
      </w:r>
      <w:r w:rsidRPr="003D5082">
        <w:rPr>
          <w:rFonts w:eastAsia="Times New Roman" w:cs="Times New Roman"/>
          <w:szCs w:val="20"/>
          <w:lang w:val="en-GB"/>
        </w:rPr>
        <w:fldChar w:fldCharType="begin"/>
      </w:r>
      <w:r w:rsidRPr="003D5082">
        <w:rPr>
          <w:rFonts w:eastAsia="Times New Roman" w:cs="Times New Roman"/>
          <w:szCs w:val="20"/>
          <w:lang w:val="en-GB"/>
        </w:rPr>
        <w:instrText xml:space="preserve"> ADDIN ZOTERO_ITEM CSL_CITATION {"citationID":"i8iKuTFJ","properties":{"formattedCitation":"(Sanchez-Guzman et al. 2021)","plainCitation":"(Sanchez-Guzman et al. 2021)","noteIndex":0},"citationItems":[{"id":11,"uris":["http://zotero.org/users/10350474/items/NLTD788D"],"itemData":{"id":11,"type":"article-journal","abstract":"Abstract\n            The human bronchial epithelium is the first line of defense against atmospheric particles, pollutants, and respiratory pathogens such as the novel SARS-CoV-2. The epithelial cells form a tight barrier and secrete proteins that are major components of the mucosal immune response. Functional in vitro models of the human lung are essential for screening the epithelial response and assessing the toxicity and barrier crossing of drugs, inhaled particles, and pollutants. However, there is a lack of models to investigate the effect of chronic exposure without resorting to animal testing. Here, we developed a 3D model of the human bronchial epithelium using Calu-3 cell line and demonstrated its viability and functionality for 21 days without subculturing. We investigated the effect of reduced Fetal Bovine Serum supplementation in the basal medium and defined the minimal supplementation needed to maintain a functional epithelium, so that the amount of exogenous serum proteins could be reduced during drug testing. The long-term evolution of the epithelial cell secretome was fully characterized by quantitative mass spectrometry in two preclinical models using Calu-3 or primary NHBE cells. 408 common secreted proteins were identified while significant differences in protein abundance were observed with time, suggesting that 7–10 days are necessary to establish a mature secretome in the Calu-3 model. The associated Reactome pathways highlight the role of the secreted proteins in the immune response of the bronchial epithelium. We suggest this preclinical 3D model can be used to evaluate the long-term toxicity of drugs or particles on the human bronchial epithelium, and subsequently to investigate their effect on the epithelial cell secretions.","container-title":"Scientific Reports","DOI":"10.1038/s41598-021-86037-0","ISSN":"2045-2322","issue":"1","journalAbbreviation":"Sci Rep","language":"en","page":"6621","source":"DOI.org (Crossref)","title":"Long-term evolution of the epithelial cell secretome in preclinical 3D models of the human bronchial epithelium","volume":"11","author":[{"family":"Sanchez-Guzman","given":"Daniel"},{"family":"Boland","given":"Sonja"},{"family":"Brookes","given":"Oliver"},{"family":"Mc Cord","given":"Claire"},{"family":"Lai Kuen","given":"René"},{"family":"Sirri","given":"Valentina"},{"family":"Baeza Squiban","given":"Armelle"},{"family":"Devineau","given":"Stéphanie"}],"issued":{"date-parts":[["2021",12]]}}}],"schema":"https://github.com/citation-style-language/schema/raw/master/csl-citation.json"} </w:instrText>
      </w:r>
      <w:r w:rsidRPr="003D5082">
        <w:rPr>
          <w:rFonts w:eastAsia="Times New Roman" w:cs="Times New Roman"/>
          <w:szCs w:val="20"/>
          <w:lang w:val="en-GB"/>
        </w:rPr>
        <w:fldChar w:fldCharType="separate"/>
      </w:r>
      <w:r w:rsidRPr="003D5082">
        <w:rPr>
          <w:rFonts w:cs="Times New Roman"/>
          <w:szCs w:val="20"/>
          <w:lang w:val="en-GB"/>
        </w:rPr>
        <w:t>(Sanchez-Guzman et al. 2021)</w:t>
      </w:r>
      <w:r w:rsidRPr="003D5082">
        <w:rPr>
          <w:rFonts w:eastAsia="Times New Roman" w:cs="Times New Roman"/>
          <w:szCs w:val="20"/>
          <w:lang w:val="en-GB"/>
        </w:rPr>
        <w:fldChar w:fldCharType="end"/>
      </w:r>
      <w:r w:rsidRPr="003D5082">
        <w:rPr>
          <w:rFonts w:eastAsia="Times New Roman" w:cs="Times New Roman"/>
          <w:szCs w:val="20"/>
          <w:lang w:val="en-GB"/>
        </w:rPr>
        <w:t xml:space="preserve">. Briefly, Calu-3 cells were grown in Eagle’s Minimum Essential Medium (MEM, Gibco, Thermo Fisher Scientific, </w:t>
      </w:r>
      <w:r w:rsidRPr="003D5082">
        <w:rPr>
          <w:rFonts w:cs="Times New Roman"/>
          <w:szCs w:val="20"/>
          <w:lang w:val="en-GB"/>
        </w:rPr>
        <w:t>Courtaboeuf, France</w:t>
      </w:r>
      <w:r w:rsidRPr="003D5082">
        <w:rPr>
          <w:rFonts w:eastAsia="Times New Roman" w:cs="Times New Roman"/>
          <w:szCs w:val="20"/>
          <w:lang w:val="en-GB"/>
        </w:rPr>
        <w:t>) supplemented with 10% v/v fetal bovine serum (FBS, Sigma-Aldrich), 1% non-essential amino acids (NEAA, Gibco), 1% sodium pyruvate (Gibco), 1% glutamax (Gibco), 1% penicillin streptomycin (Gibco), and 1% HEPES buffer (Gibco). Cell cultures were maintained in 25 or 75 cm</w:t>
      </w:r>
      <w:r w:rsidRPr="003D5082">
        <w:rPr>
          <w:rFonts w:eastAsia="Times New Roman" w:cs="Times New Roman"/>
          <w:szCs w:val="20"/>
          <w:vertAlign w:val="superscript"/>
          <w:lang w:val="en-GB"/>
        </w:rPr>
        <w:t>2</w:t>
      </w:r>
      <w:r w:rsidRPr="003D5082">
        <w:rPr>
          <w:rFonts w:eastAsia="Times New Roman" w:cs="Times New Roman"/>
          <w:szCs w:val="20"/>
          <w:lang w:val="en-GB"/>
        </w:rPr>
        <w:t xml:space="preserve"> culture flasks (Corning</w:t>
      </w:r>
      <w:r w:rsidRPr="003D5082">
        <w:rPr>
          <w:rFonts w:eastAsia="Times New Roman" w:cs="Times New Roman"/>
          <w:szCs w:val="20"/>
          <w:vertAlign w:val="superscript"/>
          <w:lang w:val="en-GB"/>
        </w:rPr>
        <w:t>®</w:t>
      </w:r>
      <w:r w:rsidRPr="003D5082">
        <w:rPr>
          <w:rFonts w:eastAsia="Times New Roman" w:cs="Times New Roman"/>
          <w:szCs w:val="20"/>
          <w:lang w:val="en-GB"/>
        </w:rPr>
        <w:t xml:space="preserve">, Dominique Dutscher, </w:t>
      </w:r>
      <w:r w:rsidRPr="003D5082">
        <w:rPr>
          <w:rFonts w:cs="Times New Roman"/>
          <w:color w:val="000000" w:themeColor="text1"/>
          <w:szCs w:val="20"/>
          <w:lang w:val="en-US"/>
        </w:rPr>
        <w:t>Bernolsheim, France</w:t>
      </w:r>
      <w:r w:rsidRPr="003D5082">
        <w:rPr>
          <w:rFonts w:eastAsia="Times New Roman" w:cs="Times New Roman"/>
          <w:szCs w:val="20"/>
          <w:lang w:val="en-GB"/>
        </w:rPr>
        <w:t>) at 37°C and 5% CO</w:t>
      </w:r>
      <w:r w:rsidRPr="003D5082">
        <w:rPr>
          <w:rFonts w:eastAsia="Times New Roman" w:cs="Times New Roman"/>
          <w:szCs w:val="20"/>
          <w:vertAlign w:val="subscript"/>
          <w:lang w:val="en-GB"/>
        </w:rPr>
        <w:t>2</w:t>
      </w:r>
      <w:r w:rsidRPr="003D5082">
        <w:rPr>
          <w:rFonts w:eastAsia="Times New Roman" w:cs="Times New Roman"/>
          <w:szCs w:val="20"/>
          <w:lang w:val="en-GB"/>
        </w:rPr>
        <w:t xml:space="preserve">. The culture medium was changed every 2-3 days and cells were passaged weekly, before confluence. </w:t>
      </w:r>
      <w:r w:rsidRPr="003D5082">
        <w:rPr>
          <w:rFonts w:eastAsia="Times New Roman" w:cs="Times New Roman"/>
          <w:color w:val="000000" w:themeColor="text1"/>
          <w:szCs w:val="20"/>
          <w:lang w:val="en-GB"/>
        </w:rPr>
        <w:t>To obtain</w:t>
      </w:r>
      <w:r>
        <w:rPr>
          <w:rFonts w:eastAsia="Times New Roman" w:cs="Times New Roman"/>
          <w:color w:val="000000" w:themeColor="text1"/>
          <w:szCs w:val="20"/>
          <w:lang w:val="en-GB"/>
        </w:rPr>
        <w:t xml:space="preserve"> an</w:t>
      </w:r>
      <w:r w:rsidRPr="003D5082">
        <w:rPr>
          <w:rFonts w:eastAsia="Times New Roman" w:cs="Times New Roman"/>
          <w:color w:val="000000" w:themeColor="text1"/>
          <w:szCs w:val="20"/>
          <w:lang w:val="en-GB"/>
        </w:rPr>
        <w:t xml:space="preserve"> epithelial barrier, </w:t>
      </w:r>
      <w:r w:rsidRPr="003D5082">
        <w:rPr>
          <w:rFonts w:eastAsia="Times New Roman" w:cs="Times New Roman"/>
          <w:szCs w:val="20"/>
          <w:lang w:val="en-GB"/>
        </w:rPr>
        <w:t>Calu-3 cells were seeded either on Millicell</w:t>
      </w:r>
      <w:r w:rsidRPr="003D5082">
        <w:rPr>
          <w:rFonts w:eastAsia="Times New Roman" w:cs="Times New Roman"/>
          <w:szCs w:val="20"/>
          <w:vertAlign w:val="superscript"/>
          <w:lang w:val="en-GB"/>
        </w:rPr>
        <w:t>®</w:t>
      </w:r>
      <w:r w:rsidRPr="003D5082">
        <w:rPr>
          <w:rFonts w:eastAsia="Times New Roman" w:cs="Times New Roman"/>
          <w:szCs w:val="20"/>
          <w:lang w:val="en-GB"/>
        </w:rPr>
        <w:t xml:space="preserve"> (Millipore, Sigma-Aldrich) or Transwell</w:t>
      </w:r>
      <w:r w:rsidRPr="003D5082">
        <w:rPr>
          <w:rFonts w:eastAsia="Times New Roman" w:cs="Times New Roman"/>
          <w:szCs w:val="20"/>
          <w:vertAlign w:val="superscript"/>
          <w:lang w:val="en-GB"/>
        </w:rPr>
        <w:t>®</w:t>
      </w:r>
      <w:r w:rsidRPr="003D5082">
        <w:rPr>
          <w:rFonts w:eastAsia="Times New Roman" w:cs="Times New Roman"/>
          <w:szCs w:val="20"/>
          <w:lang w:val="en-GB"/>
        </w:rPr>
        <w:t xml:space="preserve"> (Corning</w:t>
      </w:r>
      <w:r w:rsidRPr="003D5082">
        <w:rPr>
          <w:rFonts w:eastAsia="Times New Roman" w:cs="Times New Roman"/>
          <w:szCs w:val="20"/>
          <w:vertAlign w:val="superscript"/>
          <w:lang w:val="en-GB"/>
        </w:rPr>
        <w:t>®</w:t>
      </w:r>
      <w:r>
        <w:rPr>
          <w:rFonts w:eastAsia="Times New Roman" w:cs="Times New Roman"/>
          <w:szCs w:val="20"/>
          <w:lang w:val="en-GB"/>
        </w:rPr>
        <w:t xml:space="preserve">) inserts </w:t>
      </w:r>
      <w:r w:rsidRPr="003D5082">
        <w:rPr>
          <w:rFonts w:eastAsia="Times New Roman" w:cs="Times New Roman"/>
          <w:szCs w:val="20"/>
          <w:lang w:val="en-GB"/>
        </w:rPr>
        <w:t>with a polyethylene terephthalate (PET) membrane with 3 µm pore diameter and 1.1 cm</w:t>
      </w:r>
      <w:r w:rsidRPr="003D5082">
        <w:rPr>
          <w:rFonts w:eastAsia="Times New Roman" w:cs="Times New Roman"/>
          <w:szCs w:val="20"/>
          <w:vertAlign w:val="superscript"/>
          <w:lang w:val="en-GB"/>
        </w:rPr>
        <w:t xml:space="preserve">2 </w:t>
      </w:r>
      <w:r w:rsidRPr="003D5082">
        <w:rPr>
          <w:rFonts w:eastAsia="Times New Roman" w:cs="Times New Roman"/>
          <w:szCs w:val="20"/>
          <w:lang w:val="en-GB"/>
        </w:rPr>
        <w:t xml:space="preserve">surface area. When cultures exhibited TEER &gt; 700 </w:t>
      </w:r>
      <w:r w:rsidRPr="003D5082">
        <w:rPr>
          <w:rFonts w:eastAsia="Symbol" w:cs="Times New Roman"/>
          <w:szCs w:val="20"/>
        </w:rPr>
        <w:sym w:font="Symbol" w:char="F057"/>
      </w:r>
      <w:r w:rsidRPr="003D5082">
        <w:rPr>
          <w:rFonts w:eastAsia="Times New Roman" w:cs="Times New Roman"/>
          <w:szCs w:val="20"/>
          <w:lang w:val="en-GB"/>
        </w:rPr>
        <w:t>.cm</w:t>
      </w:r>
      <w:r w:rsidRPr="003D5082">
        <w:rPr>
          <w:rFonts w:eastAsia="Times New Roman" w:cs="Times New Roman"/>
          <w:szCs w:val="20"/>
          <w:vertAlign w:val="superscript"/>
          <w:lang w:val="en-GB"/>
        </w:rPr>
        <w:t>2</w:t>
      </w:r>
      <w:r w:rsidRPr="003D5082">
        <w:rPr>
          <w:rFonts w:eastAsia="Times New Roman" w:cs="Times New Roman"/>
          <w:szCs w:val="20"/>
          <w:lang w:val="en-GB"/>
        </w:rPr>
        <w:t>, an air-liquid interface (ALI) was created and the percentage of serum in the basolateral compartment was reduced to 4% FBS one day after ALI.</w:t>
      </w:r>
    </w:p>
    <w:p w:rsidR="00D7239C" w:rsidRPr="00F2694D" w:rsidRDefault="00D7239C" w:rsidP="00D7239C">
      <w:pPr>
        <w:spacing w:after="0" w:line="360" w:lineRule="auto"/>
        <w:jc w:val="both"/>
        <w:rPr>
          <w:rFonts w:eastAsia="Times New Roman" w:cs="Times New Roman"/>
          <w:szCs w:val="20"/>
          <w:lang w:val="en-GB"/>
        </w:rPr>
      </w:pPr>
    </w:p>
    <w:p w:rsidR="00D7239C" w:rsidRPr="003D5082" w:rsidRDefault="00D7239C" w:rsidP="00D7239C">
      <w:pPr>
        <w:spacing w:after="0" w:line="360" w:lineRule="auto"/>
        <w:jc w:val="both"/>
        <w:rPr>
          <w:rFonts w:cs="Times New Roman"/>
          <w:b/>
          <w:szCs w:val="20"/>
          <w:u w:val="single"/>
          <w:lang w:val="en-GB"/>
        </w:rPr>
      </w:pPr>
      <w:r>
        <w:rPr>
          <w:rFonts w:cs="Times New Roman"/>
          <w:b/>
          <w:szCs w:val="20"/>
          <w:u w:val="single"/>
          <w:lang w:val="en-GB"/>
        </w:rPr>
        <w:t>O</w:t>
      </w:r>
      <w:r w:rsidRPr="003D5082">
        <w:rPr>
          <w:rFonts w:cs="Times New Roman"/>
          <w:b/>
          <w:szCs w:val="20"/>
          <w:u w:val="single"/>
          <w:lang w:val="en-GB"/>
        </w:rPr>
        <w:t>xidative potential</w:t>
      </w:r>
      <w:r>
        <w:rPr>
          <w:rFonts w:cs="Times New Roman"/>
          <w:b/>
          <w:szCs w:val="20"/>
          <w:u w:val="single"/>
          <w:lang w:val="en-GB"/>
        </w:rPr>
        <w:t xml:space="preserve"> of AgNPs</w:t>
      </w:r>
    </w:p>
    <w:p w:rsidR="00D7239C" w:rsidRDefault="00D7239C" w:rsidP="00D7239C">
      <w:pPr>
        <w:spacing w:after="0" w:line="360" w:lineRule="auto"/>
        <w:jc w:val="both"/>
        <w:rPr>
          <w:rFonts w:eastAsia="Times New Roman" w:cs="Times New Roman"/>
          <w:szCs w:val="20"/>
          <w:lang w:val="en-GB"/>
        </w:rPr>
      </w:pPr>
      <w:r w:rsidRPr="003D5082">
        <w:rPr>
          <w:rFonts w:eastAsia="Times New Roman" w:cs="Times New Roman"/>
          <w:szCs w:val="20"/>
          <w:lang w:val="en-GB"/>
        </w:rPr>
        <w:t xml:space="preserve">The oxidative potential of AgNPs was determined by measuring the depletion of antioxidants (uric acid (UA), ascorbic acid (AA), and reduced glutathione GSH) following incubation of AgNPs in a simplified synthetic respiratory tract lining fluid (sRTLF) at 37°C for 4 h according to </w:t>
      </w:r>
      <w:r w:rsidRPr="003D5082">
        <w:rPr>
          <w:rFonts w:eastAsia="Times New Roman" w:cs="Times New Roman"/>
          <w:color w:val="1F4E79" w:themeColor="accent1" w:themeShade="80"/>
          <w:szCs w:val="20"/>
          <w:lang w:val="en-GB"/>
        </w:rPr>
        <w:fldChar w:fldCharType="begin"/>
      </w:r>
      <w:r>
        <w:rPr>
          <w:rFonts w:eastAsia="Times New Roman" w:cs="Times New Roman"/>
          <w:color w:val="1F4E79" w:themeColor="accent1" w:themeShade="80"/>
          <w:szCs w:val="20"/>
          <w:lang w:val="en-GB"/>
        </w:rPr>
        <w:instrText xml:space="preserve"> ADDIN ZOTERO_ITEM CSL_CITATION {"citationID":"eo4XTxne","properties":{"formattedCitation":"(Crobeddu et al. 2020)","plainCitation":"(Crobeddu et al. 2020)","noteIndex":0},"citationItems":[{"id":86,"uris":["http://zotero.org/users/10350474/items/BCBZGNI3"],"itemData":{"id":86,"type":"article-journal","container-title":"Environmental Science &amp; Technology","DOI":"10.1021/acs.est.9b05990","ISSN":"0013-936X, 1520-5851","issue":"4","journalAbbreviation":"Environ. Sci. Technol.","language":"en","page":"2360-2369","source":"DOI.org (Crossref)","title":"Lung Antioxidant Depletion: A Predictive Indicator of Cellular Stress Induced by Ambient Fine Particles","title-short":"Lung Antioxidant Depletion","volume":"54","author":[{"family":"Crobeddu","given":"Belinda"},{"family":"Baudrimont","given":"Isabelle"},{"family":"Deweirdt","given":"Juliette"},{"family":"Sciare","given":"Jean"},{"family":"Badel","given":"Anne"},{"family":"Camproux","given":"Anne-Claude"},{"family":"Bui","given":"Linh Chi"},{"family":"Baeza-Squiban","given":"Armelle"}],"issued":{"date-parts":[["2020",2,18]]}}}],"schema":"https://github.com/citation-style-language/schema/raw/master/csl-citation.json"} </w:instrText>
      </w:r>
      <w:r w:rsidRPr="003D5082">
        <w:rPr>
          <w:rFonts w:eastAsia="Times New Roman" w:cs="Times New Roman"/>
          <w:color w:val="1F4E79" w:themeColor="accent1" w:themeShade="80"/>
          <w:szCs w:val="20"/>
          <w:lang w:val="en-GB"/>
        </w:rPr>
        <w:fldChar w:fldCharType="separate"/>
      </w:r>
      <w:r w:rsidRPr="003D5082">
        <w:rPr>
          <w:rFonts w:cs="Times New Roman"/>
          <w:szCs w:val="20"/>
          <w:lang w:val="en-GB"/>
        </w:rPr>
        <w:t>(Crobeddu et al. 2020)</w:t>
      </w:r>
      <w:r w:rsidRPr="003D5082">
        <w:rPr>
          <w:rFonts w:eastAsia="Times New Roman" w:cs="Times New Roman"/>
          <w:color w:val="1F4E79" w:themeColor="accent1" w:themeShade="80"/>
          <w:szCs w:val="20"/>
          <w:lang w:val="en-GB"/>
        </w:rPr>
        <w:fldChar w:fldCharType="end"/>
      </w:r>
      <w:r w:rsidRPr="003D5082">
        <w:rPr>
          <w:rFonts w:eastAsia="Times New Roman" w:cs="Times New Roman"/>
          <w:color w:val="1F4E79" w:themeColor="accent1" w:themeShade="80"/>
          <w:szCs w:val="20"/>
          <w:lang w:val="en-GB"/>
        </w:rPr>
        <w:t>.</w:t>
      </w:r>
      <w:r w:rsidRPr="003D5082">
        <w:rPr>
          <w:rFonts w:eastAsia="Times New Roman" w:cs="Times New Roman"/>
          <w:szCs w:val="20"/>
          <w:lang w:val="en-GB"/>
        </w:rPr>
        <w:t xml:space="preserve"> Briefly, 1, 5, 10 µg/mL AgNPs were mixed for 4 h at 37°C with sRTLF (200 µM UA, 200 µM AA</w:t>
      </w:r>
      <w:r>
        <w:rPr>
          <w:rFonts w:eastAsia="Times New Roman" w:cs="Times New Roman"/>
          <w:szCs w:val="20"/>
          <w:lang w:val="en-GB"/>
        </w:rPr>
        <w:t xml:space="preserve"> and 200 µM GSH in 9 g/L NaCl solution</w:t>
      </w:r>
      <w:r w:rsidRPr="003D5082">
        <w:rPr>
          <w:rFonts w:eastAsia="Times New Roman" w:cs="Times New Roman"/>
          <w:szCs w:val="20"/>
          <w:lang w:val="en-GB"/>
        </w:rPr>
        <w:t xml:space="preserve"> pH 7.4). Then the solutions were centrifuged on SpinX 0.2 µm cellulose acetate fi</w:t>
      </w:r>
      <w:r>
        <w:rPr>
          <w:rFonts w:eastAsia="Times New Roman" w:cs="Times New Roman"/>
          <w:szCs w:val="20"/>
          <w:lang w:val="en-GB"/>
        </w:rPr>
        <w:t>lters at 12,000 g to remove Ag</w:t>
      </w:r>
      <w:r w:rsidRPr="003D5082">
        <w:rPr>
          <w:rFonts w:eastAsia="Times New Roman" w:cs="Times New Roman"/>
          <w:szCs w:val="20"/>
          <w:lang w:val="en-GB"/>
        </w:rPr>
        <w:t xml:space="preserve">NPs. The antioxidant (UA, AA, GSH) and oxidized glutathione (GSSG) concentrations were analyzed by reverse-phase HPLC on a Kromasil 100-5C18 column using 25 mM sodium phosphate and 0.5 mM octane sulfonic acid for the mobile phase A, and acetonitrile for the mobile phase B. The absorbance of UA, AA, GSH, and GSSG were measured at 280 nm, 243 nm, and 210 nm respectively. The depletion in </w:t>
      </w:r>
      <w:r>
        <w:rPr>
          <w:rFonts w:eastAsia="Times New Roman" w:cs="Times New Roman"/>
          <w:szCs w:val="20"/>
          <w:lang w:val="en-GB"/>
        </w:rPr>
        <w:t>GSH</w:t>
      </w:r>
      <w:r w:rsidRPr="003D5082">
        <w:rPr>
          <w:rFonts w:eastAsia="Times New Roman" w:cs="Times New Roman"/>
          <w:szCs w:val="20"/>
          <w:lang w:val="en-GB"/>
        </w:rPr>
        <w:t xml:space="preserve"> was confirmed by the formation of oxidized glutathione (GSSG). A sample containing sRTLF only was used as a reference. The depletion in antioxidant was expressed as the ratio between the antioxidant concentration difference between the reference and the sample, divided by the antioxidant concentration of the reference. Copper nanoparticles (CuNP</w:t>
      </w:r>
      <w:r>
        <w:rPr>
          <w:rFonts w:eastAsia="Times New Roman" w:cs="Times New Roman"/>
          <w:szCs w:val="20"/>
          <w:lang w:val="en-GB"/>
        </w:rPr>
        <w:t>) (</w:t>
      </w:r>
      <w:r w:rsidRPr="003D5082">
        <w:rPr>
          <w:rFonts w:eastAsia="Times New Roman" w:cs="Times New Roman"/>
          <w:szCs w:val="20"/>
          <w:lang w:val="en-GB"/>
        </w:rPr>
        <w:t xml:space="preserve">Sigma 774111) were used as a positive control. </w:t>
      </w:r>
    </w:p>
    <w:p w:rsidR="00D7239C" w:rsidRDefault="00D7239C" w:rsidP="00D7239C">
      <w:pPr>
        <w:spacing w:after="0" w:line="360" w:lineRule="auto"/>
        <w:jc w:val="both"/>
        <w:rPr>
          <w:rFonts w:eastAsia="Times New Roman" w:cs="Times New Roman"/>
          <w:szCs w:val="20"/>
          <w:lang w:val="en-GB"/>
        </w:rPr>
      </w:pPr>
    </w:p>
    <w:p w:rsidR="00D7239C" w:rsidRPr="003D5082" w:rsidRDefault="00D7239C" w:rsidP="00D7239C">
      <w:pPr>
        <w:spacing w:after="0" w:line="360" w:lineRule="auto"/>
        <w:jc w:val="both"/>
        <w:rPr>
          <w:rFonts w:cs="Times New Roman"/>
          <w:b/>
          <w:szCs w:val="20"/>
          <w:u w:val="single"/>
          <w:lang w:val="en-GB"/>
        </w:rPr>
      </w:pPr>
      <w:r>
        <w:rPr>
          <w:rFonts w:cs="Times New Roman"/>
          <w:b/>
          <w:szCs w:val="20"/>
          <w:u w:val="single"/>
          <w:lang w:val="en-GB"/>
        </w:rPr>
        <w:t>Exposure of Calu-3 cells to AgNO</w:t>
      </w:r>
      <w:r w:rsidRPr="007D5282">
        <w:rPr>
          <w:rFonts w:cs="Times New Roman"/>
          <w:b/>
          <w:szCs w:val="20"/>
          <w:u w:val="single"/>
          <w:vertAlign w:val="subscript"/>
          <w:lang w:val="en-GB"/>
        </w:rPr>
        <w:t>3</w:t>
      </w:r>
    </w:p>
    <w:p w:rsidR="00D7239C" w:rsidRPr="00F2694D" w:rsidRDefault="00D7239C" w:rsidP="00D7239C">
      <w:pPr>
        <w:spacing w:after="0" w:line="360" w:lineRule="auto"/>
        <w:jc w:val="both"/>
        <w:rPr>
          <w:rFonts w:eastAsia="Times New Roman" w:cs="Times New Roman"/>
          <w:szCs w:val="20"/>
          <w:lang w:val="en-GB"/>
        </w:rPr>
      </w:pPr>
      <w:r w:rsidRPr="003D5082">
        <w:rPr>
          <w:rFonts w:eastAsia="Times New Roman" w:cs="Times New Roman"/>
          <w:szCs w:val="20"/>
          <w:lang w:val="en-GB"/>
        </w:rPr>
        <w:t>20 µL of AgNO</w:t>
      </w:r>
      <w:r w:rsidRPr="003D5082">
        <w:rPr>
          <w:rFonts w:eastAsia="Times New Roman" w:cs="Times New Roman"/>
          <w:szCs w:val="20"/>
          <w:vertAlign w:val="subscript"/>
          <w:lang w:val="en-GB"/>
        </w:rPr>
        <w:t>3</w:t>
      </w:r>
      <w:r w:rsidRPr="003D5082">
        <w:rPr>
          <w:rFonts w:eastAsia="Times New Roman" w:cs="Times New Roman"/>
          <w:szCs w:val="20"/>
          <w:lang w:val="en-GB"/>
        </w:rPr>
        <w:t xml:space="preserve"> (Merck Millipore) at 790 µg/mL </w:t>
      </w:r>
      <w:r>
        <w:rPr>
          <w:rFonts w:eastAsia="Times New Roman" w:cs="Times New Roman"/>
          <w:szCs w:val="20"/>
          <w:lang w:val="en-GB"/>
        </w:rPr>
        <w:t xml:space="preserve">was used for exposure of Calu-3 cells </w:t>
      </w:r>
      <w:r w:rsidRPr="003D5082">
        <w:rPr>
          <w:rFonts w:eastAsia="Times New Roman" w:cs="Times New Roman"/>
          <w:szCs w:val="20"/>
          <w:lang w:val="en-GB"/>
        </w:rPr>
        <w:t>to obtain a concentration of Ag equivalent to that in 10 µg AgNPs/cm².</w:t>
      </w:r>
      <w:r>
        <w:rPr>
          <w:rFonts w:eastAsia="Times New Roman" w:cs="Times New Roman"/>
          <w:szCs w:val="20"/>
          <w:lang w:val="en-GB"/>
        </w:rPr>
        <w:t xml:space="preserve"> Cells were exposed twice on D0 and D2. Biological effects were assessed from D0 to D4. </w:t>
      </w:r>
    </w:p>
    <w:p w:rsidR="00D7239C" w:rsidRPr="003D5082" w:rsidRDefault="00D7239C" w:rsidP="00D7239C">
      <w:pPr>
        <w:spacing w:after="0" w:line="360" w:lineRule="auto"/>
        <w:jc w:val="both"/>
        <w:rPr>
          <w:rFonts w:eastAsia="Times New Roman" w:cs="Times New Roman"/>
          <w:szCs w:val="20"/>
          <w:lang w:val="en-GB"/>
        </w:rPr>
      </w:pPr>
    </w:p>
    <w:p w:rsidR="00D7239C" w:rsidRPr="003D5082" w:rsidRDefault="00D7239C" w:rsidP="00D7239C">
      <w:pPr>
        <w:spacing w:after="0" w:line="360" w:lineRule="auto"/>
        <w:jc w:val="both"/>
        <w:rPr>
          <w:rFonts w:eastAsia="Times New Roman" w:cs="Times New Roman"/>
          <w:szCs w:val="20"/>
          <w:lang w:val="en-GB"/>
        </w:rPr>
      </w:pPr>
      <w:r>
        <w:rPr>
          <w:rFonts w:cs="Times New Roman"/>
          <w:b/>
          <w:szCs w:val="20"/>
          <w:u w:val="single"/>
          <w:lang w:val="en-GB"/>
        </w:rPr>
        <w:t xml:space="preserve">Analysis </w:t>
      </w:r>
      <w:r w:rsidRPr="003D5082">
        <w:rPr>
          <w:rFonts w:cs="Times New Roman"/>
          <w:b/>
          <w:szCs w:val="20"/>
          <w:u w:val="single"/>
          <w:lang w:val="en-GB"/>
        </w:rPr>
        <w:t>of the insert porosity by Raman microscopy</w:t>
      </w:r>
    </w:p>
    <w:p w:rsidR="00D7239C" w:rsidRPr="003D5082" w:rsidRDefault="00D7239C" w:rsidP="00D7239C">
      <w:pPr>
        <w:spacing w:after="0" w:line="360" w:lineRule="auto"/>
        <w:jc w:val="both"/>
        <w:rPr>
          <w:rFonts w:eastAsia="Times New Roman" w:cs="Times New Roman"/>
          <w:szCs w:val="20"/>
          <w:lang w:val="en-GB"/>
        </w:rPr>
      </w:pPr>
      <w:r w:rsidRPr="003D5082">
        <w:rPr>
          <w:rFonts w:eastAsia="Times New Roman" w:cs="Times New Roman"/>
          <w:szCs w:val="20"/>
          <w:lang w:val="en-GB"/>
        </w:rPr>
        <w:t>The porosity of 3-µm inserts of the different providers (Transwell, Millicell) was characterized by Raman microscopy using an alpha300 R confocal microscope (WITec, Oxford Instruments). The Raman spectra were measured using an excitation wavelength of 532 nm and a grating of 600 g/mm with a 100x objective. The data were analysed using Project 5 Plus software for cosmic ray removal, baseline subtract</w:t>
      </w:r>
      <w:r>
        <w:rPr>
          <w:rFonts w:eastAsia="Times New Roman" w:cs="Times New Roman"/>
          <w:szCs w:val="20"/>
          <w:lang w:val="en-GB"/>
        </w:rPr>
        <w:t>ion, and spectral analysis. A</w:t>
      </w:r>
      <w:r w:rsidRPr="003D5082">
        <w:rPr>
          <w:rFonts w:eastAsia="Times New Roman" w:cs="Times New Roman"/>
          <w:szCs w:val="20"/>
          <w:lang w:val="en-GB"/>
        </w:rPr>
        <w:t>nalysis of the Raman spectra show</w:t>
      </w:r>
      <w:r>
        <w:rPr>
          <w:rFonts w:eastAsia="Times New Roman" w:cs="Times New Roman"/>
          <w:szCs w:val="20"/>
          <w:lang w:val="en-GB"/>
        </w:rPr>
        <w:t>s</w:t>
      </w:r>
      <w:r w:rsidRPr="003D5082">
        <w:rPr>
          <w:rFonts w:eastAsia="Times New Roman" w:cs="Times New Roman"/>
          <w:szCs w:val="20"/>
          <w:lang w:val="en-GB"/>
        </w:rPr>
        <w:t xml:space="preserve"> that both inserts have the same chemical composition (PET). The average </w:t>
      </w:r>
      <w:r w:rsidRPr="003D5082">
        <w:rPr>
          <w:rFonts w:eastAsia="Times New Roman" w:cs="Times New Roman"/>
          <w:szCs w:val="20"/>
          <w:lang w:val="en-GB"/>
        </w:rPr>
        <w:lastRenderedPageBreak/>
        <w:t>pore d</w:t>
      </w:r>
      <w:r>
        <w:rPr>
          <w:rFonts w:eastAsia="Times New Roman" w:cs="Times New Roman"/>
          <w:szCs w:val="20"/>
          <w:lang w:val="en-GB"/>
        </w:rPr>
        <w:t>iameter was automatically analyz</w:t>
      </w:r>
      <w:r w:rsidRPr="003D5082">
        <w:rPr>
          <w:rFonts w:eastAsia="Times New Roman" w:cs="Times New Roman"/>
          <w:szCs w:val="20"/>
          <w:lang w:val="en-GB"/>
        </w:rPr>
        <w:t xml:space="preserve">ed </w:t>
      </w:r>
      <w:r>
        <w:rPr>
          <w:rFonts w:eastAsia="Times New Roman" w:cs="Times New Roman"/>
          <w:szCs w:val="20"/>
          <w:lang w:val="en-GB"/>
        </w:rPr>
        <w:t>on the</w:t>
      </w:r>
      <w:r w:rsidRPr="003D5082">
        <w:rPr>
          <w:rFonts w:eastAsia="Times New Roman" w:cs="Times New Roman"/>
          <w:szCs w:val="20"/>
          <w:lang w:val="en-GB"/>
        </w:rPr>
        <w:t xml:space="preserve"> Raman images using Fiji software assuming spherical shape. A </w:t>
      </w:r>
      <w:r>
        <w:rPr>
          <w:rFonts w:eastAsia="Times New Roman" w:cs="Times New Roman"/>
          <w:szCs w:val="20"/>
          <w:lang w:val="en-GB"/>
        </w:rPr>
        <w:t>minimum of 100 pores were analyze</w:t>
      </w:r>
      <w:r w:rsidRPr="003D5082">
        <w:rPr>
          <w:rFonts w:eastAsia="Times New Roman" w:cs="Times New Roman"/>
          <w:szCs w:val="20"/>
          <w:lang w:val="en-GB"/>
        </w:rPr>
        <w:t>d for each insert. The data are presented as mean ± standard deviation. The percentage of single pores and fused pores was determined for each insert.</w:t>
      </w:r>
    </w:p>
    <w:p w:rsidR="00D7239C" w:rsidRPr="003D5082" w:rsidRDefault="00D7239C" w:rsidP="00D7239C">
      <w:pPr>
        <w:spacing w:after="0" w:line="360" w:lineRule="auto"/>
        <w:jc w:val="both"/>
        <w:rPr>
          <w:rFonts w:cs="Times New Roman"/>
          <w:szCs w:val="20"/>
          <w:lang w:val="en-GB"/>
        </w:rPr>
      </w:pPr>
    </w:p>
    <w:p w:rsidR="00D7239C" w:rsidRPr="003D5082" w:rsidRDefault="00D7239C" w:rsidP="00D7239C">
      <w:pPr>
        <w:spacing w:after="0" w:line="360" w:lineRule="auto"/>
        <w:jc w:val="both"/>
        <w:rPr>
          <w:rFonts w:cs="Times New Roman"/>
          <w:szCs w:val="20"/>
          <w:lang w:val="en-GB"/>
        </w:rPr>
      </w:pPr>
      <w:r>
        <w:rPr>
          <w:rFonts w:cs="Times New Roman"/>
          <w:b/>
          <w:szCs w:val="20"/>
          <w:u w:val="single"/>
          <w:lang w:val="en-GB"/>
        </w:rPr>
        <w:t>E</w:t>
      </w:r>
      <w:r w:rsidRPr="003D5082">
        <w:rPr>
          <w:rFonts w:cs="Times New Roman"/>
          <w:b/>
          <w:szCs w:val="20"/>
          <w:u w:val="single"/>
          <w:lang w:val="en-GB"/>
        </w:rPr>
        <w:t xml:space="preserve">pithelial barrier integrity and cell viability </w:t>
      </w:r>
    </w:p>
    <w:p w:rsidR="00D7239C" w:rsidRPr="003D5082" w:rsidRDefault="00D7239C" w:rsidP="00D7239C">
      <w:pPr>
        <w:pStyle w:val="Titre2"/>
        <w:numPr>
          <w:ilvl w:val="0"/>
          <w:numId w:val="0"/>
        </w:numPr>
        <w:spacing w:before="0" w:line="360" w:lineRule="auto"/>
        <w:ind w:left="9226" w:hanging="9226"/>
        <w:jc w:val="both"/>
        <w:rPr>
          <w:rFonts w:cs="Times New Roman"/>
          <w:sz w:val="20"/>
          <w:szCs w:val="20"/>
        </w:rPr>
      </w:pPr>
      <w:r w:rsidRPr="003D5082">
        <w:rPr>
          <w:rFonts w:cs="Times New Roman"/>
          <w:sz w:val="20"/>
          <w:szCs w:val="20"/>
        </w:rPr>
        <w:t>Trans-Epithelial Electrical Resistance (TEER)</w:t>
      </w:r>
      <w:r>
        <w:rPr>
          <w:rFonts w:cs="Times New Roman"/>
          <w:sz w:val="20"/>
          <w:szCs w:val="20"/>
        </w:rPr>
        <w:t xml:space="preserve">. </w:t>
      </w:r>
    </w:p>
    <w:p w:rsidR="00D7239C" w:rsidRPr="003D5082" w:rsidRDefault="00D7239C" w:rsidP="00D7239C">
      <w:pPr>
        <w:spacing w:after="0" w:line="360" w:lineRule="auto"/>
        <w:jc w:val="both"/>
        <w:rPr>
          <w:rFonts w:eastAsia="Times New Roman" w:cs="Times New Roman"/>
          <w:szCs w:val="20"/>
          <w:lang w:val="en-GB"/>
        </w:rPr>
      </w:pPr>
      <w:r w:rsidRPr="003D5082">
        <w:rPr>
          <w:rFonts w:eastAsia="Times New Roman" w:cs="Times New Roman"/>
          <w:szCs w:val="20"/>
          <w:lang w:val="en-GB"/>
        </w:rPr>
        <w:t>TEER was measured with an EVOM2 ohmmeter (World Precision Instruments, Sarasota, USA) and STX2 electrode. HBSS</w:t>
      </w:r>
      <w:r w:rsidRPr="003D5082">
        <w:rPr>
          <w:rFonts w:eastAsia="Times New Roman" w:cs="Times New Roman"/>
          <w:szCs w:val="20"/>
          <w:vertAlign w:val="superscript"/>
          <w:lang w:val="en-GB"/>
        </w:rPr>
        <w:t xml:space="preserve">Ca2+/Mg2+ </w:t>
      </w:r>
      <w:r w:rsidRPr="003D5082">
        <w:rPr>
          <w:rFonts w:eastAsia="Times New Roman" w:cs="Times New Roman"/>
          <w:szCs w:val="20"/>
          <w:lang w:val="en-GB"/>
        </w:rPr>
        <w:t xml:space="preserve">at 37°C was </w:t>
      </w:r>
      <w:r>
        <w:rPr>
          <w:rFonts w:eastAsia="Times New Roman" w:cs="Times New Roman"/>
          <w:szCs w:val="20"/>
          <w:lang w:val="en-GB"/>
        </w:rPr>
        <w:t>added to</w:t>
      </w:r>
      <w:r w:rsidRPr="003D5082">
        <w:rPr>
          <w:rFonts w:eastAsia="Times New Roman" w:cs="Times New Roman"/>
          <w:szCs w:val="20"/>
          <w:lang w:val="en-GB"/>
        </w:rPr>
        <w:t xml:space="preserve"> the basal (1.5 mL) and apical (0.5 mL) compartments. TEER was also measured in a cell-free insert (blank) and its value was subtract</w:t>
      </w:r>
      <w:r>
        <w:rPr>
          <w:rFonts w:eastAsia="Times New Roman" w:cs="Times New Roman"/>
          <w:szCs w:val="20"/>
          <w:lang w:val="en-GB"/>
        </w:rPr>
        <w:t>ed from values measured in cell-</w:t>
      </w:r>
      <w:r w:rsidRPr="003D5082">
        <w:rPr>
          <w:rFonts w:eastAsia="Times New Roman" w:cs="Times New Roman"/>
          <w:szCs w:val="20"/>
          <w:lang w:val="en-GB"/>
        </w:rPr>
        <w:t>seeded insert</w:t>
      </w:r>
      <w:r>
        <w:rPr>
          <w:rFonts w:eastAsia="Times New Roman" w:cs="Times New Roman"/>
          <w:szCs w:val="20"/>
          <w:lang w:val="en-GB"/>
        </w:rPr>
        <w:t>s</w:t>
      </w:r>
      <w:r w:rsidRPr="003D5082">
        <w:rPr>
          <w:rFonts w:eastAsia="Times New Roman" w:cs="Times New Roman"/>
          <w:szCs w:val="20"/>
          <w:lang w:val="en-GB"/>
        </w:rPr>
        <w:t xml:space="preserve">. Calu-3 cells form a tight epithelium if TEER &gt; 300 </w:t>
      </w:r>
      <w:r w:rsidRPr="003D5082">
        <w:rPr>
          <w:rFonts w:eastAsia="Symbol" w:cs="Times New Roman"/>
          <w:szCs w:val="20"/>
        </w:rPr>
        <w:sym w:font="Symbol" w:char="F057"/>
      </w:r>
      <w:r w:rsidRPr="003D5082">
        <w:rPr>
          <w:rFonts w:eastAsia="Times New Roman" w:cs="Times New Roman"/>
          <w:szCs w:val="20"/>
          <w:lang w:val="en-GB"/>
        </w:rPr>
        <w:t>.cm</w:t>
      </w:r>
      <w:r w:rsidRPr="003D5082">
        <w:rPr>
          <w:rFonts w:eastAsia="Times New Roman" w:cs="Times New Roman"/>
          <w:szCs w:val="20"/>
          <w:vertAlign w:val="superscript"/>
          <w:lang w:val="en-GB"/>
        </w:rPr>
        <w:t xml:space="preserve">2 </w:t>
      </w:r>
      <w:r w:rsidRPr="003D5082">
        <w:rPr>
          <w:rFonts w:eastAsia="Times New Roman" w:cs="Times New Roman"/>
          <w:szCs w:val="20"/>
          <w:vertAlign w:val="superscript"/>
          <w:lang w:val="en-GB"/>
        </w:rPr>
        <w:fldChar w:fldCharType="begin"/>
      </w:r>
      <w:r w:rsidRPr="003D5082">
        <w:rPr>
          <w:rFonts w:eastAsia="Times New Roman" w:cs="Times New Roman"/>
          <w:szCs w:val="20"/>
          <w:vertAlign w:val="superscript"/>
          <w:lang w:val="en-GB"/>
        </w:rPr>
        <w:instrText xml:space="preserve"> ADDIN ZOTERO_ITEM CSL_CITATION {"citationID":"qZTjRWHe","properties":{"formattedCitation":"(Sanchez-Guzman et al. 2021)","plainCitation":"(Sanchez-Guzman et al. 2021)","noteIndex":0},"citationItems":[{"id":11,"uris":["http://zotero.org/users/10350474/items/NLTD788D"],"itemData":{"id":11,"type":"article-journal","abstract":"Abstract\n            The human bronchial epithelium is the first line of defense against atmospheric particles, pollutants, and respiratory pathogens such as the novel SARS-CoV-2. The epithelial cells form a tight barrier and secrete proteins that are major components of the mucosal immune response. Functional in vitro models of the human lung are essential for screening the epithelial response and assessing the toxicity and barrier crossing of drugs, inhaled particles, and pollutants. However, there is a lack of models to investigate the effect of chronic exposure without resorting to animal testing. Here, we developed a 3D model of the human bronchial epithelium using Calu-3 cell line and demonstrated its viability and functionality for 21 days without subculturing. We investigated the effect of reduced Fetal Bovine Serum supplementation in the basal medium and defined the minimal supplementation needed to maintain a functional epithelium, so that the amount of exogenous serum proteins could be reduced during drug testing. The long-term evolution of the epithelial cell secretome was fully characterized by quantitative mass spectrometry in two preclinical models using Calu-3 or primary NHBE cells. 408 common secreted proteins were identified while significant differences in protein abundance were observed with time, suggesting that 7–10 days are necessary to establish a mature secretome in the Calu-3 model. The associated Reactome pathways highlight the role of the secreted proteins in the immune response of the bronchial epithelium. We suggest this preclinical 3D model can be used to evaluate the long-term toxicity of drugs or particles on the human bronchial epithelium, and subsequently to investigate their effect on the epithelial cell secretions.","container-title":"Scientific Reports","DOI":"10.1038/s41598-021-86037-0","ISSN":"2045-2322","issue":"1","journalAbbreviation":"Sci Rep","language":"en","page":"6621","source":"DOI.org (Crossref)","title":"Long-term evolution of the epithelial cell secretome in preclinical 3D models of the human bronchial epithelium","volume":"11","author":[{"family":"Sanchez-Guzman","given":"Daniel"},{"family":"Boland","given":"Sonja"},{"family":"Brookes","given":"Oliver"},{"family":"Mc Cord","given":"Claire"},{"family":"Lai Kuen","given":"René"},{"family":"Sirri","given":"Valentina"},{"family":"Baeza Squiban","given":"Armelle"},{"family":"Devineau","given":"Stéphanie"}],"issued":{"date-parts":[["2021",12]]}}}],"schema":"https://github.com/citation-style-language/schema/raw/master/csl-citation.json"} </w:instrText>
      </w:r>
      <w:r w:rsidRPr="003D5082">
        <w:rPr>
          <w:rFonts w:eastAsia="Times New Roman" w:cs="Times New Roman"/>
          <w:szCs w:val="20"/>
          <w:vertAlign w:val="superscript"/>
          <w:lang w:val="en-GB"/>
        </w:rPr>
        <w:fldChar w:fldCharType="separate"/>
      </w:r>
      <w:r w:rsidRPr="0095324A">
        <w:rPr>
          <w:rFonts w:cs="Times New Roman"/>
          <w:szCs w:val="20"/>
          <w:lang w:val="en-GB"/>
        </w:rPr>
        <w:t>(Sanchez-Guzman et al. 2021)</w:t>
      </w:r>
      <w:r w:rsidRPr="003D5082">
        <w:rPr>
          <w:rFonts w:eastAsia="Times New Roman" w:cs="Times New Roman"/>
          <w:szCs w:val="20"/>
          <w:vertAlign w:val="superscript"/>
          <w:lang w:val="en-GB"/>
        </w:rPr>
        <w:fldChar w:fldCharType="end"/>
      </w:r>
      <w:r w:rsidRPr="003D5082">
        <w:rPr>
          <w:rFonts w:eastAsia="Times New Roman" w:cs="Times New Roman"/>
          <w:szCs w:val="20"/>
          <w:lang w:val="en-GB"/>
        </w:rPr>
        <w:t xml:space="preserve">. </w:t>
      </w:r>
    </w:p>
    <w:p w:rsidR="00D7239C" w:rsidRPr="003D5082" w:rsidRDefault="00D7239C" w:rsidP="00D7239C">
      <w:pPr>
        <w:pStyle w:val="Titre2"/>
        <w:numPr>
          <w:ilvl w:val="0"/>
          <w:numId w:val="0"/>
        </w:numPr>
        <w:spacing w:before="0" w:line="360" w:lineRule="auto"/>
        <w:jc w:val="both"/>
        <w:rPr>
          <w:rFonts w:cs="Times New Roman"/>
          <w:sz w:val="20"/>
          <w:szCs w:val="20"/>
        </w:rPr>
      </w:pPr>
      <w:r w:rsidRPr="003D5082">
        <w:rPr>
          <w:rFonts w:cs="Times New Roman"/>
          <w:sz w:val="20"/>
          <w:szCs w:val="20"/>
        </w:rPr>
        <w:t xml:space="preserve">Lucifer yellow permeability assay </w:t>
      </w:r>
    </w:p>
    <w:p w:rsidR="00D7239C" w:rsidRPr="003D5082" w:rsidRDefault="00D7239C" w:rsidP="00D7239C">
      <w:pPr>
        <w:spacing w:after="0" w:line="360" w:lineRule="auto"/>
        <w:jc w:val="both"/>
        <w:rPr>
          <w:rFonts w:eastAsia="Cambria Math" w:cs="Times New Roman"/>
          <w:szCs w:val="20"/>
          <w:lang w:val="en-GB"/>
        </w:rPr>
      </w:pPr>
      <w:r w:rsidRPr="003D5082">
        <w:rPr>
          <w:rFonts w:eastAsia="Times New Roman" w:cs="Times New Roman"/>
          <w:szCs w:val="20"/>
          <w:lang w:val="en-GB"/>
        </w:rPr>
        <w:t xml:space="preserve">The Lucifer Yellow (LY) paracellular permeability assay (Sigma-Aldrich) was done according </w:t>
      </w:r>
      <w:r w:rsidRPr="003D5082">
        <w:rPr>
          <w:rFonts w:eastAsia="Times New Roman" w:cs="Times New Roman"/>
          <w:color w:val="000000" w:themeColor="text1"/>
          <w:szCs w:val="20"/>
          <w:lang w:val="en-GB"/>
        </w:rPr>
        <w:t>to the manufacturer</w:t>
      </w:r>
      <w:r w:rsidRPr="003D5082">
        <w:rPr>
          <w:rFonts w:eastAsia="Times New Roman" w:cs="Times New Roman"/>
          <w:szCs w:val="20"/>
          <w:lang w:val="en-GB"/>
        </w:rPr>
        <w:t>. Briefly, LY (0.1 mg/mL in HBSS</w:t>
      </w:r>
      <w:r w:rsidRPr="003D5082">
        <w:rPr>
          <w:rFonts w:eastAsia="Times New Roman" w:cs="Times New Roman"/>
          <w:szCs w:val="20"/>
          <w:vertAlign w:val="superscript"/>
          <w:lang w:val="en-GB"/>
        </w:rPr>
        <w:t>Ca2+/Mg2+</w:t>
      </w:r>
      <w:r w:rsidRPr="003D5082">
        <w:rPr>
          <w:rFonts w:eastAsia="Times New Roman" w:cs="Times New Roman"/>
          <w:szCs w:val="20"/>
          <w:lang w:val="en-GB"/>
        </w:rPr>
        <w:t>) was added to the apical (0.5 mL) compartment and the basal compartment was filled with 1 mL HBSS</w:t>
      </w:r>
      <w:r w:rsidRPr="003D5082">
        <w:rPr>
          <w:rFonts w:eastAsia="Times New Roman" w:cs="Times New Roman"/>
          <w:szCs w:val="20"/>
          <w:vertAlign w:val="superscript"/>
          <w:lang w:val="en-GB"/>
        </w:rPr>
        <w:t>Ca2+/Mg2+</w:t>
      </w:r>
      <w:r w:rsidRPr="003D5082">
        <w:rPr>
          <w:rFonts w:eastAsia="Times New Roman" w:cs="Times New Roman"/>
          <w:szCs w:val="20"/>
          <w:lang w:val="en-GB"/>
        </w:rPr>
        <w:t xml:space="preserve">. After 1h incubation, 0.1 mL of the apical and basal solutions were transferred to a 96-well clear bottom microplate (µClear®, Greiner Bio-One, Germany) for fluorescence measurement on a FlexStation 3 multi-mode microplate reader (Molecular Devices, San Jose, California) with excitation and emission wavelengths set at 485 nm and 538 nm. The permeability was calculated </w:t>
      </w:r>
      <w:r>
        <w:rPr>
          <w:rFonts w:eastAsia="Times New Roman" w:cs="Times New Roman"/>
          <w:szCs w:val="20"/>
          <w:lang w:val="en-GB"/>
        </w:rPr>
        <w:t>according to</w:t>
      </w:r>
      <w:r w:rsidRPr="003D5082">
        <w:rPr>
          <w:rFonts w:eastAsia="Times New Roman" w:cs="Times New Roman"/>
          <w:color w:val="1F4E79" w:themeColor="accent1" w:themeShade="80"/>
          <w:szCs w:val="20"/>
          <w:lang w:val="en-GB"/>
        </w:rPr>
        <w:t xml:space="preserve"> </w:t>
      </w:r>
      <w:r w:rsidRPr="003D5082">
        <w:rPr>
          <w:rFonts w:eastAsia="Times New Roman" w:cs="Times New Roman"/>
          <w:color w:val="1F4E79" w:themeColor="accent1" w:themeShade="80"/>
          <w:szCs w:val="20"/>
          <w:lang w:val="en-GB"/>
        </w:rPr>
        <w:fldChar w:fldCharType="begin"/>
      </w:r>
      <w:r w:rsidRPr="003D5082">
        <w:rPr>
          <w:rFonts w:eastAsia="Times New Roman" w:cs="Times New Roman"/>
          <w:color w:val="1F4E79" w:themeColor="accent1" w:themeShade="80"/>
          <w:szCs w:val="20"/>
          <w:lang w:val="en-GB"/>
        </w:rPr>
        <w:instrText xml:space="preserve"> ADDIN ZOTERO_ITEM CSL_CITATION {"citationID":"NSIIy64t","properties":{"formattedCitation":"(Sanchez-Guzman et al. 2021)","plainCitation":"(Sanchez-Guzman et al. 2021)","noteIndex":0},"citationItems":[{"id":11,"uris":["http://zotero.org/users/10350474/items/NLTD788D"],"itemData":{"id":11,"type":"article-journal","abstract":"Abstract\n            The human bronchial epithelium is the first line of defense against atmospheric particles, pollutants, and respiratory pathogens such as the novel SARS-CoV-2. The epithelial cells form a tight barrier and secrete proteins that are major components of the mucosal immune response. Functional in vitro models of the human lung are essential for screening the epithelial response and assessing the toxicity and barrier crossing of drugs, inhaled particles, and pollutants. However, there is a lack of models to investigate the effect of chronic exposure without resorting to animal testing. Here, we developed a 3D model of the human bronchial epithelium using Calu-3 cell line and demonstrated its viability and functionality for 21 days without subculturing. We investigated the effect of reduced Fetal Bovine Serum supplementation in the basal medium and defined the minimal supplementation needed to maintain a functional epithelium, so that the amount of exogenous serum proteins could be reduced during drug testing. The long-term evolution of the epithelial cell secretome was fully characterized by quantitative mass spectrometry in two preclinical models using Calu-3 or primary NHBE cells. 408 common secreted proteins were identified while significant differences in protein abundance were observed with time, suggesting that 7–10 days are necessary to establish a mature secretome in the Calu-3 model. The associated Reactome pathways highlight the role of the secreted proteins in the immune response of the bronchial epithelium. We suggest this preclinical 3D model can be used to evaluate the long-term toxicity of drugs or particles on the human bronchial epithelium, and subsequently to investigate their effect on the epithelial cell secretions.","container-title":"Scientific Reports","DOI":"10.1038/s41598-021-86037-0","ISSN":"2045-2322","issue":"1","journalAbbreviation":"Sci Rep","language":"en","page":"6621","source":"DOI.org (Crossref)","title":"Long-term evolution of the epithelial cell secretome in preclinical 3D models of the human bronchial epithelium","volume":"11","author":[{"family":"Sanchez-Guzman","given":"Daniel"},{"family":"Boland","given":"Sonja"},{"family":"Brookes","given":"Oliver"},{"family":"Mc Cord","given":"Claire"},{"family":"Lai Kuen","given":"René"},{"family":"Sirri","given":"Valentina"},{"family":"Baeza Squiban","given":"Armelle"},{"family":"Devineau","given":"Stéphanie"}],"issued":{"date-parts":[["2021",12]]}}}],"schema":"https://github.com/citation-style-language/schema/raw/master/csl-citation.json"} </w:instrText>
      </w:r>
      <w:r w:rsidRPr="003D5082">
        <w:rPr>
          <w:rFonts w:eastAsia="Times New Roman" w:cs="Times New Roman"/>
          <w:color w:val="1F4E79" w:themeColor="accent1" w:themeShade="80"/>
          <w:szCs w:val="20"/>
          <w:lang w:val="en-GB"/>
        </w:rPr>
        <w:fldChar w:fldCharType="separate"/>
      </w:r>
      <w:r w:rsidRPr="003D5082">
        <w:rPr>
          <w:rFonts w:cs="Times New Roman"/>
          <w:szCs w:val="20"/>
          <w:lang w:val="en-GB"/>
        </w:rPr>
        <w:t>(Sanchez-Guzman et al. 2021)</w:t>
      </w:r>
      <w:r w:rsidRPr="003D5082">
        <w:rPr>
          <w:rFonts w:eastAsia="Times New Roman" w:cs="Times New Roman"/>
          <w:color w:val="1F4E79" w:themeColor="accent1" w:themeShade="80"/>
          <w:szCs w:val="20"/>
          <w:lang w:val="en-GB"/>
        </w:rPr>
        <w:fldChar w:fldCharType="end"/>
      </w:r>
      <w:r w:rsidRPr="003D5082">
        <w:rPr>
          <w:rFonts w:eastAsia="Times New Roman" w:cs="Times New Roman"/>
          <w:szCs w:val="20"/>
          <w:lang w:val="en-GB"/>
        </w:rPr>
        <w:t xml:space="preserve">. Calu-3 cells form a tight epithelium if </w:t>
      </w:r>
      <w:r>
        <w:rPr>
          <w:rFonts w:eastAsia="Times New Roman" w:cs="Times New Roman"/>
          <w:szCs w:val="20"/>
          <w:lang w:val="en-GB"/>
        </w:rPr>
        <w:t xml:space="preserve">LY </w:t>
      </w:r>
      <w:r w:rsidRPr="003D5082">
        <w:rPr>
          <w:rFonts w:eastAsia="Times New Roman" w:cs="Times New Roman"/>
          <w:szCs w:val="20"/>
          <w:lang w:val="en-GB"/>
        </w:rPr>
        <w:t>permeability &lt;2 %.</w:t>
      </w:r>
    </w:p>
    <w:p w:rsidR="00D7239C" w:rsidRPr="003D5082" w:rsidRDefault="00D7239C" w:rsidP="00D7239C">
      <w:pPr>
        <w:pStyle w:val="Titre2"/>
        <w:numPr>
          <w:ilvl w:val="0"/>
          <w:numId w:val="0"/>
        </w:numPr>
        <w:spacing w:before="0" w:line="360" w:lineRule="auto"/>
        <w:ind w:left="8506" w:hanging="8506"/>
        <w:jc w:val="both"/>
        <w:rPr>
          <w:rFonts w:cs="Times New Roman"/>
          <w:sz w:val="20"/>
          <w:szCs w:val="20"/>
        </w:rPr>
      </w:pPr>
      <w:r w:rsidRPr="003D5082">
        <w:rPr>
          <w:rFonts w:cs="Times New Roman"/>
          <w:sz w:val="20"/>
          <w:szCs w:val="20"/>
        </w:rPr>
        <w:t>Alamar Blue™ assay</w:t>
      </w:r>
    </w:p>
    <w:p w:rsidR="00D7239C" w:rsidRPr="003D5082" w:rsidRDefault="00D7239C" w:rsidP="00D7239C">
      <w:pPr>
        <w:spacing w:after="0" w:line="360" w:lineRule="auto"/>
        <w:jc w:val="both"/>
        <w:rPr>
          <w:rFonts w:eastAsia="Times New Roman" w:cs="Times New Roman"/>
          <w:szCs w:val="20"/>
          <w:lang w:val="en-GB"/>
        </w:rPr>
      </w:pPr>
      <w:r w:rsidRPr="003D5082">
        <w:rPr>
          <w:rFonts w:eastAsia="Times New Roman" w:cs="Times New Roman"/>
          <w:szCs w:val="20"/>
          <w:lang w:val="en-GB"/>
        </w:rPr>
        <w:t>1 mL of 10% v/v AlamarBlue™ (AB, Thermo Fisher Scientific) diluted in HBSS</w:t>
      </w:r>
      <w:r w:rsidRPr="003D5082">
        <w:rPr>
          <w:rFonts w:eastAsia="Times New Roman" w:cs="Times New Roman"/>
          <w:szCs w:val="20"/>
          <w:vertAlign w:val="superscript"/>
          <w:lang w:val="en-GB"/>
        </w:rPr>
        <w:t>Ca2+/Mg2+</w:t>
      </w:r>
      <w:r w:rsidRPr="003D5082">
        <w:rPr>
          <w:rFonts w:eastAsia="Times New Roman" w:cs="Times New Roman"/>
          <w:szCs w:val="20"/>
          <w:lang w:val="en-GB"/>
        </w:rPr>
        <w:t xml:space="preserve"> was added to the basal compartment of control and treated cultures. After 2 h incubation, 150 µL </w:t>
      </w:r>
      <w:r>
        <w:rPr>
          <w:rFonts w:eastAsia="Times New Roman" w:cs="Times New Roman"/>
          <w:szCs w:val="20"/>
          <w:lang w:val="en-GB"/>
        </w:rPr>
        <w:t>of</w:t>
      </w:r>
      <w:r w:rsidRPr="003D5082">
        <w:rPr>
          <w:rFonts w:eastAsia="Times New Roman" w:cs="Times New Roman"/>
          <w:szCs w:val="20"/>
          <w:lang w:val="en-GB"/>
        </w:rPr>
        <w:t xml:space="preserve"> basal medium were transferred to a 96-well clear bottom microplate (µClear®, Greiner Bio-One, Dominique Dutscher). Fluorescence measurements were carried out on a FlexStation 3 multi-mode microplate reader </w:t>
      </w:r>
      <w:r>
        <w:rPr>
          <w:rFonts w:eastAsia="Times New Roman" w:cs="Times New Roman"/>
          <w:szCs w:val="20"/>
          <w:lang w:val="en-GB"/>
        </w:rPr>
        <w:t xml:space="preserve">with 545 nm excitation and 590 nm emission wavelengths. </w:t>
      </w:r>
    </w:p>
    <w:p w:rsidR="00D7239C" w:rsidRPr="003D5082" w:rsidRDefault="00D7239C" w:rsidP="00D7239C">
      <w:pPr>
        <w:pStyle w:val="Titre3"/>
        <w:numPr>
          <w:ilvl w:val="0"/>
          <w:numId w:val="0"/>
        </w:numPr>
        <w:spacing w:before="0" w:line="360" w:lineRule="auto"/>
        <w:jc w:val="both"/>
        <w:rPr>
          <w:rFonts w:eastAsia="Times New Roman" w:cs="Times New Roman"/>
          <w:sz w:val="20"/>
          <w:szCs w:val="20"/>
          <w:u w:val="none"/>
          <w:lang w:val="en-GB"/>
        </w:rPr>
      </w:pPr>
      <w:r w:rsidRPr="003D5082">
        <w:rPr>
          <w:rFonts w:cs="Times New Roman"/>
          <w:sz w:val="20"/>
          <w:szCs w:val="20"/>
          <w:u w:val="none"/>
        </w:rPr>
        <w:t>Lactate Dehydrogenase (LDH) assay</w:t>
      </w:r>
    </w:p>
    <w:p w:rsidR="00D7239C" w:rsidRPr="003D5082" w:rsidRDefault="00D7239C" w:rsidP="00D7239C">
      <w:pPr>
        <w:spacing w:after="0" w:line="360" w:lineRule="auto"/>
        <w:jc w:val="both"/>
        <w:rPr>
          <w:rFonts w:eastAsia="Times New Roman" w:cs="Times New Roman"/>
          <w:szCs w:val="20"/>
          <w:lang w:val="en-GB"/>
        </w:rPr>
      </w:pPr>
      <w:r w:rsidRPr="003D5082">
        <w:rPr>
          <w:rFonts w:eastAsia="Times New Roman" w:cs="Times New Roman"/>
          <w:szCs w:val="20"/>
          <w:lang w:val="en-GB"/>
        </w:rPr>
        <w:t xml:space="preserve">The </w:t>
      </w:r>
      <w:r w:rsidRPr="003D5082">
        <w:rPr>
          <w:rFonts w:cs="Times New Roman"/>
          <w:szCs w:val="20"/>
          <w:lang w:val="en-GB"/>
        </w:rPr>
        <w:t>CytoTox 96® Non-Radioactive Cytotoxicity Assay (</w:t>
      </w:r>
      <w:r w:rsidRPr="003D5082">
        <w:rPr>
          <w:rFonts w:eastAsia="Times New Roman" w:cs="Times New Roman"/>
          <w:szCs w:val="20"/>
          <w:lang w:val="en-GB"/>
        </w:rPr>
        <w:t>Promega,</w:t>
      </w:r>
      <w:r w:rsidRPr="003D5082">
        <w:rPr>
          <w:rFonts w:cs="Times New Roman"/>
          <w:szCs w:val="20"/>
          <w:lang w:val="en-GB"/>
        </w:rPr>
        <w:t xml:space="preserve"> Charbonnières les Bains, France</w:t>
      </w:r>
      <w:r w:rsidRPr="003D5082">
        <w:rPr>
          <w:rFonts w:eastAsia="Times New Roman" w:cs="Times New Roman"/>
          <w:szCs w:val="20"/>
          <w:lang w:val="en-GB"/>
        </w:rPr>
        <w:t>) was used t</w:t>
      </w:r>
      <w:r>
        <w:rPr>
          <w:rFonts w:eastAsia="Times New Roman" w:cs="Times New Roman"/>
          <w:szCs w:val="20"/>
          <w:lang w:val="en-GB"/>
        </w:rPr>
        <w:t>o measure the concentration of lactate d</w:t>
      </w:r>
      <w:r w:rsidRPr="003D5082">
        <w:rPr>
          <w:rFonts w:eastAsia="Times New Roman" w:cs="Times New Roman"/>
          <w:szCs w:val="20"/>
          <w:lang w:val="en-GB"/>
        </w:rPr>
        <w:t xml:space="preserve">ehydrogenase (LDH) in the </w:t>
      </w:r>
      <w:r>
        <w:rPr>
          <w:rFonts w:eastAsia="Times New Roman" w:cs="Times New Roman"/>
          <w:szCs w:val="20"/>
          <w:lang w:val="en-GB"/>
        </w:rPr>
        <w:t xml:space="preserve">basal </w:t>
      </w:r>
      <w:r w:rsidRPr="003D5082">
        <w:rPr>
          <w:rFonts w:eastAsia="Times New Roman" w:cs="Times New Roman"/>
          <w:szCs w:val="20"/>
          <w:lang w:val="en-GB"/>
        </w:rPr>
        <w:t xml:space="preserve">culture medium. Basal </w:t>
      </w:r>
      <w:r>
        <w:rPr>
          <w:rFonts w:eastAsia="Times New Roman" w:cs="Times New Roman"/>
          <w:szCs w:val="20"/>
          <w:lang w:val="en-GB"/>
        </w:rPr>
        <w:t>media</w:t>
      </w:r>
      <w:r w:rsidRPr="003D5082">
        <w:rPr>
          <w:rFonts w:eastAsia="Times New Roman" w:cs="Times New Roman"/>
          <w:szCs w:val="20"/>
          <w:lang w:val="en-GB"/>
        </w:rPr>
        <w:t xml:space="preserve"> of control </w:t>
      </w:r>
      <w:r>
        <w:rPr>
          <w:rFonts w:eastAsia="Times New Roman" w:cs="Times New Roman"/>
          <w:szCs w:val="20"/>
          <w:lang w:val="en-GB"/>
        </w:rPr>
        <w:t>and treated cultures were</w:t>
      </w:r>
      <w:r w:rsidRPr="003D5082">
        <w:rPr>
          <w:rFonts w:eastAsia="Times New Roman" w:cs="Times New Roman"/>
          <w:szCs w:val="20"/>
          <w:lang w:val="en-GB"/>
        </w:rPr>
        <w:t xml:space="preserve"> collected and stored at -80 ºC. Samples were analyzed according to the manufacturer’s protocol. Optical density at 490 nm was measured on a </w:t>
      </w:r>
      <w:r>
        <w:rPr>
          <w:rFonts w:eastAsia="Times New Roman" w:cs="Times New Roman"/>
          <w:szCs w:val="20"/>
          <w:lang w:val="en-GB"/>
        </w:rPr>
        <w:t xml:space="preserve">UV-vis </w:t>
      </w:r>
      <w:r w:rsidRPr="003D5082">
        <w:rPr>
          <w:rFonts w:eastAsia="Times New Roman" w:cs="Times New Roman"/>
          <w:szCs w:val="20"/>
          <w:lang w:val="en-GB"/>
        </w:rPr>
        <w:t xml:space="preserve">plate reader (UV-vis Spectrometer reader Bioteck EL808, Bioblock scientific, Illkirch, France) to determine the LDH concentration. </w:t>
      </w:r>
    </w:p>
    <w:p w:rsidR="00D7239C" w:rsidRPr="003D5082" w:rsidRDefault="00D7239C" w:rsidP="00D7239C">
      <w:pPr>
        <w:spacing w:after="0" w:line="360" w:lineRule="auto"/>
        <w:jc w:val="both"/>
        <w:rPr>
          <w:rFonts w:eastAsia="Times New Roman" w:cs="Times New Roman"/>
          <w:szCs w:val="20"/>
          <w:lang w:val="en-GB"/>
        </w:rPr>
      </w:pPr>
      <w:r w:rsidRPr="003D5082">
        <w:rPr>
          <w:rFonts w:cs="Times New Roman"/>
          <w:b/>
          <w:szCs w:val="20"/>
          <w:u w:val="single"/>
          <w:lang w:val="en-GB"/>
        </w:rPr>
        <w:t>ELISA and ELLA</w:t>
      </w:r>
    </w:p>
    <w:p w:rsidR="00D7239C" w:rsidRPr="003D5082" w:rsidRDefault="00D7239C" w:rsidP="00D7239C">
      <w:pPr>
        <w:pStyle w:val="Titre2"/>
        <w:numPr>
          <w:ilvl w:val="0"/>
          <w:numId w:val="0"/>
        </w:numPr>
        <w:spacing w:before="0" w:line="360" w:lineRule="auto"/>
        <w:ind w:left="9226" w:hanging="9226"/>
        <w:jc w:val="both"/>
        <w:rPr>
          <w:rFonts w:cs="Times New Roman"/>
          <w:sz w:val="20"/>
          <w:szCs w:val="20"/>
        </w:rPr>
      </w:pPr>
      <w:r w:rsidRPr="003D5082">
        <w:rPr>
          <w:rFonts w:cs="Times New Roman"/>
          <w:sz w:val="20"/>
          <w:szCs w:val="20"/>
        </w:rPr>
        <w:t>ELISA</w:t>
      </w:r>
    </w:p>
    <w:p w:rsidR="00D7239C" w:rsidRPr="003D5082" w:rsidRDefault="00D7239C" w:rsidP="00D7239C">
      <w:pPr>
        <w:spacing w:after="0" w:line="360" w:lineRule="auto"/>
        <w:jc w:val="both"/>
        <w:rPr>
          <w:rFonts w:eastAsia="Times New Roman" w:cs="Times New Roman"/>
          <w:szCs w:val="20"/>
          <w:lang w:val="en-GB"/>
        </w:rPr>
      </w:pPr>
      <w:r w:rsidRPr="003D5082">
        <w:rPr>
          <w:rFonts w:eastAsia="Times New Roman" w:cs="Times New Roman"/>
          <w:szCs w:val="20"/>
          <w:lang w:val="en-GB"/>
        </w:rPr>
        <w:t xml:space="preserve">Basal media and apical washes were stored at –80°C to quantify the release of pro-inflammatory cytokines (IL-6 and IL-8) by ELISA assay (DuoSet ELISA kit DY206 and DY208, R&amp;D systems, Bio-Techne, </w:t>
      </w:r>
      <w:r w:rsidRPr="003D5082">
        <w:rPr>
          <w:rFonts w:cs="Times New Roman"/>
          <w:szCs w:val="20"/>
          <w:lang w:val="en-GB"/>
        </w:rPr>
        <w:t>Noyal Chatillon sur Seiche, France</w:t>
      </w:r>
      <w:r w:rsidRPr="003D5082">
        <w:rPr>
          <w:rFonts w:eastAsia="Times New Roman" w:cs="Times New Roman"/>
          <w:szCs w:val="20"/>
          <w:lang w:val="en-GB"/>
        </w:rPr>
        <w:t>) according to th</w:t>
      </w:r>
      <w:r>
        <w:rPr>
          <w:rFonts w:eastAsia="Times New Roman" w:cs="Times New Roman"/>
          <w:szCs w:val="20"/>
          <w:lang w:val="en-GB"/>
        </w:rPr>
        <w:t xml:space="preserve">e manufacturer’s instructions. </w:t>
      </w:r>
      <w:r w:rsidRPr="003D5082">
        <w:rPr>
          <w:rFonts w:eastAsia="Times New Roman" w:cs="Times New Roman"/>
          <w:szCs w:val="20"/>
          <w:lang w:val="en-GB"/>
        </w:rPr>
        <w:t xml:space="preserve">Optical density at 450 nm and 595 nm were measured on a plate reader. To check whether </w:t>
      </w:r>
      <w:r>
        <w:rPr>
          <w:rFonts w:eastAsia="Times New Roman" w:cs="Times New Roman"/>
          <w:szCs w:val="20"/>
          <w:lang w:val="en-GB"/>
        </w:rPr>
        <w:t>AgNPs interfere with the ELISA assay</w:t>
      </w:r>
      <w:r w:rsidRPr="003D5082">
        <w:rPr>
          <w:rFonts w:eastAsia="Times New Roman" w:cs="Times New Roman"/>
          <w:szCs w:val="20"/>
          <w:lang w:val="en-GB"/>
        </w:rPr>
        <w:t>, we mixed a standard solution of 400 pg/mL</w:t>
      </w:r>
      <w:r>
        <w:rPr>
          <w:rFonts w:eastAsia="Times New Roman" w:cs="Times New Roman"/>
          <w:szCs w:val="20"/>
          <w:lang w:val="en-GB"/>
        </w:rPr>
        <w:t xml:space="preserve"> IL-6</w:t>
      </w:r>
      <w:r w:rsidRPr="003D5082">
        <w:rPr>
          <w:rFonts w:eastAsia="Times New Roman" w:cs="Times New Roman"/>
          <w:szCs w:val="20"/>
          <w:lang w:val="en-GB"/>
        </w:rPr>
        <w:t xml:space="preserve"> with </w:t>
      </w:r>
      <w:r>
        <w:rPr>
          <w:rFonts w:eastAsia="Times New Roman" w:cs="Times New Roman"/>
          <w:szCs w:val="20"/>
          <w:lang w:val="en-GB"/>
        </w:rPr>
        <w:t>10 µg</w:t>
      </w:r>
      <w:r w:rsidRPr="00F15629">
        <w:rPr>
          <w:rFonts w:eastAsia="Times New Roman" w:cs="Times New Roman"/>
          <w:szCs w:val="20"/>
          <w:lang w:val="en-GB"/>
        </w:rPr>
        <w:t xml:space="preserve"> AgNP</w:t>
      </w:r>
      <w:r>
        <w:rPr>
          <w:rFonts w:eastAsia="Times New Roman" w:cs="Times New Roman"/>
          <w:szCs w:val="20"/>
          <w:lang w:val="en-GB"/>
        </w:rPr>
        <w:t>s</w:t>
      </w:r>
      <w:r w:rsidRPr="00F15629">
        <w:rPr>
          <w:rFonts w:eastAsia="Times New Roman" w:cs="Times New Roman"/>
          <w:szCs w:val="20"/>
          <w:lang w:val="en-GB"/>
        </w:rPr>
        <w:t xml:space="preserve"> in HBSS</w:t>
      </w:r>
      <w:r w:rsidRPr="00F15629">
        <w:rPr>
          <w:rFonts w:eastAsia="Times New Roman" w:cs="Times New Roman"/>
          <w:szCs w:val="20"/>
          <w:vertAlign w:val="superscript"/>
          <w:lang w:val="en-GB"/>
        </w:rPr>
        <w:t>Ca2+/Mg2+</w:t>
      </w:r>
      <w:r w:rsidRPr="00F15629">
        <w:rPr>
          <w:rFonts w:eastAsia="Times New Roman" w:cs="Times New Roman"/>
          <w:szCs w:val="20"/>
          <w:lang w:val="en-GB"/>
        </w:rPr>
        <w:t xml:space="preserve"> at 37°C for 1h. The solutions were centrifuged at 14,000 g at 4°C for 20 min. The concentration of </w:t>
      </w:r>
      <w:r>
        <w:rPr>
          <w:rFonts w:eastAsia="Times New Roman" w:cs="Times New Roman"/>
          <w:szCs w:val="20"/>
          <w:lang w:val="en-GB"/>
        </w:rPr>
        <w:t>IL</w:t>
      </w:r>
      <w:r w:rsidRPr="003D5082">
        <w:rPr>
          <w:rFonts w:eastAsia="Times New Roman" w:cs="Times New Roman"/>
          <w:szCs w:val="20"/>
          <w:lang w:val="en-GB"/>
        </w:rPr>
        <w:t>-6 was measured in the supernatant by ELISA a</w:t>
      </w:r>
      <w:r>
        <w:rPr>
          <w:rFonts w:eastAsia="Times New Roman" w:cs="Times New Roman"/>
          <w:szCs w:val="20"/>
          <w:lang w:val="en-GB"/>
        </w:rPr>
        <w:t>nd compared to the concentration of the solution without AgNPs</w:t>
      </w:r>
      <w:r w:rsidRPr="003D5082">
        <w:rPr>
          <w:rFonts w:eastAsia="Times New Roman" w:cs="Times New Roman"/>
          <w:szCs w:val="20"/>
          <w:lang w:val="en-GB"/>
        </w:rPr>
        <w:t>.</w:t>
      </w:r>
    </w:p>
    <w:p w:rsidR="00D7239C" w:rsidRPr="003D5082" w:rsidRDefault="00D7239C" w:rsidP="00D7239C">
      <w:pPr>
        <w:pStyle w:val="Titre2"/>
        <w:numPr>
          <w:ilvl w:val="0"/>
          <w:numId w:val="0"/>
        </w:numPr>
        <w:spacing w:before="0" w:line="360" w:lineRule="auto"/>
        <w:ind w:left="9226" w:hanging="9226"/>
        <w:jc w:val="both"/>
        <w:rPr>
          <w:rFonts w:cs="Times New Roman"/>
          <w:sz w:val="20"/>
          <w:szCs w:val="20"/>
        </w:rPr>
      </w:pPr>
      <w:bookmarkStart w:id="0" w:name="_Toc50098577"/>
      <w:r w:rsidRPr="003D5082">
        <w:rPr>
          <w:rFonts w:cs="Times New Roman"/>
          <w:sz w:val="20"/>
          <w:szCs w:val="20"/>
        </w:rPr>
        <w:lastRenderedPageBreak/>
        <w:t>Enzyme-linked lectin assay (ELLA)</w:t>
      </w:r>
      <w:bookmarkEnd w:id="0"/>
    </w:p>
    <w:p w:rsidR="00D7239C" w:rsidRPr="00F15629" w:rsidRDefault="00D7239C" w:rsidP="00D7239C">
      <w:pPr>
        <w:spacing w:after="0" w:line="360" w:lineRule="auto"/>
        <w:jc w:val="both"/>
        <w:rPr>
          <w:rFonts w:eastAsia="Times New Roman" w:cs="Times New Roman"/>
          <w:szCs w:val="20"/>
          <w:lang w:val="en-GB"/>
        </w:rPr>
      </w:pPr>
      <w:r w:rsidRPr="003D5082">
        <w:rPr>
          <w:rFonts w:eastAsia="Times New Roman" w:cs="Times New Roman"/>
          <w:szCs w:val="20"/>
          <w:lang w:val="en-GB"/>
        </w:rPr>
        <w:t xml:space="preserve">The glycoprotein concentration in the apical secretome was measured by the enzyme-linked lectin assay (ELLA) </w:t>
      </w:r>
      <w:r>
        <w:rPr>
          <w:rFonts w:eastAsia="Times New Roman" w:cs="Times New Roman"/>
          <w:szCs w:val="20"/>
          <w:lang w:val="en-GB"/>
        </w:rPr>
        <w:t>according to</w:t>
      </w:r>
      <w:r w:rsidRPr="003D5082">
        <w:rPr>
          <w:rFonts w:eastAsia="Times New Roman" w:cs="Times New Roman"/>
          <w:szCs w:val="20"/>
          <w:lang w:val="en-GB"/>
        </w:rPr>
        <w:t xml:space="preserve"> </w:t>
      </w:r>
      <w:r w:rsidRPr="003D5082">
        <w:rPr>
          <w:rFonts w:eastAsia="Times New Roman" w:cs="Times New Roman"/>
          <w:szCs w:val="20"/>
          <w:lang w:val="en-GB"/>
        </w:rPr>
        <w:fldChar w:fldCharType="begin"/>
      </w:r>
      <w:r w:rsidRPr="003D5082">
        <w:rPr>
          <w:rFonts w:eastAsia="Times New Roman" w:cs="Times New Roman"/>
          <w:szCs w:val="20"/>
          <w:lang w:val="en-GB"/>
        </w:rPr>
        <w:instrText xml:space="preserve"> ADDIN ZOTERO_ITEM CSL_CITATION {"citationID":"6DlZrwxr","properties":{"formattedCitation":"(Sanchez-Guzman et al. 2021)","plainCitation":"(Sanchez-Guzman et al. 2021)","noteIndex":0},"citationItems":[{"id":11,"uris":["http://zotero.org/users/10350474/items/NLTD788D"],"itemData":{"id":11,"type":"article-journal","abstract":"Abstract\n            The human bronchial epithelium is the first line of defense against atmospheric particles, pollutants, and respiratory pathogens such as the novel SARS-CoV-2. The epithelial cells form a tight barrier and secrete proteins that are major components of the mucosal immune response. Functional in vitro models of the human lung are essential for screening the epithelial response and assessing the toxicity and barrier crossing of drugs, inhaled particles, and pollutants. However, there is a lack of models to investigate the effect of chronic exposure without resorting to animal testing. Here, we developed a 3D model of the human bronchial epithelium using Calu-3 cell line and demonstrated its viability and functionality for 21 days without subculturing. We investigated the effect of reduced Fetal Bovine Serum supplementation in the basal medium and defined the minimal supplementation needed to maintain a functional epithelium, so that the amount of exogenous serum proteins could be reduced during drug testing. The long-term evolution of the epithelial cell secretome was fully characterized by quantitative mass spectrometry in two preclinical models using Calu-3 or primary NHBE cells. 408 common secreted proteins were identified while significant differences in protein abundance were observed with time, suggesting that 7–10 days are necessary to establish a mature secretome in the Calu-3 model. The associated Reactome pathways highlight the role of the secreted proteins in the immune response of the bronchial epithelium. We suggest this preclinical 3D model can be used to evaluate the long-term toxicity of drugs or particles on the human bronchial epithelium, and subsequently to investigate their effect on the epithelial cell secretions.","container-title":"Scientific Reports","DOI":"10.1038/s41598-021-86037-0","ISSN":"2045-2322","issue":"1","journalAbbreviation":"Sci Rep","language":"en","page":"6621","source":"DOI.org (Crossref)","title":"Long-term evolution of the epithelial cell secretome in preclinical 3D models of the human bronchial epithelium","volume":"11","author":[{"family":"Sanchez-Guzman","given":"Daniel"},{"family":"Boland","given":"Sonja"},{"family":"Brookes","given":"Oliver"},{"family":"Mc Cord","given":"Claire"},{"family":"Lai Kuen","given":"René"},{"family":"Sirri","given":"Valentina"},{"family":"Baeza Squiban","given":"Armelle"},{"family":"Devineau","given":"Stéphanie"}],"issued":{"date-parts":[["2021",12]]}}}],"schema":"https://github.com/citation-style-language/schema/raw/master/csl-citation.json"} </w:instrText>
      </w:r>
      <w:r w:rsidRPr="003D5082">
        <w:rPr>
          <w:rFonts w:eastAsia="Times New Roman" w:cs="Times New Roman"/>
          <w:szCs w:val="20"/>
          <w:lang w:val="en-GB"/>
        </w:rPr>
        <w:fldChar w:fldCharType="separate"/>
      </w:r>
      <w:r w:rsidRPr="003D5082">
        <w:rPr>
          <w:rFonts w:cs="Times New Roman"/>
          <w:szCs w:val="20"/>
          <w:lang w:val="en-GB"/>
        </w:rPr>
        <w:t>(Sanchez-Guzman et al. 2021)</w:t>
      </w:r>
      <w:r w:rsidRPr="003D5082">
        <w:rPr>
          <w:rFonts w:eastAsia="Times New Roman" w:cs="Times New Roman"/>
          <w:szCs w:val="20"/>
          <w:lang w:val="en-GB"/>
        </w:rPr>
        <w:fldChar w:fldCharType="end"/>
      </w:r>
      <w:r w:rsidRPr="003D5082">
        <w:rPr>
          <w:rFonts w:eastAsia="Times New Roman" w:cs="Times New Roman"/>
          <w:szCs w:val="20"/>
          <w:lang w:val="en-GB"/>
        </w:rPr>
        <w:t xml:space="preserve">. Briefly, 96-well high binding plates were coated with lectin from </w:t>
      </w:r>
      <w:r w:rsidRPr="003D5082">
        <w:rPr>
          <w:rFonts w:eastAsia="Times New Roman" w:cs="Times New Roman"/>
          <w:i/>
          <w:szCs w:val="20"/>
          <w:lang w:val="en-GB"/>
        </w:rPr>
        <w:t>Triticum vulgaris</w:t>
      </w:r>
      <w:r w:rsidRPr="003D5082">
        <w:rPr>
          <w:rFonts w:eastAsia="Times New Roman" w:cs="Times New Roman"/>
          <w:szCs w:val="20"/>
          <w:lang w:val="en-GB"/>
        </w:rPr>
        <w:t xml:space="preserve"> (Sigma-Aldrich) and washed with 0.5 M NaCl and 0.1% Tween 20 in PBS. Calibration curve was established with Porcine stomach mucin (Sigma-Aldrich). Standards and samples were incubated for 1h at 37°C. Lectin detection was performed with Glycine max peroxidase conjugate (Sigma-Aldrich) by 1h incubation at 37°C. Tetramethylbenzidine (TMB) substrate reagent (R&amp;D systems, Bio-Techne) was added for 20 min and the enzymatic reaction was stopped with 2N H</w:t>
      </w:r>
      <w:r w:rsidRPr="003D5082">
        <w:rPr>
          <w:rFonts w:eastAsia="Times New Roman" w:cs="Times New Roman"/>
          <w:szCs w:val="20"/>
          <w:vertAlign w:val="subscript"/>
          <w:lang w:val="en-GB"/>
        </w:rPr>
        <w:t>2</w:t>
      </w:r>
      <w:r w:rsidRPr="003D5082">
        <w:rPr>
          <w:rFonts w:eastAsia="Times New Roman" w:cs="Times New Roman"/>
          <w:szCs w:val="20"/>
          <w:lang w:val="en-GB"/>
        </w:rPr>
        <w:t>SO</w:t>
      </w:r>
      <w:r w:rsidRPr="003D5082">
        <w:rPr>
          <w:rFonts w:eastAsia="Times New Roman" w:cs="Times New Roman"/>
          <w:szCs w:val="20"/>
          <w:vertAlign w:val="subscript"/>
          <w:lang w:val="en-GB"/>
        </w:rPr>
        <w:t>4.</w:t>
      </w:r>
      <w:r w:rsidRPr="003D5082">
        <w:rPr>
          <w:rFonts w:eastAsia="Times New Roman" w:cs="Times New Roman"/>
          <w:szCs w:val="20"/>
          <w:lang w:val="en-GB"/>
        </w:rPr>
        <w:t xml:space="preserve"> The absorbance was measured at 490 nm on a </w:t>
      </w:r>
      <w:r>
        <w:rPr>
          <w:rFonts w:eastAsia="Times New Roman" w:cs="Times New Roman"/>
          <w:szCs w:val="20"/>
          <w:lang w:val="en-GB"/>
        </w:rPr>
        <w:t xml:space="preserve">UV-vis </w:t>
      </w:r>
      <w:r w:rsidRPr="003D5082">
        <w:rPr>
          <w:rFonts w:eastAsia="Times New Roman" w:cs="Times New Roman"/>
          <w:szCs w:val="20"/>
          <w:lang w:val="en-GB"/>
        </w:rPr>
        <w:t>plate reader.</w:t>
      </w:r>
      <w:bookmarkStart w:id="1" w:name="_Ref127026830"/>
      <w:r w:rsidRPr="003D5082">
        <w:rPr>
          <w:rFonts w:cs="Times New Roman"/>
          <w:szCs w:val="20"/>
          <w:lang w:val="en-GB"/>
        </w:rPr>
        <w:br w:type="page"/>
      </w:r>
    </w:p>
    <w:tbl>
      <w:tblPr>
        <w:tblStyle w:val="Grilledutableau"/>
        <w:tblpPr w:leftFromText="141" w:rightFromText="141" w:vertAnchor="text" w:horzAnchor="margin" w:tblpXSpec="center" w:tblpY="554"/>
        <w:tblW w:w="0" w:type="auto"/>
        <w:tblLook w:val="04A0" w:firstRow="1" w:lastRow="0" w:firstColumn="1" w:lastColumn="0" w:noHBand="0" w:noVBand="1"/>
      </w:tblPr>
      <w:tblGrid>
        <w:gridCol w:w="1134"/>
        <w:gridCol w:w="3405"/>
        <w:gridCol w:w="3722"/>
      </w:tblGrid>
      <w:tr w:rsidR="00D7239C" w:rsidRPr="003D5082" w:rsidTr="00466BA4">
        <w:trPr>
          <w:trHeight w:val="262"/>
        </w:trPr>
        <w:tc>
          <w:tcPr>
            <w:tcW w:w="1134" w:type="dxa"/>
          </w:tcPr>
          <w:bookmarkEnd w:id="1"/>
          <w:p w:rsidR="00D7239C" w:rsidRPr="003D5082" w:rsidRDefault="00D7239C" w:rsidP="00466BA4">
            <w:pPr>
              <w:spacing w:line="360" w:lineRule="auto"/>
              <w:jc w:val="both"/>
              <w:rPr>
                <w:rFonts w:cs="Times New Roman"/>
                <w:iCs/>
                <w:szCs w:val="20"/>
              </w:rPr>
            </w:pPr>
            <w:r w:rsidRPr="003D5082">
              <w:rPr>
                <w:rFonts w:cs="Times New Roman"/>
                <w:iCs/>
                <w:szCs w:val="20"/>
              </w:rPr>
              <w:lastRenderedPageBreak/>
              <w:t>Gene</w:t>
            </w:r>
          </w:p>
        </w:tc>
        <w:tc>
          <w:tcPr>
            <w:tcW w:w="0" w:type="auto"/>
          </w:tcPr>
          <w:p w:rsidR="00D7239C" w:rsidRPr="003D5082" w:rsidRDefault="00D7239C" w:rsidP="00466BA4">
            <w:pPr>
              <w:spacing w:line="360" w:lineRule="auto"/>
              <w:jc w:val="both"/>
              <w:rPr>
                <w:rFonts w:cs="Times New Roman"/>
                <w:iCs/>
                <w:szCs w:val="20"/>
              </w:rPr>
            </w:pPr>
            <w:r w:rsidRPr="003D5082">
              <w:rPr>
                <w:rFonts w:cs="Times New Roman"/>
                <w:iCs/>
                <w:szCs w:val="20"/>
              </w:rPr>
              <w:t>Forward</w:t>
            </w:r>
          </w:p>
        </w:tc>
        <w:tc>
          <w:tcPr>
            <w:tcW w:w="0" w:type="auto"/>
          </w:tcPr>
          <w:p w:rsidR="00D7239C" w:rsidRPr="003D5082" w:rsidRDefault="00D7239C" w:rsidP="00466BA4">
            <w:pPr>
              <w:spacing w:line="360" w:lineRule="auto"/>
              <w:jc w:val="both"/>
              <w:rPr>
                <w:rFonts w:cs="Times New Roman"/>
                <w:iCs/>
                <w:szCs w:val="20"/>
              </w:rPr>
            </w:pPr>
            <w:r w:rsidRPr="003D5082">
              <w:rPr>
                <w:rFonts w:cs="Times New Roman"/>
                <w:iCs/>
                <w:szCs w:val="20"/>
              </w:rPr>
              <w:t>Reverse</w:t>
            </w:r>
          </w:p>
        </w:tc>
      </w:tr>
      <w:tr w:rsidR="00D7239C" w:rsidRPr="003D5082" w:rsidTr="00466BA4">
        <w:trPr>
          <w:trHeight w:val="525"/>
        </w:trPr>
        <w:tc>
          <w:tcPr>
            <w:tcW w:w="1134" w:type="dxa"/>
          </w:tcPr>
          <w:p w:rsidR="00D7239C" w:rsidRPr="00F15E92" w:rsidRDefault="00D7239C" w:rsidP="00466BA4">
            <w:pPr>
              <w:spacing w:line="360" w:lineRule="auto"/>
              <w:jc w:val="both"/>
              <w:rPr>
                <w:rFonts w:cs="Times New Roman"/>
                <w:iCs/>
                <w:szCs w:val="20"/>
              </w:rPr>
            </w:pPr>
            <w:r>
              <w:rPr>
                <w:rFonts w:cs="Times New Roman"/>
                <w:szCs w:val="20"/>
              </w:rPr>
              <w:t>HO-1</w:t>
            </w:r>
          </w:p>
        </w:tc>
        <w:tc>
          <w:tcPr>
            <w:tcW w:w="0" w:type="auto"/>
          </w:tcPr>
          <w:p w:rsidR="00D7239C" w:rsidRPr="00F15E92" w:rsidRDefault="00D7239C" w:rsidP="00466BA4">
            <w:pPr>
              <w:spacing w:line="360" w:lineRule="auto"/>
              <w:jc w:val="both"/>
              <w:rPr>
                <w:rFonts w:cs="Times New Roman"/>
                <w:iCs/>
                <w:szCs w:val="20"/>
              </w:rPr>
            </w:pPr>
            <w:r w:rsidRPr="00F15E92">
              <w:rPr>
                <w:rFonts w:cs="Times New Roman"/>
                <w:szCs w:val="20"/>
              </w:rPr>
              <w:t>CGTTCCTGGTCAACATCC</w:t>
            </w:r>
          </w:p>
        </w:tc>
        <w:tc>
          <w:tcPr>
            <w:tcW w:w="0" w:type="auto"/>
          </w:tcPr>
          <w:p w:rsidR="00D7239C" w:rsidRPr="00F15E92" w:rsidRDefault="00D7239C" w:rsidP="00466BA4">
            <w:pPr>
              <w:spacing w:line="360" w:lineRule="auto"/>
              <w:jc w:val="both"/>
              <w:rPr>
                <w:rFonts w:cs="Times New Roman"/>
                <w:iCs/>
                <w:szCs w:val="20"/>
              </w:rPr>
            </w:pPr>
            <w:r w:rsidRPr="00F15E92">
              <w:rPr>
                <w:rFonts w:cs="Times New Roman"/>
                <w:szCs w:val="20"/>
              </w:rPr>
              <w:t>CTGTCGCCACCAGAAAG</w:t>
            </w:r>
          </w:p>
        </w:tc>
      </w:tr>
      <w:tr w:rsidR="00D7239C" w:rsidRPr="003D5082" w:rsidTr="00466BA4">
        <w:trPr>
          <w:trHeight w:val="262"/>
        </w:trPr>
        <w:tc>
          <w:tcPr>
            <w:tcW w:w="1134" w:type="dxa"/>
          </w:tcPr>
          <w:p w:rsidR="00D7239C" w:rsidRPr="00F15E92" w:rsidRDefault="00D7239C" w:rsidP="00466BA4">
            <w:pPr>
              <w:spacing w:line="360" w:lineRule="auto"/>
              <w:jc w:val="both"/>
              <w:rPr>
                <w:rFonts w:cs="Times New Roman"/>
                <w:szCs w:val="20"/>
              </w:rPr>
            </w:pPr>
            <w:r>
              <w:rPr>
                <w:rFonts w:cs="Times New Roman"/>
                <w:szCs w:val="20"/>
              </w:rPr>
              <w:t>IL</w:t>
            </w:r>
            <w:r w:rsidRPr="00F15E92">
              <w:rPr>
                <w:rFonts w:cs="Times New Roman"/>
                <w:szCs w:val="20"/>
              </w:rPr>
              <w:t>-6</w:t>
            </w:r>
          </w:p>
        </w:tc>
        <w:tc>
          <w:tcPr>
            <w:tcW w:w="0" w:type="auto"/>
          </w:tcPr>
          <w:p w:rsidR="00D7239C" w:rsidRPr="00F15E92" w:rsidRDefault="00D7239C" w:rsidP="00466BA4">
            <w:pPr>
              <w:spacing w:line="360" w:lineRule="auto"/>
              <w:jc w:val="both"/>
              <w:rPr>
                <w:rFonts w:cs="Times New Roman"/>
                <w:szCs w:val="20"/>
              </w:rPr>
            </w:pPr>
            <w:r w:rsidRPr="00F15E92">
              <w:rPr>
                <w:rFonts w:cs="Times New Roman"/>
                <w:szCs w:val="20"/>
              </w:rPr>
              <w:t>TGGTCTTTTGGAGTTTGAGG</w:t>
            </w:r>
          </w:p>
        </w:tc>
        <w:tc>
          <w:tcPr>
            <w:tcW w:w="0" w:type="auto"/>
          </w:tcPr>
          <w:p w:rsidR="00D7239C" w:rsidRPr="00F15E92" w:rsidRDefault="00D7239C" w:rsidP="00466BA4">
            <w:pPr>
              <w:spacing w:line="360" w:lineRule="auto"/>
              <w:jc w:val="both"/>
              <w:rPr>
                <w:rFonts w:cs="Times New Roman"/>
                <w:szCs w:val="20"/>
              </w:rPr>
            </w:pPr>
            <w:r w:rsidRPr="00F15E92">
              <w:rPr>
                <w:rFonts w:cs="Times New Roman"/>
                <w:szCs w:val="20"/>
              </w:rPr>
              <w:t>CGCAGAATGAGATGAGTTGTC</w:t>
            </w:r>
          </w:p>
        </w:tc>
      </w:tr>
      <w:tr w:rsidR="00D7239C" w:rsidRPr="003D5082" w:rsidTr="00466BA4">
        <w:trPr>
          <w:trHeight w:val="262"/>
        </w:trPr>
        <w:tc>
          <w:tcPr>
            <w:tcW w:w="1134" w:type="dxa"/>
          </w:tcPr>
          <w:p w:rsidR="00D7239C" w:rsidRPr="00F15E92" w:rsidRDefault="00D7239C" w:rsidP="00466BA4">
            <w:pPr>
              <w:spacing w:line="360" w:lineRule="auto"/>
              <w:jc w:val="both"/>
              <w:rPr>
                <w:rFonts w:cs="Times New Roman"/>
                <w:szCs w:val="20"/>
              </w:rPr>
            </w:pPr>
            <w:r>
              <w:rPr>
                <w:rFonts w:cs="Times New Roman"/>
                <w:szCs w:val="20"/>
              </w:rPr>
              <w:t>IL</w:t>
            </w:r>
            <w:r w:rsidRPr="00F15E92">
              <w:rPr>
                <w:rFonts w:cs="Times New Roman"/>
                <w:szCs w:val="20"/>
              </w:rPr>
              <w:t>-8</w:t>
            </w:r>
          </w:p>
        </w:tc>
        <w:tc>
          <w:tcPr>
            <w:tcW w:w="0" w:type="auto"/>
          </w:tcPr>
          <w:p w:rsidR="00D7239C" w:rsidRPr="00F15E92" w:rsidRDefault="00D7239C" w:rsidP="00466BA4">
            <w:pPr>
              <w:spacing w:line="360" w:lineRule="auto"/>
              <w:jc w:val="both"/>
              <w:rPr>
                <w:rFonts w:cs="Times New Roman"/>
                <w:szCs w:val="20"/>
              </w:rPr>
            </w:pPr>
            <w:r w:rsidRPr="00F15E92">
              <w:rPr>
                <w:rFonts w:cs="Times New Roman"/>
                <w:szCs w:val="20"/>
              </w:rPr>
              <w:t>AGACAGCAGAGCACACAAGC</w:t>
            </w:r>
          </w:p>
        </w:tc>
        <w:tc>
          <w:tcPr>
            <w:tcW w:w="0" w:type="auto"/>
          </w:tcPr>
          <w:p w:rsidR="00D7239C" w:rsidRPr="00F15E92" w:rsidRDefault="00D7239C" w:rsidP="00466BA4">
            <w:pPr>
              <w:spacing w:line="360" w:lineRule="auto"/>
              <w:jc w:val="both"/>
              <w:rPr>
                <w:rFonts w:cs="Times New Roman"/>
                <w:szCs w:val="20"/>
              </w:rPr>
            </w:pPr>
            <w:r w:rsidRPr="00F15E92">
              <w:rPr>
                <w:rFonts w:cs="Times New Roman"/>
                <w:szCs w:val="20"/>
              </w:rPr>
              <w:t>ATGGTTCCTTCCGGTGGT</w:t>
            </w:r>
          </w:p>
        </w:tc>
      </w:tr>
      <w:tr w:rsidR="00D7239C" w:rsidRPr="003D5082" w:rsidTr="00466BA4">
        <w:trPr>
          <w:trHeight w:val="262"/>
        </w:trPr>
        <w:tc>
          <w:tcPr>
            <w:tcW w:w="1134" w:type="dxa"/>
          </w:tcPr>
          <w:p w:rsidR="00D7239C" w:rsidRPr="00F15E92" w:rsidRDefault="00D7239C" w:rsidP="00466BA4">
            <w:pPr>
              <w:spacing w:line="360" w:lineRule="auto"/>
              <w:jc w:val="both"/>
              <w:rPr>
                <w:rFonts w:cs="Times New Roman"/>
                <w:szCs w:val="20"/>
              </w:rPr>
            </w:pPr>
            <w:r w:rsidRPr="00F15E92">
              <w:rPr>
                <w:rFonts w:cs="Times New Roman"/>
                <w:szCs w:val="20"/>
              </w:rPr>
              <w:t>M</w:t>
            </w:r>
            <w:r>
              <w:rPr>
                <w:rFonts w:cs="Times New Roman"/>
                <w:szCs w:val="20"/>
              </w:rPr>
              <w:t>UC</w:t>
            </w:r>
            <w:r w:rsidRPr="00F15E92">
              <w:rPr>
                <w:rFonts w:cs="Times New Roman"/>
                <w:szCs w:val="20"/>
              </w:rPr>
              <w:t>5</w:t>
            </w:r>
            <w:r>
              <w:rPr>
                <w:rFonts w:cs="Times New Roman"/>
                <w:szCs w:val="20"/>
              </w:rPr>
              <w:t>AC</w:t>
            </w:r>
          </w:p>
        </w:tc>
        <w:tc>
          <w:tcPr>
            <w:tcW w:w="0" w:type="auto"/>
          </w:tcPr>
          <w:p w:rsidR="00D7239C" w:rsidRPr="00F15E92" w:rsidRDefault="00D7239C" w:rsidP="00466BA4">
            <w:pPr>
              <w:spacing w:line="360" w:lineRule="auto"/>
              <w:jc w:val="both"/>
              <w:rPr>
                <w:rFonts w:cs="Times New Roman"/>
                <w:szCs w:val="20"/>
              </w:rPr>
            </w:pPr>
            <w:r w:rsidRPr="00F15E92">
              <w:rPr>
                <w:rFonts w:cs="Times New Roman"/>
                <w:szCs w:val="20"/>
              </w:rPr>
              <w:t>AACTACTCCCAGCCC</w:t>
            </w:r>
          </w:p>
        </w:tc>
        <w:tc>
          <w:tcPr>
            <w:tcW w:w="0" w:type="auto"/>
          </w:tcPr>
          <w:p w:rsidR="00D7239C" w:rsidRPr="00F15E92" w:rsidRDefault="00D7239C" w:rsidP="00466BA4">
            <w:pPr>
              <w:spacing w:line="360" w:lineRule="auto"/>
              <w:jc w:val="both"/>
              <w:rPr>
                <w:rFonts w:cs="Times New Roman"/>
                <w:szCs w:val="20"/>
              </w:rPr>
            </w:pPr>
            <w:r w:rsidRPr="00F15E92">
              <w:rPr>
                <w:rFonts w:cs="Times New Roman"/>
                <w:szCs w:val="20"/>
              </w:rPr>
              <w:t>GTAGAGGCAGGGGTT</w:t>
            </w:r>
          </w:p>
        </w:tc>
      </w:tr>
      <w:tr w:rsidR="00D7239C" w:rsidRPr="003D5082" w:rsidTr="00466BA4">
        <w:trPr>
          <w:trHeight w:val="262"/>
        </w:trPr>
        <w:tc>
          <w:tcPr>
            <w:tcW w:w="1134" w:type="dxa"/>
          </w:tcPr>
          <w:p w:rsidR="00D7239C" w:rsidRPr="00F15E92" w:rsidRDefault="00D7239C" w:rsidP="00466BA4">
            <w:pPr>
              <w:spacing w:line="360" w:lineRule="auto"/>
              <w:jc w:val="both"/>
              <w:rPr>
                <w:rFonts w:cs="Times New Roman"/>
                <w:szCs w:val="20"/>
              </w:rPr>
            </w:pPr>
            <w:r>
              <w:rPr>
                <w:rFonts w:cs="Times New Roman"/>
                <w:szCs w:val="20"/>
              </w:rPr>
              <w:t>RPL</w:t>
            </w:r>
            <w:r w:rsidRPr="00F15E92">
              <w:rPr>
                <w:rFonts w:cs="Times New Roman"/>
                <w:szCs w:val="20"/>
              </w:rPr>
              <w:t xml:space="preserve">19 </w:t>
            </w:r>
          </w:p>
        </w:tc>
        <w:tc>
          <w:tcPr>
            <w:tcW w:w="0" w:type="auto"/>
          </w:tcPr>
          <w:p w:rsidR="00D7239C" w:rsidRPr="00F15E92" w:rsidRDefault="00D7239C" w:rsidP="00466BA4">
            <w:pPr>
              <w:spacing w:line="360" w:lineRule="auto"/>
              <w:jc w:val="both"/>
              <w:rPr>
                <w:rFonts w:cs="Times New Roman"/>
                <w:szCs w:val="20"/>
              </w:rPr>
            </w:pPr>
            <w:r w:rsidRPr="00F15E92">
              <w:rPr>
                <w:rFonts w:cs="Times New Roman"/>
                <w:szCs w:val="20"/>
              </w:rPr>
              <w:t>GGCTCGCCTCTAGTGTCCTC</w:t>
            </w:r>
          </w:p>
        </w:tc>
        <w:tc>
          <w:tcPr>
            <w:tcW w:w="0" w:type="auto"/>
          </w:tcPr>
          <w:p w:rsidR="00D7239C" w:rsidRPr="00F15E92" w:rsidRDefault="00D7239C" w:rsidP="00466BA4">
            <w:pPr>
              <w:spacing w:line="360" w:lineRule="auto"/>
              <w:jc w:val="both"/>
              <w:rPr>
                <w:rFonts w:cs="Times New Roman"/>
                <w:szCs w:val="20"/>
              </w:rPr>
            </w:pPr>
            <w:r w:rsidRPr="00F15E92">
              <w:rPr>
                <w:rFonts w:cs="Times New Roman"/>
                <w:szCs w:val="20"/>
              </w:rPr>
              <w:t>CAAGGTGTTTTTCCGGCATC</w:t>
            </w:r>
          </w:p>
        </w:tc>
      </w:tr>
      <w:tr w:rsidR="00D7239C" w:rsidRPr="00AB268B" w:rsidTr="00466BA4">
        <w:trPr>
          <w:trHeight w:val="525"/>
        </w:trPr>
        <w:tc>
          <w:tcPr>
            <w:tcW w:w="1134" w:type="dxa"/>
          </w:tcPr>
          <w:p w:rsidR="00D7239C" w:rsidRPr="00F15E92" w:rsidRDefault="00D7239C" w:rsidP="00466BA4">
            <w:pPr>
              <w:spacing w:line="360" w:lineRule="auto"/>
              <w:jc w:val="both"/>
              <w:rPr>
                <w:rFonts w:cs="Times New Roman"/>
                <w:szCs w:val="20"/>
              </w:rPr>
            </w:pPr>
            <w:r>
              <w:rPr>
                <w:rFonts w:cs="Times New Roman"/>
                <w:szCs w:val="20"/>
              </w:rPr>
              <w:t>MT</w:t>
            </w:r>
            <w:r w:rsidRPr="00F15E92">
              <w:rPr>
                <w:rFonts w:cs="Times New Roman"/>
                <w:szCs w:val="20"/>
              </w:rPr>
              <w:t>1</w:t>
            </w:r>
            <w:r>
              <w:rPr>
                <w:rFonts w:cs="Times New Roman"/>
                <w:szCs w:val="20"/>
              </w:rPr>
              <w:t>X</w:t>
            </w:r>
          </w:p>
        </w:tc>
        <w:tc>
          <w:tcPr>
            <w:tcW w:w="0" w:type="auto"/>
          </w:tcPr>
          <w:p w:rsidR="00D7239C" w:rsidRPr="00F15E92" w:rsidRDefault="00D7239C" w:rsidP="00466BA4">
            <w:pPr>
              <w:spacing w:line="360" w:lineRule="auto"/>
              <w:jc w:val="both"/>
              <w:rPr>
                <w:rFonts w:cs="Times New Roman"/>
                <w:szCs w:val="20"/>
                <w:lang w:val="en-GB"/>
              </w:rPr>
            </w:pPr>
            <w:r w:rsidRPr="00F15E92">
              <w:rPr>
                <w:rFonts w:cs="Times New Roman"/>
                <w:szCs w:val="20"/>
                <w:lang w:val="en-GB"/>
              </w:rPr>
              <w:t>ACT CCT GCT TCT CCT TGC CTC</w:t>
            </w:r>
          </w:p>
        </w:tc>
        <w:tc>
          <w:tcPr>
            <w:tcW w:w="0" w:type="auto"/>
          </w:tcPr>
          <w:p w:rsidR="00D7239C" w:rsidRPr="00F15E92" w:rsidRDefault="00D7239C" w:rsidP="00466BA4">
            <w:pPr>
              <w:spacing w:line="360" w:lineRule="auto"/>
              <w:jc w:val="both"/>
              <w:rPr>
                <w:rFonts w:cs="Times New Roman"/>
                <w:szCs w:val="20"/>
                <w:lang w:val="en-GB"/>
              </w:rPr>
            </w:pPr>
            <w:r w:rsidRPr="00F15E92">
              <w:rPr>
                <w:rFonts w:cs="Times New Roman"/>
                <w:szCs w:val="20"/>
                <w:lang w:val="en-GB"/>
              </w:rPr>
              <w:t>TGC ACT TGT CGT ACG TCC CTT</w:t>
            </w:r>
          </w:p>
        </w:tc>
      </w:tr>
      <w:tr w:rsidR="00D7239C" w:rsidRPr="003D5082" w:rsidTr="00466BA4">
        <w:trPr>
          <w:trHeight w:val="512"/>
        </w:trPr>
        <w:tc>
          <w:tcPr>
            <w:tcW w:w="1134" w:type="dxa"/>
          </w:tcPr>
          <w:p w:rsidR="00D7239C" w:rsidRPr="00F15E92" w:rsidRDefault="00D7239C" w:rsidP="00466BA4">
            <w:pPr>
              <w:spacing w:line="360" w:lineRule="auto"/>
              <w:jc w:val="both"/>
              <w:rPr>
                <w:rFonts w:cs="Times New Roman"/>
                <w:szCs w:val="20"/>
              </w:rPr>
            </w:pPr>
            <w:r>
              <w:rPr>
                <w:rFonts w:cs="Times New Roman"/>
                <w:szCs w:val="20"/>
              </w:rPr>
              <w:t>MT</w:t>
            </w:r>
            <w:r w:rsidRPr="00F15E92">
              <w:rPr>
                <w:rFonts w:cs="Times New Roman"/>
                <w:szCs w:val="20"/>
              </w:rPr>
              <w:t>2</w:t>
            </w:r>
            <w:r>
              <w:rPr>
                <w:rFonts w:cs="Times New Roman"/>
                <w:szCs w:val="20"/>
              </w:rPr>
              <w:t>A</w:t>
            </w:r>
          </w:p>
        </w:tc>
        <w:tc>
          <w:tcPr>
            <w:tcW w:w="0" w:type="auto"/>
          </w:tcPr>
          <w:p w:rsidR="00D7239C" w:rsidRPr="00F15E92" w:rsidRDefault="00D7239C" w:rsidP="00466BA4">
            <w:pPr>
              <w:spacing w:line="360" w:lineRule="auto"/>
              <w:jc w:val="both"/>
              <w:rPr>
                <w:rFonts w:cs="Times New Roman"/>
                <w:szCs w:val="20"/>
              </w:rPr>
            </w:pPr>
            <w:r w:rsidRPr="00F15E92">
              <w:rPr>
                <w:rFonts w:cs="Times New Roman"/>
                <w:szCs w:val="20"/>
              </w:rPr>
              <w:t>TCC TGC AAA TGC AAA GAG TGC</w:t>
            </w:r>
          </w:p>
        </w:tc>
        <w:tc>
          <w:tcPr>
            <w:tcW w:w="0" w:type="auto"/>
          </w:tcPr>
          <w:p w:rsidR="00D7239C" w:rsidRPr="00F15E92" w:rsidRDefault="00D7239C" w:rsidP="00466BA4">
            <w:pPr>
              <w:spacing w:line="360" w:lineRule="auto"/>
              <w:jc w:val="both"/>
              <w:rPr>
                <w:rFonts w:cs="Times New Roman"/>
                <w:szCs w:val="20"/>
              </w:rPr>
            </w:pPr>
            <w:r w:rsidRPr="00F15E92">
              <w:rPr>
                <w:rFonts w:cs="Times New Roman"/>
                <w:szCs w:val="20"/>
              </w:rPr>
              <w:t>AAA ATC CAG GTT TGT GGA AGT CG</w:t>
            </w:r>
          </w:p>
        </w:tc>
      </w:tr>
    </w:tbl>
    <w:p w:rsidR="00D7239C" w:rsidRDefault="00D7239C" w:rsidP="00D7239C">
      <w:pPr>
        <w:pStyle w:val="Lgende"/>
        <w:spacing w:after="0" w:line="360" w:lineRule="auto"/>
        <w:jc w:val="both"/>
        <w:rPr>
          <w:rFonts w:cs="Times New Roman"/>
          <w:szCs w:val="20"/>
        </w:rPr>
      </w:pPr>
      <w:r>
        <w:rPr>
          <w:rFonts w:cs="Times New Roman"/>
          <w:szCs w:val="20"/>
        </w:rPr>
        <w:t>T</w:t>
      </w:r>
      <w:r w:rsidRPr="003D5082">
        <w:rPr>
          <w:rFonts w:cs="Times New Roman"/>
          <w:szCs w:val="20"/>
        </w:rPr>
        <w:t>able S</w:t>
      </w:r>
      <w:r w:rsidRPr="003D5082">
        <w:rPr>
          <w:rFonts w:cs="Times New Roman"/>
          <w:szCs w:val="20"/>
        </w:rPr>
        <w:fldChar w:fldCharType="begin"/>
      </w:r>
      <w:r w:rsidRPr="003D5082">
        <w:rPr>
          <w:rFonts w:cs="Times New Roman"/>
          <w:szCs w:val="20"/>
        </w:rPr>
        <w:instrText xml:space="preserve"> SEQ table_S \* ARABIC </w:instrText>
      </w:r>
      <w:r w:rsidRPr="003D5082">
        <w:rPr>
          <w:rFonts w:cs="Times New Roman"/>
          <w:szCs w:val="20"/>
        </w:rPr>
        <w:fldChar w:fldCharType="separate"/>
      </w:r>
      <w:r>
        <w:rPr>
          <w:rFonts w:cs="Times New Roman"/>
          <w:noProof/>
          <w:szCs w:val="20"/>
        </w:rPr>
        <w:t>1</w:t>
      </w:r>
      <w:r w:rsidRPr="003D5082">
        <w:rPr>
          <w:rFonts w:cs="Times New Roman"/>
          <w:szCs w:val="20"/>
        </w:rPr>
        <w:fldChar w:fldCharType="end"/>
      </w:r>
      <w:r>
        <w:rPr>
          <w:rFonts w:cs="Times New Roman"/>
          <w:szCs w:val="20"/>
        </w:rPr>
        <w:t xml:space="preserve">. </w:t>
      </w:r>
      <w:r w:rsidRPr="003D5082">
        <w:rPr>
          <w:rFonts w:cs="Times New Roman"/>
          <w:szCs w:val="20"/>
        </w:rPr>
        <w:t>Sequences of the primers used for RT-qPCR</w:t>
      </w:r>
    </w:p>
    <w:p w:rsidR="00D7239C" w:rsidRDefault="00D7239C" w:rsidP="00D7239C">
      <w:pPr>
        <w:spacing w:after="0" w:line="360" w:lineRule="auto"/>
        <w:jc w:val="both"/>
        <w:rPr>
          <w:rFonts w:eastAsia="Times New Roman" w:cs="Times New Roman"/>
          <w:szCs w:val="20"/>
          <w:lang w:val="en-US"/>
        </w:rPr>
      </w:pPr>
    </w:p>
    <w:p w:rsidR="00D7239C" w:rsidRPr="00F00BDD" w:rsidRDefault="00D7239C" w:rsidP="00D7239C">
      <w:pPr>
        <w:spacing w:after="0" w:line="360" w:lineRule="auto"/>
        <w:jc w:val="both"/>
        <w:rPr>
          <w:rFonts w:eastAsia="Times New Roman" w:cs="Times New Roman"/>
          <w:szCs w:val="20"/>
          <w:lang w:val="en-US"/>
        </w:rPr>
      </w:pPr>
      <w:r>
        <w:rPr>
          <w:rFonts w:eastAsia="Times New Roman" w:cs="Times New Roman"/>
          <w:szCs w:val="20"/>
          <w:lang w:val="en-US"/>
        </w:rPr>
        <w:t>RT-qPCR</w:t>
      </w:r>
    </w:p>
    <w:p w:rsidR="00D7239C" w:rsidRPr="003D5082" w:rsidRDefault="00D7239C" w:rsidP="00D7239C">
      <w:pPr>
        <w:spacing w:after="0" w:line="360" w:lineRule="auto"/>
        <w:jc w:val="both"/>
        <w:rPr>
          <w:rFonts w:cs="Times New Roman"/>
          <w:szCs w:val="20"/>
          <w:lang w:val="en-GB"/>
        </w:rPr>
      </w:pPr>
      <w:r w:rsidRPr="003D5082">
        <w:rPr>
          <w:rFonts w:eastAsia="Times New Roman" w:cs="Times New Roman"/>
          <w:szCs w:val="20"/>
          <w:lang w:val="en-GB"/>
        </w:rPr>
        <w:t xml:space="preserve">Cell lysis and RNA collection from </w:t>
      </w:r>
      <w:r>
        <w:rPr>
          <w:rFonts w:eastAsia="Times New Roman" w:cs="Times New Roman"/>
          <w:szCs w:val="20"/>
          <w:lang w:val="en-GB"/>
        </w:rPr>
        <w:t>control and treated cultures were</w:t>
      </w:r>
      <w:r w:rsidRPr="003D5082">
        <w:rPr>
          <w:rFonts w:eastAsia="Times New Roman" w:cs="Times New Roman"/>
          <w:szCs w:val="20"/>
          <w:lang w:val="en-GB"/>
        </w:rPr>
        <w:t xml:space="preserve"> </w:t>
      </w:r>
      <w:r>
        <w:rPr>
          <w:rFonts w:eastAsia="Times New Roman" w:cs="Times New Roman"/>
          <w:szCs w:val="20"/>
          <w:lang w:val="en-GB"/>
        </w:rPr>
        <w:t>done</w:t>
      </w:r>
      <w:r w:rsidRPr="003D5082">
        <w:rPr>
          <w:rFonts w:eastAsia="Times New Roman" w:cs="Times New Roman"/>
          <w:szCs w:val="20"/>
          <w:lang w:val="en-GB"/>
        </w:rPr>
        <w:t xml:space="preserve"> using the Nucleospin RNA/Protein Mini kit (Macherey-Nagel, </w:t>
      </w:r>
      <w:r w:rsidRPr="003D5082">
        <w:rPr>
          <w:rFonts w:cs="Times New Roman"/>
          <w:szCs w:val="20"/>
          <w:lang w:val="en-US"/>
        </w:rPr>
        <w:t>Hoerdt, France</w:t>
      </w:r>
      <w:r w:rsidRPr="003D5082">
        <w:rPr>
          <w:rFonts w:eastAsia="Times New Roman" w:cs="Times New Roman"/>
          <w:szCs w:val="20"/>
          <w:lang w:val="en-GB"/>
        </w:rPr>
        <w:t>)</w:t>
      </w:r>
      <w:r>
        <w:rPr>
          <w:rFonts w:eastAsia="Times New Roman" w:cs="Times New Roman"/>
          <w:szCs w:val="20"/>
          <w:lang w:val="en-GB"/>
        </w:rPr>
        <w:t xml:space="preserve"> </w:t>
      </w:r>
      <w:r w:rsidRPr="003D5082">
        <w:rPr>
          <w:rFonts w:eastAsia="Times New Roman" w:cs="Times New Roman"/>
          <w:szCs w:val="20"/>
          <w:lang w:val="en-GB"/>
        </w:rPr>
        <w:t xml:space="preserve">according to manufacturer's instructions. Cells were lysed </w:t>
      </w:r>
      <w:r w:rsidRPr="003D5082">
        <w:rPr>
          <w:rFonts w:eastAsia="Times New Roman" w:cs="Times New Roman"/>
          <w:i/>
          <w:szCs w:val="20"/>
          <w:lang w:val="en-GB"/>
        </w:rPr>
        <w:t>in situ</w:t>
      </w:r>
      <w:r w:rsidRPr="003D5082">
        <w:rPr>
          <w:rFonts w:eastAsia="Times New Roman" w:cs="Times New Roman"/>
          <w:szCs w:val="20"/>
          <w:lang w:val="en-GB"/>
        </w:rPr>
        <w:t xml:space="preserve"> by addition of 350 µL of the lysis </w:t>
      </w:r>
      <w:r>
        <w:rPr>
          <w:rFonts w:eastAsia="Times New Roman" w:cs="Times New Roman"/>
          <w:szCs w:val="20"/>
          <w:lang w:val="en-GB"/>
        </w:rPr>
        <w:t>buffer supplemented with 0.5 M d</w:t>
      </w:r>
      <w:r w:rsidRPr="003D5082">
        <w:rPr>
          <w:rFonts w:eastAsia="Times New Roman" w:cs="Times New Roman"/>
          <w:szCs w:val="20"/>
          <w:lang w:val="en-GB"/>
        </w:rPr>
        <w:t xml:space="preserve">ithiothreitol (Sigma-Aldrich) and gentle scraping with the pipette tip to ensure complete dissociation of the cells from the </w:t>
      </w:r>
      <w:r>
        <w:rPr>
          <w:rFonts w:eastAsia="Times New Roman" w:cs="Times New Roman"/>
          <w:szCs w:val="20"/>
          <w:lang w:val="en-GB"/>
        </w:rPr>
        <w:t>insert membrane</w:t>
      </w:r>
      <w:r w:rsidRPr="003D5082">
        <w:rPr>
          <w:rFonts w:eastAsia="Times New Roman" w:cs="Times New Roman"/>
          <w:szCs w:val="20"/>
          <w:lang w:val="en-GB"/>
        </w:rPr>
        <w:t xml:space="preserve">. Reverse transcription of the mRNA was performed using multiscribe High-cDNA Capacity RT kits (Applied Biosystems, ThermoFisher Scientific) according to the manufacturer’s instructions. RT-qPCR was </w:t>
      </w:r>
      <w:r>
        <w:rPr>
          <w:rFonts w:eastAsia="Times New Roman" w:cs="Times New Roman"/>
          <w:szCs w:val="20"/>
          <w:lang w:val="en-GB"/>
        </w:rPr>
        <w:t>done using</w:t>
      </w:r>
      <w:r w:rsidRPr="003D5082">
        <w:rPr>
          <w:rFonts w:eastAsia="Times New Roman" w:cs="Times New Roman"/>
          <w:szCs w:val="20"/>
          <w:lang w:val="en-GB"/>
        </w:rPr>
        <w:t xml:space="preserve"> LightCycler SYBR Green master mix (Roche Diagnostics, Meylan, France) with primers from Eurofins Genomics (</w:t>
      </w:r>
      <w:r w:rsidRPr="003D5082">
        <w:rPr>
          <w:rFonts w:cs="Times New Roman"/>
          <w:szCs w:val="20"/>
          <w:lang w:val="en-US"/>
        </w:rPr>
        <w:t>Ebersberg, Germany)</w:t>
      </w:r>
      <w:r w:rsidRPr="003D5082">
        <w:rPr>
          <w:rFonts w:eastAsia="Times New Roman" w:cs="Times New Roman"/>
          <w:szCs w:val="20"/>
          <w:lang w:val="en-GB"/>
        </w:rPr>
        <w:t xml:space="preserve"> </w:t>
      </w:r>
      <w:r w:rsidRPr="003D5082">
        <w:rPr>
          <w:rFonts w:eastAsia="Times New Roman" w:cs="Times New Roman"/>
          <w:color w:val="000000" w:themeColor="text1"/>
          <w:szCs w:val="20"/>
          <w:lang w:val="en-GB"/>
        </w:rPr>
        <w:t xml:space="preserve">(Table S1). </w:t>
      </w:r>
      <w:r w:rsidRPr="003D5082">
        <w:rPr>
          <w:rFonts w:eastAsia="Times New Roman" w:cs="Times New Roman"/>
          <w:szCs w:val="20"/>
          <w:lang w:val="en-GB"/>
        </w:rPr>
        <w:t xml:space="preserve">Reactions were carried out in sealed 384-well plates in a LightCycler 480 thermocycler (Roche Diagnostics). Gene expression was quantified using </w:t>
      </w:r>
      <w:r w:rsidRPr="003D5082">
        <w:rPr>
          <w:rFonts w:cs="Times New Roman"/>
          <w:szCs w:val="20"/>
          <w:lang w:val="en-US"/>
        </w:rPr>
        <w:t>2</w:t>
      </w:r>
      <w:r w:rsidRPr="003D5082">
        <w:rPr>
          <w:rFonts w:cs="Times New Roman"/>
          <w:szCs w:val="20"/>
          <w:vertAlign w:val="superscript"/>
          <w:lang w:val="en-US"/>
        </w:rPr>
        <w:t>-∆∆Ct</w:t>
      </w:r>
      <w:r w:rsidRPr="003D5082">
        <w:rPr>
          <w:rFonts w:cs="Times New Roman"/>
          <w:szCs w:val="20"/>
          <w:lang w:val="en-US"/>
        </w:rPr>
        <w:t xml:space="preserve"> method</w:t>
      </w:r>
      <w:r w:rsidRPr="003D5082">
        <w:rPr>
          <w:rFonts w:eastAsia="Times New Roman" w:cs="Times New Roman"/>
          <w:szCs w:val="20"/>
          <w:lang w:val="en-GB"/>
        </w:rPr>
        <w:t xml:space="preserve"> to yield Log</w:t>
      </w:r>
      <w:r w:rsidRPr="003D5082">
        <w:rPr>
          <w:rFonts w:eastAsia="Times New Roman" w:cs="Times New Roman"/>
          <w:szCs w:val="20"/>
          <w:vertAlign w:val="subscript"/>
          <w:lang w:val="en-GB"/>
        </w:rPr>
        <w:t>2</w:t>
      </w:r>
      <w:r w:rsidRPr="003D5082">
        <w:rPr>
          <w:rFonts w:eastAsia="Times New Roman" w:cs="Times New Roman"/>
          <w:szCs w:val="20"/>
          <w:lang w:val="en-GB"/>
        </w:rPr>
        <w:t xml:space="preserve"> fold change of a gene relative to</w:t>
      </w:r>
      <w:r>
        <w:rPr>
          <w:rFonts w:eastAsia="Times New Roman" w:cs="Times New Roman"/>
          <w:szCs w:val="20"/>
          <w:lang w:val="en-GB"/>
        </w:rPr>
        <w:t xml:space="preserve"> RPL19</w:t>
      </w:r>
      <w:r w:rsidRPr="003D5082">
        <w:rPr>
          <w:rFonts w:eastAsia="Times New Roman" w:cs="Times New Roman"/>
          <w:szCs w:val="20"/>
          <w:lang w:val="en-GB"/>
        </w:rPr>
        <w:t xml:space="preserve"> as housekeeping gene and normalized to the control at each timepoint.</w:t>
      </w:r>
      <w:r w:rsidRPr="003D5082">
        <w:rPr>
          <w:rFonts w:cs="Times New Roman"/>
          <w:szCs w:val="20"/>
          <w:lang w:val="en-GB"/>
        </w:rPr>
        <w:br w:type="page"/>
      </w:r>
    </w:p>
    <w:p w:rsidR="00D7239C" w:rsidRPr="003D5082" w:rsidRDefault="00D7239C" w:rsidP="00D7239C">
      <w:pPr>
        <w:spacing w:after="0" w:line="360" w:lineRule="auto"/>
        <w:jc w:val="center"/>
        <w:rPr>
          <w:rFonts w:cs="Times New Roman"/>
          <w:b/>
          <w:szCs w:val="20"/>
          <w:lang w:val="en-GB"/>
        </w:rPr>
      </w:pPr>
      <w:r w:rsidRPr="003D5082">
        <w:rPr>
          <w:rFonts w:cs="Times New Roman"/>
          <w:b/>
          <w:noProof/>
          <w:szCs w:val="20"/>
          <w:lang w:eastAsia="fr-FR"/>
        </w:rPr>
        <w:lastRenderedPageBreak/>
        <w:drawing>
          <wp:inline distT="0" distB="0" distL="0" distR="0" wp14:anchorId="55AB3640" wp14:editId="244D2A4A">
            <wp:extent cx="2879324" cy="1873193"/>
            <wp:effectExtent l="0" t="0" r="0" b="0"/>
            <wp:docPr id="47" name="Picture 7">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D35D5E4-5E0F-285A-0148-2087AD693F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D35D5E4-5E0F-285A-0148-2087AD693FD1}"/>
                        </a:ext>
                      </a:extLst>
                    </pic:cNvPr>
                    <pic:cNvPicPr>
                      <a:picLocks noChangeAspect="1"/>
                    </pic:cNvPicPr>
                  </pic:nvPicPr>
                  <pic:blipFill rotWithShape="1">
                    <a:blip r:embed="rId5"/>
                    <a:srcRect t="13543"/>
                    <a:stretch/>
                  </pic:blipFill>
                  <pic:spPr bwMode="auto">
                    <a:xfrm>
                      <a:off x="0" y="0"/>
                      <a:ext cx="2880000" cy="1873633"/>
                    </a:xfrm>
                    <a:prstGeom prst="rect">
                      <a:avLst/>
                    </a:prstGeom>
                    <a:ln>
                      <a:noFill/>
                    </a:ln>
                    <a:extLst>
                      <a:ext uri="{53640926-AAD7-44D8-BBD7-CCE9431645EC}">
                        <a14:shadowObscured xmlns:a14="http://schemas.microsoft.com/office/drawing/2010/main"/>
                      </a:ext>
                    </a:extLst>
                  </pic:spPr>
                </pic:pic>
              </a:graphicData>
            </a:graphic>
          </wp:inline>
        </w:drawing>
      </w:r>
    </w:p>
    <w:p w:rsidR="00D7239C" w:rsidRPr="003702C4" w:rsidRDefault="00D7239C" w:rsidP="00D7239C">
      <w:pPr>
        <w:pStyle w:val="Lgende"/>
        <w:spacing w:after="0" w:line="360" w:lineRule="auto"/>
        <w:jc w:val="both"/>
        <w:rPr>
          <w:rFonts w:cs="Times New Roman"/>
          <w:b w:val="0"/>
          <w:szCs w:val="20"/>
          <w:lang w:val="en-GB"/>
        </w:rPr>
      </w:pPr>
      <w:bookmarkStart w:id="2" w:name="_Toc127026892"/>
      <w:bookmarkStart w:id="3" w:name="_Ref127026634"/>
      <w:r w:rsidRPr="003D5082">
        <w:rPr>
          <w:rFonts w:cs="Times New Roman"/>
          <w:szCs w:val="20"/>
        </w:rPr>
        <w:t>Figure S</w:t>
      </w:r>
      <w:bookmarkEnd w:id="2"/>
      <w:bookmarkEnd w:id="3"/>
      <w:r>
        <w:rPr>
          <w:rFonts w:cs="Times New Roman"/>
          <w:szCs w:val="20"/>
        </w:rPr>
        <w:t xml:space="preserve">1. </w:t>
      </w:r>
      <w:r>
        <w:rPr>
          <w:rFonts w:cs="Times New Roman"/>
          <w:szCs w:val="20"/>
          <w:lang w:val="en-GB"/>
        </w:rPr>
        <w:t>Effect of pseudo-ALI conditions</w:t>
      </w:r>
      <w:r w:rsidRPr="003D5082">
        <w:rPr>
          <w:rFonts w:cs="Times New Roman"/>
          <w:szCs w:val="20"/>
          <w:lang w:val="en-GB"/>
        </w:rPr>
        <w:t xml:space="preserve"> on TEER of the Calu-3 barrier</w:t>
      </w:r>
      <w:r>
        <w:rPr>
          <w:rFonts w:cs="Times New Roman"/>
          <w:szCs w:val="20"/>
          <w:lang w:val="en-GB"/>
        </w:rPr>
        <w:t>.</w:t>
      </w:r>
      <w:r w:rsidRPr="003D5082">
        <w:rPr>
          <w:rFonts w:cs="Times New Roman"/>
          <w:szCs w:val="20"/>
          <w:lang w:val="en-GB"/>
        </w:rPr>
        <w:t xml:space="preserve"> </w:t>
      </w:r>
      <w:r w:rsidRPr="003702C4">
        <w:rPr>
          <w:rFonts w:cs="Times New Roman"/>
          <w:b w:val="0"/>
          <w:szCs w:val="20"/>
          <w:lang w:val="en-GB"/>
        </w:rPr>
        <w:t xml:space="preserve">Control </w:t>
      </w:r>
      <w:r w:rsidRPr="003D5082">
        <w:rPr>
          <w:rFonts w:cs="Times New Roman"/>
          <w:b w:val="0"/>
          <w:szCs w:val="20"/>
          <w:lang w:val="en-GB"/>
        </w:rPr>
        <w:t>Calu-3 cultures were exposed</w:t>
      </w:r>
      <w:r>
        <w:rPr>
          <w:rFonts w:cs="Times New Roman"/>
          <w:b w:val="0"/>
          <w:szCs w:val="20"/>
          <w:lang w:val="en-GB"/>
        </w:rPr>
        <w:t xml:space="preserve"> 5 times to 20 µL </w:t>
      </w:r>
      <w:r w:rsidRPr="000D7E73">
        <w:rPr>
          <w:rFonts w:cs="Times New Roman"/>
          <w:b w:val="0"/>
          <w:szCs w:val="20"/>
          <w:lang w:val="en-GB"/>
        </w:rPr>
        <w:t>HBSS</w:t>
      </w:r>
      <w:r w:rsidRPr="000D7E73">
        <w:rPr>
          <w:rFonts w:eastAsia="Times New Roman" w:cs="Times New Roman"/>
          <w:b w:val="0"/>
          <w:szCs w:val="20"/>
          <w:vertAlign w:val="superscript"/>
          <w:lang w:val="en-GB"/>
        </w:rPr>
        <w:t xml:space="preserve"> Ca2+/Mg2+</w:t>
      </w:r>
      <w:r w:rsidRPr="003D5082">
        <w:rPr>
          <w:rFonts w:eastAsia="Times New Roman" w:cs="Times New Roman"/>
          <w:szCs w:val="20"/>
          <w:lang w:val="en-GB"/>
        </w:rPr>
        <w:t xml:space="preserve"> </w:t>
      </w:r>
      <w:r>
        <w:rPr>
          <w:rFonts w:cs="Times New Roman"/>
          <w:b w:val="0"/>
          <w:szCs w:val="20"/>
          <w:lang w:val="en-GB"/>
        </w:rPr>
        <w:t xml:space="preserve"> at ALI during 5 days. In one culture (blue), HBSS</w:t>
      </w:r>
      <w:r w:rsidRPr="000D7E73">
        <w:rPr>
          <w:rFonts w:eastAsia="Times New Roman" w:cs="Times New Roman"/>
          <w:szCs w:val="20"/>
          <w:vertAlign w:val="superscript"/>
          <w:lang w:val="en-GB"/>
        </w:rPr>
        <w:t xml:space="preserve"> </w:t>
      </w:r>
      <w:r w:rsidRPr="000D7E73">
        <w:rPr>
          <w:rFonts w:eastAsia="Times New Roman" w:cs="Times New Roman"/>
          <w:b w:val="0"/>
          <w:szCs w:val="20"/>
          <w:vertAlign w:val="superscript"/>
          <w:lang w:val="en-GB"/>
        </w:rPr>
        <w:t>Ca2+/Mg2+</w:t>
      </w:r>
      <w:r w:rsidRPr="003D5082">
        <w:rPr>
          <w:rFonts w:eastAsia="Times New Roman" w:cs="Times New Roman"/>
          <w:szCs w:val="20"/>
          <w:lang w:val="en-GB"/>
        </w:rPr>
        <w:t xml:space="preserve"> </w:t>
      </w:r>
      <w:r>
        <w:rPr>
          <w:rFonts w:cs="Times New Roman"/>
          <w:b w:val="0"/>
          <w:szCs w:val="20"/>
          <w:lang w:val="en-GB"/>
        </w:rPr>
        <w:t xml:space="preserve"> was removed before each new treatment, as done in the study of control and treated cells. In a second culture (green), HBSS</w:t>
      </w:r>
      <w:r w:rsidRPr="000D7E73">
        <w:rPr>
          <w:rFonts w:eastAsia="Times New Roman" w:cs="Times New Roman"/>
          <w:szCs w:val="20"/>
          <w:vertAlign w:val="superscript"/>
          <w:lang w:val="en-GB"/>
        </w:rPr>
        <w:t xml:space="preserve"> </w:t>
      </w:r>
      <w:r w:rsidRPr="000D7E73">
        <w:rPr>
          <w:rFonts w:eastAsia="Times New Roman" w:cs="Times New Roman"/>
          <w:b w:val="0"/>
          <w:szCs w:val="20"/>
          <w:vertAlign w:val="superscript"/>
          <w:lang w:val="en-GB"/>
        </w:rPr>
        <w:t>Ca2+/Mg2+</w:t>
      </w:r>
      <w:r w:rsidRPr="003D5082">
        <w:rPr>
          <w:rFonts w:eastAsia="Times New Roman" w:cs="Times New Roman"/>
          <w:szCs w:val="20"/>
          <w:lang w:val="en-GB"/>
        </w:rPr>
        <w:t xml:space="preserve"> </w:t>
      </w:r>
      <w:r>
        <w:rPr>
          <w:rFonts w:cs="Times New Roman"/>
          <w:b w:val="0"/>
          <w:szCs w:val="20"/>
          <w:lang w:val="en-GB"/>
        </w:rPr>
        <w:t xml:space="preserve">was not collected before the next treatment, leading to a total added volume of 100 µL on the apical side. </w:t>
      </w:r>
      <w:r w:rsidRPr="003D5082">
        <w:rPr>
          <w:rFonts w:cs="Times New Roman"/>
          <w:szCs w:val="20"/>
          <w:lang w:val="en-GB"/>
        </w:rPr>
        <w:br w:type="page"/>
      </w:r>
    </w:p>
    <w:p w:rsidR="00D7239C" w:rsidRPr="003D5082" w:rsidRDefault="00D7239C" w:rsidP="00D7239C">
      <w:pPr>
        <w:spacing w:after="0" w:line="360" w:lineRule="auto"/>
        <w:jc w:val="center"/>
        <w:rPr>
          <w:rFonts w:cs="Times New Roman"/>
          <w:szCs w:val="20"/>
          <w:lang w:val="en-US" w:eastAsia="fr-FR"/>
        </w:rPr>
      </w:pPr>
      <w:r>
        <w:rPr>
          <w:rFonts w:cs="Times New Roman"/>
          <w:noProof/>
          <w:szCs w:val="20"/>
          <w:lang w:eastAsia="fr-FR"/>
        </w:rPr>
        <w:lastRenderedPageBreak/>
        <w:drawing>
          <wp:inline distT="0" distB="0" distL="0" distR="0" wp14:anchorId="3F5C2815" wp14:editId="4D7A873E">
            <wp:extent cx="5760000" cy="4438830"/>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000" cy="4438830"/>
                    </a:xfrm>
                    <a:prstGeom prst="rect">
                      <a:avLst/>
                    </a:prstGeom>
                    <a:noFill/>
                  </pic:spPr>
                </pic:pic>
              </a:graphicData>
            </a:graphic>
          </wp:inline>
        </w:drawing>
      </w:r>
    </w:p>
    <w:p w:rsidR="00D7239C" w:rsidRPr="005F790B" w:rsidRDefault="00D7239C" w:rsidP="00D7239C">
      <w:pPr>
        <w:pStyle w:val="Lgende"/>
        <w:spacing w:after="0" w:line="360" w:lineRule="auto"/>
        <w:jc w:val="both"/>
        <w:rPr>
          <w:lang w:val="en-GB"/>
        </w:rPr>
      </w:pPr>
      <w:bookmarkStart w:id="4" w:name="_Toc127026893"/>
      <w:bookmarkStart w:id="5" w:name="_Ref127026706"/>
      <w:r w:rsidRPr="00F00BDD">
        <w:rPr>
          <w:rFonts w:cs="Times New Roman"/>
          <w:szCs w:val="20"/>
        </w:rPr>
        <w:t>Figure S</w:t>
      </w:r>
      <w:bookmarkEnd w:id="4"/>
      <w:bookmarkEnd w:id="5"/>
      <w:r>
        <w:rPr>
          <w:rFonts w:cs="Times New Roman"/>
          <w:szCs w:val="20"/>
        </w:rPr>
        <w:t>2</w:t>
      </w:r>
      <w:r w:rsidRPr="00F00BDD">
        <w:rPr>
          <w:rFonts w:cs="Times New Roman"/>
          <w:szCs w:val="20"/>
        </w:rPr>
        <w:t xml:space="preserve">. </w:t>
      </w:r>
      <w:r w:rsidRPr="00C50F6C">
        <w:rPr>
          <w:rFonts w:cs="Times New Roman"/>
          <w:szCs w:val="20"/>
          <w:lang w:val="en-GB"/>
        </w:rPr>
        <w:t>Effect of 5 repeated exposures to 1 µg/cm² AgNPs on Calu-3 viability and epithelial barrier integrity</w:t>
      </w:r>
      <w:r w:rsidRPr="00F00BDD">
        <w:rPr>
          <w:rFonts w:cs="Times New Roman"/>
          <w:szCs w:val="20"/>
          <w:lang w:val="en-GB"/>
        </w:rPr>
        <w:t>.</w:t>
      </w:r>
      <w:r w:rsidRPr="003D5082">
        <w:rPr>
          <w:rFonts w:cs="Times New Roman"/>
          <w:b w:val="0"/>
          <w:szCs w:val="20"/>
          <w:lang w:val="en-GB"/>
        </w:rPr>
        <w:t xml:space="preserve"> </w:t>
      </w:r>
      <w:r w:rsidRPr="005F790B">
        <w:rPr>
          <w:b w:val="0"/>
          <w:lang w:val="en-GB"/>
        </w:rPr>
        <w:t>Calu-3 epithelial barrier was exposed to HBSS (control, white) or 1 µg/cm² AgNPs (treated, black) from D0 to D9. The different endpoints were measured from D0 to D11. (A) Metabolic activity measu</w:t>
      </w:r>
      <w:r>
        <w:rPr>
          <w:b w:val="0"/>
          <w:lang w:val="en-GB"/>
        </w:rPr>
        <w:t>red by the AlamarBlue assay (N=4</w:t>
      </w:r>
      <w:r w:rsidRPr="005F790B">
        <w:rPr>
          <w:b w:val="0"/>
          <w:lang w:val="en-GB"/>
        </w:rPr>
        <w:t>). Dotted lines represent the metabolic activity of the control culture during 12 days. (B) Cell membrane integr</w:t>
      </w:r>
      <w:r>
        <w:rPr>
          <w:b w:val="0"/>
          <w:lang w:val="en-GB"/>
        </w:rPr>
        <w:t>ity measured by LDH release (N=4</w:t>
      </w:r>
      <w:r w:rsidRPr="005F790B">
        <w:rPr>
          <w:b w:val="0"/>
          <w:lang w:val="en-GB"/>
        </w:rPr>
        <w:t>). (C) Trans-epithelial electric resistance (TEER) (N=</w:t>
      </w:r>
      <w:r>
        <w:rPr>
          <w:b w:val="0"/>
          <w:lang w:val="en-GB"/>
        </w:rPr>
        <w:t>3</w:t>
      </w:r>
      <w:r w:rsidRPr="005F790B">
        <w:rPr>
          <w:b w:val="0"/>
          <w:lang w:val="en-GB"/>
        </w:rPr>
        <w:t>). Minimal value for a tight barrier is indicated by a dotted line (TEER &gt; 3</w:t>
      </w:r>
      <w:r>
        <w:rPr>
          <w:b w:val="0"/>
          <w:lang w:val="en-GB"/>
        </w:rPr>
        <w:t xml:space="preserve">00 </w:t>
      </w:r>
      <w:r>
        <w:rPr>
          <w:rFonts w:cs="Times New Roman"/>
          <w:b w:val="0"/>
          <w:lang w:val="en-GB"/>
        </w:rPr>
        <w:t>Ω</w:t>
      </w:r>
      <w:r>
        <w:rPr>
          <w:b w:val="0"/>
          <w:lang w:val="en-GB"/>
        </w:rPr>
        <w:t>.</w:t>
      </w:r>
      <w:r w:rsidRPr="005F790B">
        <w:rPr>
          <w:b w:val="0"/>
          <w:lang w:val="en-GB"/>
        </w:rPr>
        <w:t>cm²). (D) Lucifer Yellow (LY) permeability (N=</w:t>
      </w:r>
      <w:r>
        <w:rPr>
          <w:b w:val="0"/>
          <w:lang w:val="en-GB"/>
        </w:rPr>
        <w:t>3</w:t>
      </w:r>
      <w:r w:rsidRPr="005F790B">
        <w:rPr>
          <w:b w:val="0"/>
          <w:lang w:val="en-GB"/>
        </w:rPr>
        <w:t>) of controls (white), treated cells (</w:t>
      </w:r>
      <w:r>
        <w:rPr>
          <w:b w:val="0"/>
          <w:lang w:val="en-GB"/>
        </w:rPr>
        <w:t>dark grey</w:t>
      </w:r>
      <w:r w:rsidRPr="005F790B">
        <w:rPr>
          <w:b w:val="0"/>
          <w:lang w:val="en-GB"/>
        </w:rPr>
        <w:t>), and empty insert (</w:t>
      </w:r>
      <w:r>
        <w:rPr>
          <w:b w:val="0"/>
          <w:lang w:val="en-GB"/>
        </w:rPr>
        <w:t>hatched</w:t>
      </w:r>
      <w:r w:rsidRPr="005F790B">
        <w:rPr>
          <w:b w:val="0"/>
          <w:lang w:val="en-GB"/>
        </w:rPr>
        <w:t xml:space="preserve">). Maximal value for a tight barrier is indicated by a dotted line (LY &lt; 2%). </w:t>
      </w:r>
    </w:p>
    <w:p w:rsidR="00D7239C" w:rsidRPr="003D5082" w:rsidRDefault="00D7239C" w:rsidP="00D7239C">
      <w:pPr>
        <w:spacing w:after="0" w:line="360" w:lineRule="auto"/>
        <w:jc w:val="both"/>
        <w:rPr>
          <w:rFonts w:cs="Times New Roman"/>
          <w:szCs w:val="20"/>
          <w:lang w:val="en-GB"/>
        </w:rPr>
      </w:pPr>
      <w:r w:rsidRPr="003D5082">
        <w:rPr>
          <w:rFonts w:cs="Times New Roman"/>
          <w:szCs w:val="20"/>
          <w:lang w:val="en-GB"/>
        </w:rPr>
        <w:br w:type="page"/>
      </w:r>
    </w:p>
    <w:p w:rsidR="00D7239C" w:rsidRPr="003D5082" w:rsidRDefault="00D7239C" w:rsidP="00D7239C">
      <w:pPr>
        <w:spacing w:after="0" w:line="360" w:lineRule="auto"/>
        <w:jc w:val="center"/>
        <w:rPr>
          <w:rFonts w:cs="Times New Roman"/>
          <w:noProof/>
          <w:szCs w:val="20"/>
          <w:lang w:val="en-GB" w:eastAsia="en-GB"/>
        </w:rPr>
      </w:pPr>
      <w:r>
        <w:rPr>
          <w:rFonts w:cs="Times New Roman"/>
          <w:noProof/>
          <w:szCs w:val="20"/>
          <w:lang w:eastAsia="fr-FR"/>
        </w:rPr>
        <w:lastRenderedPageBreak/>
        <w:drawing>
          <wp:inline distT="0" distB="0" distL="0" distR="0" wp14:anchorId="70A338A7" wp14:editId="40C1446C">
            <wp:extent cx="5040000" cy="3431039"/>
            <wp:effectExtent l="0" t="0" r="825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40000" cy="3431039"/>
                    </a:xfrm>
                    <a:prstGeom prst="rect">
                      <a:avLst/>
                    </a:prstGeom>
                    <a:noFill/>
                  </pic:spPr>
                </pic:pic>
              </a:graphicData>
            </a:graphic>
          </wp:inline>
        </w:drawing>
      </w:r>
    </w:p>
    <w:p w:rsidR="00D7239C" w:rsidRPr="00F00BDD" w:rsidRDefault="00D7239C" w:rsidP="00D7239C">
      <w:pPr>
        <w:pStyle w:val="Lgende"/>
        <w:spacing w:after="0" w:line="360" w:lineRule="auto"/>
        <w:jc w:val="both"/>
        <w:rPr>
          <w:rFonts w:cs="Times New Roman"/>
          <w:b w:val="0"/>
          <w:szCs w:val="20"/>
          <w:lang w:val="en-GB"/>
        </w:rPr>
      </w:pPr>
      <w:bookmarkStart w:id="6" w:name="_Toc127026894"/>
      <w:bookmarkStart w:id="7" w:name="_Ref127026715"/>
      <w:r w:rsidRPr="003D5082">
        <w:rPr>
          <w:rFonts w:cs="Times New Roman"/>
          <w:szCs w:val="20"/>
        </w:rPr>
        <w:t>Figure S</w:t>
      </w:r>
      <w:bookmarkEnd w:id="6"/>
      <w:bookmarkEnd w:id="7"/>
      <w:r>
        <w:rPr>
          <w:rFonts w:cs="Times New Roman"/>
          <w:szCs w:val="20"/>
        </w:rPr>
        <w:t>3</w:t>
      </w:r>
      <w:r w:rsidRPr="00F00BDD">
        <w:rPr>
          <w:rFonts w:cs="Times New Roman"/>
          <w:szCs w:val="20"/>
        </w:rPr>
        <w:t xml:space="preserve">. </w:t>
      </w:r>
      <w:r w:rsidRPr="00530209">
        <w:rPr>
          <w:rFonts w:cs="Times New Roman"/>
          <w:szCs w:val="20"/>
          <w:lang w:val="en-GB"/>
        </w:rPr>
        <w:t>Analysis of the porosity of Transwell and Millicell inserts</w:t>
      </w:r>
      <w:r w:rsidRPr="00F00BDD">
        <w:rPr>
          <w:rFonts w:cs="Times New Roman"/>
          <w:szCs w:val="20"/>
          <w:lang w:val="en-GB"/>
        </w:rPr>
        <w:t>.</w:t>
      </w:r>
      <w:r w:rsidRPr="003D5082">
        <w:rPr>
          <w:rFonts w:cs="Times New Roman"/>
          <w:b w:val="0"/>
          <w:szCs w:val="20"/>
          <w:lang w:val="en-GB"/>
        </w:rPr>
        <w:t xml:space="preserve"> </w:t>
      </w:r>
      <w:r w:rsidRPr="00F00BDD">
        <w:rPr>
          <w:rFonts w:cs="Times New Roman"/>
          <w:b w:val="0"/>
          <w:szCs w:val="20"/>
          <w:lang w:val="en-GB"/>
        </w:rPr>
        <w:t xml:space="preserve">(A) Bright field </w:t>
      </w:r>
      <w:r>
        <w:rPr>
          <w:rFonts w:cs="Times New Roman"/>
          <w:b w:val="0"/>
          <w:szCs w:val="20"/>
          <w:lang w:val="en-GB"/>
        </w:rPr>
        <w:t xml:space="preserve">(left) </w:t>
      </w:r>
      <w:r w:rsidRPr="00F00BDD">
        <w:rPr>
          <w:rFonts w:cs="Times New Roman"/>
          <w:b w:val="0"/>
          <w:szCs w:val="20"/>
          <w:lang w:val="en-GB"/>
        </w:rPr>
        <w:t>and Raman</w:t>
      </w:r>
      <w:r>
        <w:rPr>
          <w:rFonts w:cs="Times New Roman"/>
          <w:b w:val="0"/>
          <w:szCs w:val="20"/>
          <w:lang w:val="en-GB"/>
        </w:rPr>
        <w:t xml:space="preserve"> (right)</w:t>
      </w:r>
      <w:r w:rsidRPr="00F00BDD">
        <w:rPr>
          <w:rFonts w:cs="Times New Roman"/>
          <w:b w:val="0"/>
          <w:szCs w:val="20"/>
          <w:lang w:val="en-GB"/>
        </w:rPr>
        <w:t xml:space="preserve"> images of Transwell and Millicell inserts. (B) Raman spectra of Transwell (red) and Millicell (blue) inserts. (C) Percentage of single pores and fused pores for each insert. </w:t>
      </w:r>
      <w:r>
        <w:rPr>
          <w:rFonts w:cs="Times New Roman"/>
          <w:b w:val="0"/>
          <w:szCs w:val="20"/>
          <w:lang w:val="en-GB"/>
        </w:rPr>
        <w:t xml:space="preserve">(D-E) </w:t>
      </w:r>
      <w:r w:rsidRPr="00F00BDD">
        <w:rPr>
          <w:rFonts w:cs="Times New Roman"/>
          <w:b w:val="0"/>
          <w:szCs w:val="20"/>
          <w:lang w:val="en-GB"/>
        </w:rPr>
        <w:t xml:space="preserve">Semi-thin sections of Calu-3 cultures </w:t>
      </w:r>
      <w:r w:rsidRPr="00F00BDD">
        <w:rPr>
          <w:rFonts w:cs="Times New Roman"/>
          <w:b w:val="0"/>
          <w:szCs w:val="20"/>
        </w:rPr>
        <w:t xml:space="preserve">on </w:t>
      </w:r>
      <w:r w:rsidRPr="00F00BDD">
        <w:rPr>
          <w:rFonts w:eastAsia="Times New Roman" w:cs="Times New Roman"/>
          <w:b w:val="0"/>
          <w:szCs w:val="20"/>
          <w:lang w:val="en-GB"/>
        </w:rPr>
        <w:t>Transwell</w:t>
      </w:r>
      <w:r w:rsidRPr="00F00BDD">
        <w:rPr>
          <w:rFonts w:eastAsia="Times New Roman" w:cs="Times New Roman"/>
          <w:b w:val="0"/>
          <w:szCs w:val="20"/>
          <w:vertAlign w:val="superscript"/>
          <w:lang w:val="en-GB"/>
        </w:rPr>
        <w:t>®</w:t>
      </w:r>
      <w:r w:rsidRPr="00F00BDD">
        <w:rPr>
          <w:rFonts w:eastAsia="Times New Roman" w:cs="Times New Roman"/>
          <w:b w:val="0"/>
          <w:szCs w:val="20"/>
          <w:lang w:val="en-GB"/>
        </w:rPr>
        <w:t xml:space="preserve"> (D) </w:t>
      </w:r>
      <w:r>
        <w:rPr>
          <w:rFonts w:eastAsia="Times New Roman" w:cs="Times New Roman"/>
          <w:b w:val="0"/>
          <w:szCs w:val="20"/>
          <w:lang w:val="en-GB"/>
        </w:rPr>
        <w:t>and</w:t>
      </w:r>
      <w:r w:rsidRPr="00F00BDD">
        <w:rPr>
          <w:rFonts w:eastAsia="Times New Roman" w:cs="Times New Roman"/>
          <w:b w:val="0"/>
          <w:szCs w:val="20"/>
          <w:lang w:val="en-GB"/>
        </w:rPr>
        <w:t xml:space="preserve"> Millicell</w:t>
      </w:r>
      <w:r w:rsidRPr="00F00BDD">
        <w:rPr>
          <w:rFonts w:eastAsia="Times New Roman" w:cs="Times New Roman"/>
          <w:b w:val="0"/>
          <w:szCs w:val="20"/>
          <w:vertAlign w:val="superscript"/>
          <w:lang w:val="en-GB"/>
        </w:rPr>
        <w:t>®</w:t>
      </w:r>
      <w:r w:rsidRPr="00F00BDD">
        <w:rPr>
          <w:rFonts w:eastAsia="Times New Roman" w:cs="Times New Roman"/>
          <w:b w:val="0"/>
          <w:szCs w:val="20"/>
          <w:lang w:val="en-GB"/>
        </w:rPr>
        <w:t xml:space="preserve"> (E) </w:t>
      </w:r>
      <w:r>
        <w:rPr>
          <w:rFonts w:eastAsia="Times New Roman" w:cs="Times New Roman"/>
          <w:b w:val="0"/>
          <w:szCs w:val="20"/>
          <w:lang w:val="en-GB"/>
        </w:rPr>
        <w:t xml:space="preserve">inserts </w:t>
      </w:r>
      <w:r w:rsidRPr="00FD1C42">
        <w:rPr>
          <w:rFonts w:eastAsia="Times New Roman" w:cs="Times New Roman"/>
          <w:b w:val="0"/>
          <w:szCs w:val="20"/>
          <w:lang w:val="en-GB"/>
        </w:rPr>
        <w:t xml:space="preserve">stained with toluidine blue </w:t>
      </w:r>
      <w:r>
        <w:rPr>
          <w:rFonts w:eastAsia="Times New Roman" w:cs="Times New Roman"/>
          <w:b w:val="0"/>
          <w:szCs w:val="20"/>
          <w:lang w:val="en-GB"/>
        </w:rPr>
        <w:t>showing</w:t>
      </w:r>
      <w:r w:rsidRPr="00F00BDD">
        <w:rPr>
          <w:rFonts w:eastAsia="Times New Roman" w:cs="Times New Roman"/>
          <w:b w:val="0"/>
          <w:szCs w:val="20"/>
          <w:lang w:val="en-GB"/>
        </w:rPr>
        <w:t xml:space="preserve"> differences in the </w:t>
      </w:r>
      <w:r>
        <w:rPr>
          <w:rFonts w:eastAsia="Times New Roman" w:cs="Times New Roman"/>
          <w:b w:val="0"/>
          <w:szCs w:val="20"/>
          <w:lang w:val="en-GB"/>
        </w:rPr>
        <w:t>morphology</w:t>
      </w:r>
      <w:r w:rsidRPr="00F00BDD">
        <w:rPr>
          <w:rFonts w:eastAsia="Times New Roman" w:cs="Times New Roman"/>
          <w:b w:val="0"/>
          <w:szCs w:val="20"/>
          <w:lang w:val="en-GB"/>
        </w:rPr>
        <w:t xml:space="preserve"> of the </w:t>
      </w:r>
      <w:r>
        <w:rPr>
          <w:rFonts w:eastAsia="Times New Roman" w:cs="Times New Roman"/>
          <w:b w:val="0"/>
          <w:szCs w:val="20"/>
          <w:lang w:val="en-GB"/>
        </w:rPr>
        <w:t xml:space="preserve">pore </w:t>
      </w:r>
      <w:r w:rsidRPr="00F00BDD">
        <w:rPr>
          <w:rFonts w:eastAsia="Times New Roman" w:cs="Times New Roman"/>
          <w:b w:val="0"/>
          <w:szCs w:val="20"/>
          <w:lang w:val="en-GB"/>
        </w:rPr>
        <w:t>wall.</w:t>
      </w:r>
    </w:p>
    <w:p w:rsidR="00D7239C" w:rsidRPr="003D5082" w:rsidRDefault="00D7239C" w:rsidP="00D7239C">
      <w:pPr>
        <w:spacing w:after="0" w:line="360" w:lineRule="auto"/>
        <w:jc w:val="center"/>
        <w:rPr>
          <w:rFonts w:cs="Times New Roman"/>
          <w:szCs w:val="20"/>
          <w:lang w:val="en-GB"/>
        </w:rPr>
      </w:pPr>
      <w:r w:rsidRPr="003D5082">
        <w:rPr>
          <w:rFonts w:cs="Times New Roman"/>
          <w:noProof/>
          <w:szCs w:val="20"/>
          <w:lang w:eastAsia="fr-FR"/>
        </w:rPr>
        <w:lastRenderedPageBreak/>
        <w:drawing>
          <wp:inline distT="0" distB="0" distL="0" distR="0" wp14:anchorId="516AB07C" wp14:editId="0501694E">
            <wp:extent cx="4320000" cy="3286673"/>
            <wp:effectExtent l="0" t="0" r="4445" b="9525"/>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20000" cy="3286673"/>
                    </a:xfrm>
                    <a:prstGeom prst="rect">
                      <a:avLst/>
                    </a:prstGeom>
                    <a:noFill/>
                  </pic:spPr>
                </pic:pic>
              </a:graphicData>
            </a:graphic>
          </wp:inline>
        </w:drawing>
      </w:r>
      <w:r w:rsidRPr="003D5082">
        <w:rPr>
          <w:rFonts w:cs="Times New Roman"/>
          <w:noProof/>
          <w:szCs w:val="20"/>
          <w:lang w:eastAsia="fr-FR"/>
        </w:rPr>
        <w:drawing>
          <wp:inline distT="0" distB="0" distL="0" distR="0" wp14:anchorId="22318A2A" wp14:editId="618E22E8">
            <wp:extent cx="4320000" cy="4320000"/>
            <wp:effectExtent l="0" t="0" r="4445" b="4445"/>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pic:spPr>
                </pic:pic>
              </a:graphicData>
            </a:graphic>
          </wp:inline>
        </w:drawing>
      </w:r>
    </w:p>
    <w:p w:rsidR="00D7239C" w:rsidRPr="005F2200" w:rsidRDefault="00D7239C" w:rsidP="00D7239C">
      <w:pPr>
        <w:pStyle w:val="Lgende"/>
        <w:spacing w:after="0" w:line="360" w:lineRule="auto"/>
        <w:jc w:val="both"/>
        <w:rPr>
          <w:rFonts w:cs="Times New Roman"/>
          <w:b w:val="0"/>
          <w:szCs w:val="20"/>
          <w:lang w:val="en-GB"/>
        </w:rPr>
      </w:pPr>
      <w:bookmarkStart w:id="8" w:name="_Toc127026895"/>
      <w:bookmarkStart w:id="9" w:name="_Ref127026725"/>
      <w:r w:rsidRPr="003D5082">
        <w:rPr>
          <w:rFonts w:cs="Times New Roman"/>
          <w:szCs w:val="20"/>
        </w:rPr>
        <w:t>Figure S</w:t>
      </w:r>
      <w:bookmarkEnd w:id="8"/>
      <w:bookmarkEnd w:id="9"/>
      <w:r>
        <w:rPr>
          <w:rFonts w:cs="Times New Roman"/>
          <w:szCs w:val="20"/>
        </w:rPr>
        <w:t>4</w:t>
      </w:r>
      <w:r w:rsidRPr="00DA76AF">
        <w:rPr>
          <w:rFonts w:cs="Times New Roman"/>
          <w:szCs w:val="20"/>
        </w:rPr>
        <w:t xml:space="preserve">. </w:t>
      </w:r>
      <w:r w:rsidRPr="00DA76AF">
        <w:rPr>
          <w:rFonts w:cs="Times New Roman"/>
          <w:szCs w:val="20"/>
          <w:lang w:val="en-GB"/>
        </w:rPr>
        <w:t xml:space="preserve">TEM </w:t>
      </w:r>
      <w:r>
        <w:rPr>
          <w:rFonts w:cs="Times New Roman"/>
          <w:szCs w:val="20"/>
          <w:lang w:val="en-GB"/>
        </w:rPr>
        <w:t>images</w:t>
      </w:r>
      <w:r w:rsidRPr="00DA76AF">
        <w:rPr>
          <w:rFonts w:cs="Times New Roman"/>
          <w:szCs w:val="20"/>
          <w:lang w:val="en-GB"/>
        </w:rPr>
        <w:t xml:space="preserve"> of </w:t>
      </w:r>
      <w:r>
        <w:rPr>
          <w:rFonts w:cs="Times New Roman"/>
          <w:szCs w:val="20"/>
          <w:lang w:val="en-GB"/>
        </w:rPr>
        <w:t>control</w:t>
      </w:r>
      <w:r w:rsidRPr="00DA76AF">
        <w:rPr>
          <w:rFonts w:cs="Times New Roman"/>
          <w:szCs w:val="20"/>
          <w:lang w:val="en-GB"/>
        </w:rPr>
        <w:t xml:space="preserve"> Calu-3 cultures at D11 after 5 repeated exposure to HBSS</w:t>
      </w:r>
      <w:r>
        <w:rPr>
          <w:rFonts w:cs="Times New Roman"/>
          <w:szCs w:val="20"/>
          <w:lang w:val="en-GB"/>
        </w:rPr>
        <w:t xml:space="preserve"> </w:t>
      </w:r>
      <w:r w:rsidRPr="00DA76AF">
        <w:rPr>
          <w:rFonts w:cs="Times New Roman"/>
          <w:szCs w:val="20"/>
          <w:lang w:val="en-GB"/>
        </w:rPr>
        <w:t>at ALI.</w:t>
      </w:r>
      <w:r>
        <w:rPr>
          <w:rFonts w:cs="Times New Roman"/>
          <w:szCs w:val="20"/>
          <w:lang w:val="en-GB"/>
        </w:rPr>
        <w:t xml:space="preserve"> </w:t>
      </w:r>
      <w:r>
        <w:rPr>
          <w:rFonts w:cs="Times New Roman"/>
          <w:b w:val="0"/>
          <w:szCs w:val="20"/>
          <w:lang w:val="en-GB"/>
        </w:rPr>
        <w:t xml:space="preserve">Scale bar 5 µm (top) and 1 µm (bottom). Mucus secretory granules and microvilli are visible on the apical side of the Calu-3 cells on the bottom image. </w:t>
      </w:r>
    </w:p>
    <w:p w:rsidR="00D7239C" w:rsidRDefault="00D7239C" w:rsidP="00D7239C">
      <w:pPr>
        <w:spacing w:after="0" w:line="360" w:lineRule="auto"/>
        <w:jc w:val="center"/>
        <w:rPr>
          <w:rFonts w:cs="Times New Roman"/>
          <w:b/>
          <w:szCs w:val="20"/>
          <w:lang w:val="en-GB"/>
        </w:rPr>
      </w:pPr>
      <w:r w:rsidRPr="003D5082">
        <w:rPr>
          <w:rFonts w:cs="Times New Roman"/>
          <w:b/>
          <w:noProof/>
          <w:szCs w:val="20"/>
          <w:lang w:eastAsia="fr-FR"/>
        </w:rPr>
        <w:lastRenderedPageBreak/>
        <w:drawing>
          <wp:inline distT="0" distB="0" distL="0" distR="0" wp14:anchorId="24DDFA38" wp14:editId="72D50B4F">
            <wp:extent cx="3600000" cy="3612380"/>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00000" cy="3612380"/>
                    </a:xfrm>
                    <a:prstGeom prst="rect">
                      <a:avLst/>
                    </a:prstGeom>
                    <a:noFill/>
                  </pic:spPr>
                </pic:pic>
              </a:graphicData>
            </a:graphic>
          </wp:inline>
        </w:drawing>
      </w:r>
    </w:p>
    <w:p w:rsidR="00D7239C" w:rsidRPr="00927358" w:rsidRDefault="00D7239C" w:rsidP="00D7239C">
      <w:pPr>
        <w:spacing w:after="0" w:line="360" w:lineRule="auto"/>
        <w:jc w:val="both"/>
        <w:rPr>
          <w:rFonts w:cs="Times New Roman"/>
          <w:szCs w:val="20"/>
          <w:lang w:val="en-GB"/>
        </w:rPr>
      </w:pPr>
      <w:r w:rsidRPr="005F2200">
        <w:rPr>
          <w:rFonts w:cs="Times New Roman"/>
          <w:b/>
          <w:szCs w:val="20"/>
          <w:lang w:val="en-GB"/>
        </w:rPr>
        <w:t>Figure S5.</w:t>
      </w:r>
      <w:r w:rsidRPr="005F2200">
        <w:rPr>
          <w:rFonts w:cs="Times New Roman"/>
          <w:szCs w:val="20"/>
          <w:lang w:val="en-GB"/>
        </w:rPr>
        <w:t xml:space="preserve"> </w:t>
      </w:r>
      <w:r w:rsidRPr="00DA76AF">
        <w:rPr>
          <w:rFonts w:cs="Times New Roman"/>
          <w:b/>
          <w:szCs w:val="20"/>
          <w:lang w:val="en-GB"/>
        </w:rPr>
        <w:t>Silver concentration in the apical and basal medium measured by ICP-MS</w:t>
      </w:r>
      <w:r>
        <w:rPr>
          <w:rFonts w:cs="Times New Roman"/>
          <w:b/>
          <w:szCs w:val="20"/>
          <w:lang w:val="en-GB"/>
        </w:rPr>
        <w:t xml:space="preserve">. </w:t>
      </w:r>
      <w:r>
        <w:rPr>
          <w:rFonts w:cs="Times New Roman"/>
          <w:szCs w:val="20"/>
          <w:lang w:val="en-GB"/>
        </w:rPr>
        <w:t>(A) Calu-3 epithelial barrier exposed 5 times to 1 µg/cm² from D0 to D9. (B) Calu-3 epithelial barrier exposed 5 times to 10 µg/cm² from D0 to D9. Silver concentration is expressed in mg/L in the apical medium (left axis) and in µg/L in the basal medium (right axis). (N=3)</w:t>
      </w:r>
    </w:p>
    <w:p w:rsidR="00D7239C" w:rsidRDefault="00D7239C" w:rsidP="00D7239C">
      <w:pPr>
        <w:rPr>
          <w:lang w:val="en-GB" w:eastAsia="fr-FR"/>
        </w:rPr>
      </w:pPr>
    </w:p>
    <w:p w:rsidR="00D7239C" w:rsidRDefault="00D7239C" w:rsidP="00D7239C">
      <w:pPr>
        <w:rPr>
          <w:rFonts w:cs="Times New Roman"/>
          <w:b/>
          <w:szCs w:val="20"/>
          <w:lang w:val="en-GB"/>
        </w:rPr>
      </w:pPr>
      <w:r w:rsidRPr="00E917DF">
        <w:rPr>
          <w:rFonts w:cs="Times New Roman"/>
          <w:b/>
          <w:szCs w:val="20"/>
          <w:lang w:val="en-GB"/>
        </w:rPr>
        <w:t>Table S2. Silver concentration and translocation measured by ICP-MS</w:t>
      </w:r>
      <w:r>
        <w:rPr>
          <w:rFonts w:cs="Times New Roman"/>
          <w:b/>
          <w:szCs w:val="20"/>
          <w:lang w:val="en-GB"/>
        </w:rPr>
        <w:t xml:space="preserve"> after 5 repeated exposure to 1 and 10 µg/cm² AgNPs</w:t>
      </w:r>
      <w:r w:rsidRPr="00E917DF">
        <w:rPr>
          <w:rFonts w:cs="Times New Roman"/>
          <w:b/>
          <w:szCs w:val="20"/>
          <w:lang w:val="en-GB"/>
        </w:rPr>
        <w:t>.</w:t>
      </w:r>
      <w:r>
        <w:rPr>
          <w:rFonts w:cs="Times New Roman"/>
          <w:b/>
          <w:szCs w:val="20"/>
          <w:lang w:val="en-GB"/>
        </w:rPr>
        <w:t xml:space="preserve"> </w:t>
      </w:r>
      <w:r w:rsidRPr="00D34503">
        <w:rPr>
          <w:rFonts w:cs="Times New Roman"/>
          <w:szCs w:val="20"/>
          <w:lang w:val="en-GB"/>
        </w:rPr>
        <w:t>Data not available for the basal media after 5 treatments</w:t>
      </w:r>
    </w:p>
    <w:p w:rsidR="00D7239C" w:rsidRPr="00E917DF" w:rsidRDefault="00D7239C" w:rsidP="00D7239C">
      <w:pPr>
        <w:rPr>
          <w:b/>
          <w:lang w:val="en-GB" w:eastAsia="fr-FR"/>
        </w:rPr>
      </w:pPr>
      <w:r>
        <w:rPr>
          <w:b/>
          <w:noProof/>
          <w:lang w:eastAsia="fr-FR"/>
        </w:rPr>
        <w:drawing>
          <wp:inline distT="0" distB="0" distL="0" distR="0" wp14:anchorId="721FD526" wp14:editId="4A4111F5">
            <wp:extent cx="5326264" cy="2523369"/>
            <wp:effectExtent l="0" t="0" r="8255"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46380" cy="2532899"/>
                    </a:xfrm>
                    <a:prstGeom prst="rect">
                      <a:avLst/>
                    </a:prstGeom>
                    <a:noFill/>
                  </pic:spPr>
                </pic:pic>
              </a:graphicData>
            </a:graphic>
          </wp:inline>
        </w:drawing>
      </w:r>
    </w:p>
    <w:p w:rsidR="00D7239C" w:rsidRPr="00F13F93" w:rsidRDefault="00D7239C" w:rsidP="00D7239C">
      <w:pPr>
        <w:spacing w:after="0" w:line="360" w:lineRule="auto"/>
        <w:jc w:val="center"/>
        <w:rPr>
          <w:rFonts w:cs="Times New Roman"/>
          <w:b/>
          <w:szCs w:val="20"/>
          <w:lang w:val="en-GB"/>
        </w:rPr>
      </w:pPr>
      <w:r w:rsidRPr="003D5082">
        <w:rPr>
          <w:rFonts w:cs="Times New Roman"/>
          <w:szCs w:val="20"/>
          <w:lang w:val="en-GB"/>
        </w:rPr>
        <w:br w:type="page"/>
      </w:r>
    </w:p>
    <w:p w:rsidR="00D7239C" w:rsidRDefault="00D7239C" w:rsidP="00D7239C">
      <w:pPr>
        <w:pStyle w:val="Lgende"/>
        <w:spacing w:after="0" w:line="360" w:lineRule="auto"/>
        <w:jc w:val="center"/>
        <w:rPr>
          <w:rFonts w:cs="Times New Roman"/>
          <w:szCs w:val="20"/>
        </w:rPr>
      </w:pPr>
      <w:bookmarkStart w:id="10" w:name="_Ref127026744"/>
      <w:bookmarkStart w:id="11" w:name="_Toc127026897"/>
      <w:r>
        <w:rPr>
          <w:rFonts w:cs="Times New Roman"/>
          <w:noProof/>
          <w:szCs w:val="20"/>
          <w:lang w:val="fr-FR"/>
        </w:rPr>
        <w:lastRenderedPageBreak/>
        <w:drawing>
          <wp:inline distT="0" distB="0" distL="0" distR="0" wp14:anchorId="3D5AC749" wp14:editId="5E9C08D8">
            <wp:extent cx="5760000" cy="284219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000" cy="2842190"/>
                    </a:xfrm>
                    <a:prstGeom prst="rect">
                      <a:avLst/>
                    </a:prstGeom>
                    <a:noFill/>
                  </pic:spPr>
                </pic:pic>
              </a:graphicData>
            </a:graphic>
          </wp:inline>
        </w:drawing>
      </w:r>
    </w:p>
    <w:p w:rsidR="00D7239C" w:rsidRPr="003D5082" w:rsidRDefault="00D7239C" w:rsidP="00D7239C">
      <w:pPr>
        <w:pStyle w:val="Lgende"/>
        <w:spacing w:after="0" w:line="360" w:lineRule="auto"/>
        <w:jc w:val="both"/>
        <w:rPr>
          <w:rFonts w:cs="Times New Roman"/>
          <w:szCs w:val="20"/>
          <w:lang w:val="en-GB"/>
        </w:rPr>
      </w:pPr>
      <w:r w:rsidRPr="003D5082">
        <w:rPr>
          <w:rFonts w:cs="Times New Roman"/>
          <w:szCs w:val="20"/>
        </w:rPr>
        <w:t>Figure S</w:t>
      </w:r>
      <w:bookmarkEnd w:id="10"/>
      <w:bookmarkEnd w:id="11"/>
      <w:r>
        <w:rPr>
          <w:rFonts w:cs="Times New Roman"/>
          <w:szCs w:val="20"/>
        </w:rPr>
        <w:t>6</w:t>
      </w:r>
      <w:r w:rsidRPr="00F00BDD">
        <w:rPr>
          <w:rFonts w:cs="Times New Roman"/>
          <w:szCs w:val="20"/>
        </w:rPr>
        <w:t xml:space="preserve">. </w:t>
      </w:r>
      <w:r>
        <w:rPr>
          <w:rFonts w:cs="Times New Roman"/>
          <w:szCs w:val="20"/>
          <w:lang w:val="en-GB"/>
        </w:rPr>
        <w:t>Constitute secretion of</w:t>
      </w:r>
      <w:r w:rsidRPr="003D5082">
        <w:rPr>
          <w:rFonts w:cs="Times New Roman"/>
          <w:szCs w:val="20"/>
          <w:lang w:val="en-GB"/>
        </w:rPr>
        <w:t xml:space="preserve"> IL-6 and IL-8 </w:t>
      </w:r>
      <w:r>
        <w:rPr>
          <w:rFonts w:cs="Times New Roman"/>
          <w:szCs w:val="20"/>
          <w:lang w:val="en-GB"/>
        </w:rPr>
        <w:t xml:space="preserve">cytokines </w:t>
      </w:r>
      <w:r w:rsidRPr="003D5082">
        <w:rPr>
          <w:rFonts w:cs="Times New Roman"/>
          <w:szCs w:val="20"/>
          <w:lang w:val="en-GB"/>
        </w:rPr>
        <w:t>by Ca</w:t>
      </w:r>
      <w:r>
        <w:rPr>
          <w:rFonts w:cs="Times New Roman"/>
          <w:szCs w:val="20"/>
          <w:lang w:val="en-GB"/>
        </w:rPr>
        <w:t>lu-3 cells</w:t>
      </w:r>
      <w:r w:rsidRPr="00F00BDD">
        <w:rPr>
          <w:rFonts w:cs="Times New Roman"/>
          <w:szCs w:val="20"/>
          <w:lang w:val="en-GB"/>
        </w:rPr>
        <w:t>.</w:t>
      </w:r>
      <w:r w:rsidRPr="003D5082">
        <w:rPr>
          <w:rFonts w:cs="Times New Roman"/>
          <w:b w:val="0"/>
          <w:szCs w:val="20"/>
          <w:lang w:val="en-GB"/>
        </w:rPr>
        <w:t xml:space="preserve"> </w:t>
      </w:r>
      <w:r w:rsidRPr="00F00BDD">
        <w:rPr>
          <w:rFonts w:cs="Times New Roman"/>
          <w:b w:val="0"/>
          <w:szCs w:val="20"/>
          <w:lang w:val="en-GB"/>
        </w:rPr>
        <w:t>The apical and the basolateral secretomes were recovered from D0 to D11 and the two cytokines IL-6 and IL-8 were quantified by ELISA. IL-6 (dotted grey line</w:t>
      </w:r>
      <w:r>
        <w:rPr>
          <w:rFonts w:cs="Times New Roman"/>
          <w:b w:val="0"/>
          <w:szCs w:val="20"/>
          <w:lang w:val="en-GB"/>
        </w:rPr>
        <w:t>, pg/mL</w:t>
      </w:r>
      <w:r w:rsidRPr="00F00BDD">
        <w:rPr>
          <w:rFonts w:cs="Times New Roman"/>
          <w:b w:val="0"/>
          <w:szCs w:val="20"/>
          <w:lang w:val="en-GB"/>
        </w:rPr>
        <w:t>) and IL-8 (black line</w:t>
      </w:r>
      <w:r>
        <w:rPr>
          <w:rFonts w:cs="Times New Roman"/>
          <w:b w:val="0"/>
          <w:szCs w:val="20"/>
          <w:lang w:val="en-GB"/>
        </w:rPr>
        <w:t>, ng/mL</w:t>
      </w:r>
      <w:r w:rsidRPr="00F00BDD">
        <w:rPr>
          <w:rFonts w:cs="Times New Roman"/>
          <w:b w:val="0"/>
          <w:szCs w:val="20"/>
          <w:lang w:val="en-GB"/>
        </w:rPr>
        <w:t xml:space="preserve">) </w:t>
      </w:r>
      <w:r>
        <w:rPr>
          <w:rFonts w:cs="Times New Roman"/>
          <w:b w:val="0"/>
          <w:szCs w:val="20"/>
          <w:lang w:val="en-GB"/>
        </w:rPr>
        <w:t xml:space="preserve">concentrations </w:t>
      </w:r>
      <w:r w:rsidRPr="00F00BDD">
        <w:rPr>
          <w:rFonts w:cs="Times New Roman"/>
          <w:b w:val="0"/>
          <w:szCs w:val="20"/>
          <w:lang w:val="en-GB"/>
        </w:rPr>
        <w:t xml:space="preserve">in the apical (A) and in the basolateral (B) secretomes (N=3). </w:t>
      </w:r>
      <w:r>
        <w:rPr>
          <w:rFonts w:cs="Times New Roman"/>
          <w:b w:val="0"/>
          <w:szCs w:val="20"/>
          <w:lang w:val="en-GB"/>
        </w:rPr>
        <w:t xml:space="preserve">Apical concentrations represent the accumulation of the secreted cytokines during 48 h between collection of the secretome, except at D7 where cytokines could accumulate during 72 h, which may explain the higher concentration measured for IL-8. </w:t>
      </w:r>
      <w:r w:rsidRPr="003D5082">
        <w:rPr>
          <w:rFonts w:cs="Times New Roman"/>
          <w:szCs w:val="20"/>
          <w:lang w:val="en-GB"/>
        </w:rPr>
        <w:br w:type="page"/>
      </w:r>
    </w:p>
    <w:p w:rsidR="00D7239C" w:rsidRPr="003D5082" w:rsidRDefault="00D7239C" w:rsidP="00D7239C">
      <w:pPr>
        <w:spacing w:after="0" w:line="360" w:lineRule="auto"/>
        <w:jc w:val="center"/>
        <w:rPr>
          <w:rFonts w:cs="Times New Roman"/>
          <w:szCs w:val="20"/>
          <w:lang w:val="en-GB"/>
        </w:rPr>
      </w:pPr>
      <w:r w:rsidRPr="003D5082">
        <w:rPr>
          <w:rFonts w:cs="Times New Roman"/>
          <w:noProof/>
          <w:szCs w:val="20"/>
          <w:lang w:eastAsia="fr-FR"/>
        </w:rPr>
        <w:lastRenderedPageBreak/>
        <w:drawing>
          <wp:inline distT="0" distB="0" distL="0" distR="0" wp14:anchorId="230C31B1" wp14:editId="25DB2A5F">
            <wp:extent cx="2520000" cy="1911141"/>
            <wp:effectExtent l="0" t="0" r="0" b="0"/>
            <wp:docPr id="48" name="Picture 2">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848E055-3D74-85A0-DF39-C5A53882B7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848E055-3D74-85A0-DF39-C5A53882B759}"/>
                        </a:ext>
                      </a:extLst>
                    </pic:cNvPr>
                    <pic:cNvPicPr>
                      <a:picLocks noChangeAspect="1"/>
                    </pic:cNvPicPr>
                  </pic:nvPicPr>
                  <pic:blipFill>
                    <a:blip r:embed="rId13"/>
                    <a:stretch>
                      <a:fillRect/>
                    </a:stretch>
                  </pic:blipFill>
                  <pic:spPr>
                    <a:xfrm>
                      <a:off x="0" y="0"/>
                      <a:ext cx="2520000" cy="1911141"/>
                    </a:xfrm>
                    <a:prstGeom prst="rect">
                      <a:avLst/>
                    </a:prstGeom>
                  </pic:spPr>
                </pic:pic>
              </a:graphicData>
            </a:graphic>
          </wp:inline>
        </w:drawing>
      </w:r>
    </w:p>
    <w:p w:rsidR="00D7239C" w:rsidRPr="003D5082" w:rsidRDefault="00D7239C" w:rsidP="00D7239C">
      <w:pPr>
        <w:pStyle w:val="Lgende"/>
        <w:spacing w:after="0" w:line="360" w:lineRule="auto"/>
        <w:jc w:val="both"/>
        <w:rPr>
          <w:rFonts w:cs="Times New Roman"/>
          <w:szCs w:val="20"/>
          <w:lang w:val="en-GB"/>
        </w:rPr>
      </w:pPr>
      <w:bookmarkStart w:id="12" w:name="_Toc127026898"/>
      <w:bookmarkStart w:id="13" w:name="_Ref127026754"/>
      <w:r w:rsidRPr="003D5082">
        <w:rPr>
          <w:rFonts w:cs="Times New Roman"/>
          <w:szCs w:val="20"/>
        </w:rPr>
        <w:t>Figure S</w:t>
      </w:r>
      <w:bookmarkEnd w:id="12"/>
      <w:bookmarkEnd w:id="13"/>
      <w:r>
        <w:rPr>
          <w:rFonts w:cs="Times New Roman"/>
          <w:szCs w:val="20"/>
        </w:rPr>
        <w:t>7. Interactions of</w:t>
      </w:r>
      <w:r w:rsidRPr="003D5082">
        <w:rPr>
          <w:rFonts w:cs="Times New Roman"/>
          <w:szCs w:val="20"/>
          <w:lang w:val="en-GB"/>
        </w:rPr>
        <w:t xml:space="preserve"> AgNP</w:t>
      </w:r>
      <w:r>
        <w:rPr>
          <w:rFonts w:cs="Times New Roman"/>
          <w:szCs w:val="20"/>
          <w:lang w:val="en-GB"/>
        </w:rPr>
        <w:t>s with IL-6</w:t>
      </w:r>
      <w:r w:rsidRPr="003D5082">
        <w:rPr>
          <w:rFonts w:cs="Times New Roman"/>
          <w:szCs w:val="20"/>
          <w:lang w:val="en-GB"/>
        </w:rPr>
        <w:t xml:space="preserve">. </w:t>
      </w:r>
      <w:r w:rsidRPr="00CE4E09">
        <w:rPr>
          <w:rFonts w:cs="Times New Roman"/>
          <w:b w:val="0"/>
          <w:szCs w:val="20"/>
          <w:lang w:val="en-GB"/>
        </w:rPr>
        <w:t xml:space="preserve">A known concentration of IL-6 (400 pg/ml) was added to </w:t>
      </w:r>
      <w:r>
        <w:rPr>
          <w:rFonts w:cs="Times New Roman"/>
          <w:b w:val="0"/>
          <w:szCs w:val="20"/>
          <w:lang w:val="en-GB"/>
        </w:rPr>
        <w:t xml:space="preserve">10 µg/mL </w:t>
      </w:r>
      <w:r w:rsidRPr="00CE4E09">
        <w:rPr>
          <w:rFonts w:cs="Times New Roman"/>
          <w:b w:val="0"/>
          <w:szCs w:val="20"/>
          <w:lang w:val="en-GB"/>
        </w:rPr>
        <w:t>AgNP</w:t>
      </w:r>
      <w:r>
        <w:rPr>
          <w:rFonts w:cs="Times New Roman"/>
          <w:b w:val="0"/>
          <w:szCs w:val="20"/>
          <w:lang w:val="en-GB"/>
        </w:rPr>
        <w:t xml:space="preserve"> in HBSS</w:t>
      </w:r>
      <w:r w:rsidRPr="00F15629">
        <w:rPr>
          <w:rFonts w:cs="Times New Roman"/>
          <w:b w:val="0"/>
          <w:szCs w:val="20"/>
          <w:vertAlign w:val="superscript"/>
          <w:lang w:val="en-GB"/>
        </w:rPr>
        <w:t>Ca2+/Mg2+</w:t>
      </w:r>
      <w:r>
        <w:rPr>
          <w:rFonts w:cs="Times New Roman"/>
          <w:b w:val="0"/>
          <w:szCs w:val="20"/>
          <w:lang w:val="en-GB"/>
        </w:rPr>
        <w:t xml:space="preserve"> at 37°C for 1h</w:t>
      </w:r>
      <w:r w:rsidRPr="00CE4E09">
        <w:rPr>
          <w:rFonts w:cs="Times New Roman"/>
          <w:b w:val="0"/>
          <w:szCs w:val="20"/>
          <w:lang w:val="en-GB"/>
        </w:rPr>
        <w:t xml:space="preserve">. </w:t>
      </w:r>
      <w:r>
        <w:rPr>
          <w:rFonts w:cs="Times New Roman"/>
          <w:b w:val="0"/>
          <w:szCs w:val="20"/>
          <w:lang w:val="en-GB"/>
        </w:rPr>
        <w:t xml:space="preserve">Two control samples were prepared without AgNPs, with AgNPs without IL-6. The concentration of IL-6 was measured after centrifugation in the supernantant by ELISA to estimate the loss of IL-6 due to adsorption on AgNPs and the possible interference of AgNPs with the ELISA test. </w:t>
      </w:r>
      <w:r w:rsidRPr="003D5082">
        <w:rPr>
          <w:rFonts w:cs="Times New Roman"/>
          <w:szCs w:val="20"/>
          <w:lang w:val="en-GB"/>
        </w:rPr>
        <w:br w:type="page"/>
      </w:r>
    </w:p>
    <w:p w:rsidR="00D7239C" w:rsidRPr="003D5082" w:rsidRDefault="00D7239C" w:rsidP="00D7239C">
      <w:pPr>
        <w:spacing w:after="0" w:line="360" w:lineRule="auto"/>
        <w:jc w:val="center"/>
        <w:rPr>
          <w:rFonts w:cs="Times New Roman"/>
          <w:szCs w:val="20"/>
          <w:lang w:val="en-US" w:eastAsia="fr-FR"/>
        </w:rPr>
      </w:pPr>
      <w:r>
        <w:rPr>
          <w:rFonts w:cs="Times New Roman"/>
          <w:noProof/>
          <w:szCs w:val="20"/>
          <w:lang w:eastAsia="fr-FR"/>
        </w:rPr>
        <w:lastRenderedPageBreak/>
        <w:drawing>
          <wp:inline distT="0" distB="0" distL="0" distR="0" wp14:anchorId="63F53488" wp14:editId="50ED442F">
            <wp:extent cx="3960000" cy="2878658"/>
            <wp:effectExtent l="0" t="0" r="254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60000" cy="2878658"/>
                    </a:xfrm>
                    <a:prstGeom prst="rect">
                      <a:avLst/>
                    </a:prstGeom>
                    <a:noFill/>
                  </pic:spPr>
                </pic:pic>
              </a:graphicData>
            </a:graphic>
          </wp:inline>
        </w:drawing>
      </w:r>
    </w:p>
    <w:p w:rsidR="00D7239C" w:rsidRPr="00DA76AF" w:rsidRDefault="00D7239C" w:rsidP="00D7239C">
      <w:pPr>
        <w:spacing w:after="0" w:line="360" w:lineRule="auto"/>
        <w:jc w:val="both"/>
        <w:rPr>
          <w:rFonts w:cs="Times New Roman"/>
          <w:szCs w:val="20"/>
          <w:lang w:val="en-GB"/>
        </w:rPr>
      </w:pPr>
      <w:bookmarkStart w:id="14" w:name="_Ref127288058"/>
      <w:r w:rsidRPr="00C12BDC">
        <w:rPr>
          <w:rFonts w:cs="Times New Roman"/>
          <w:b/>
          <w:szCs w:val="20"/>
          <w:lang w:val="en-GB"/>
        </w:rPr>
        <w:t>Figure S</w:t>
      </w:r>
      <w:bookmarkEnd w:id="14"/>
      <w:r w:rsidRPr="00C12BDC">
        <w:rPr>
          <w:rFonts w:cs="Times New Roman"/>
          <w:b/>
          <w:szCs w:val="20"/>
          <w:lang w:val="en-GB"/>
        </w:rPr>
        <w:t xml:space="preserve">8. </w:t>
      </w:r>
      <w:r w:rsidRPr="00DA76AF">
        <w:rPr>
          <w:rFonts w:cs="Times New Roman"/>
          <w:b/>
          <w:szCs w:val="20"/>
          <w:lang w:val="en-GB"/>
        </w:rPr>
        <w:t>Effect of 5 repeated exposures to 10 µg/cm² AgNP</w:t>
      </w:r>
      <w:r>
        <w:rPr>
          <w:rFonts w:cs="Times New Roman"/>
          <w:b/>
          <w:szCs w:val="20"/>
          <w:lang w:val="en-GB"/>
        </w:rPr>
        <w:t>s</w:t>
      </w:r>
      <w:r w:rsidRPr="00DA76AF">
        <w:rPr>
          <w:rFonts w:cs="Times New Roman"/>
          <w:b/>
          <w:szCs w:val="20"/>
          <w:lang w:val="en-GB"/>
        </w:rPr>
        <w:t xml:space="preserve"> on MUC5AC expression </w:t>
      </w:r>
      <w:r w:rsidRPr="003D5082">
        <w:rPr>
          <w:rFonts w:cs="Times New Roman"/>
          <w:szCs w:val="20"/>
          <w:lang w:val="en-GB"/>
        </w:rPr>
        <w:t xml:space="preserve">. </w:t>
      </w:r>
      <w:r w:rsidRPr="009120E6">
        <w:rPr>
          <w:rFonts w:cs="Times New Roman"/>
          <w:szCs w:val="20"/>
          <w:lang w:val="en-GB"/>
        </w:rPr>
        <w:t>Calu-3 epithelial barrier was repeatedly exposed to HBSS</w:t>
      </w:r>
      <w:r w:rsidRPr="000D7E73">
        <w:rPr>
          <w:rFonts w:eastAsia="Times New Roman" w:cs="Times New Roman"/>
          <w:szCs w:val="20"/>
          <w:vertAlign w:val="superscript"/>
          <w:lang w:val="en-GB"/>
        </w:rPr>
        <w:t xml:space="preserve"> </w:t>
      </w:r>
      <w:r w:rsidRPr="003D5082">
        <w:rPr>
          <w:rFonts w:eastAsia="Times New Roman" w:cs="Times New Roman"/>
          <w:szCs w:val="20"/>
          <w:vertAlign w:val="superscript"/>
          <w:lang w:val="en-GB"/>
        </w:rPr>
        <w:t>Ca2+/Mg2+</w:t>
      </w:r>
      <w:r w:rsidRPr="003D5082">
        <w:rPr>
          <w:rFonts w:eastAsia="Times New Roman" w:cs="Times New Roman"/>
          <w:szCs w:val="20"/>
          <w:lang w:val="en-GB"/>
        </w:rPr>
        <w:t xml:space="preserve"> </w:t>
      </w:r>
      <w:r w:rsidRPr="009120E6">
        <w:rPr>
          <w:rFonts w:cs="Times New Roman"/>
          <w:szCs w:val="20"/>
          <w:lang w:val="en-GB"/>
        </w:rPr>
        <w:t xml:space="preserve"> or </w:t>
      </w:r>
      <w:r>
        <w:rPr>
          <w:rFonts w:cs="Times New Roman"/>
          <w:szCs w:val="20"/>
          <w:lang w:val="en-GB"/>
        </w:rPr>
        <w:t xml:space="preserve">10 µg/cm² </w:t>
      </w:r>
      <w:r w:rsidRPr="009120E6">
        <w:rPr>
          <w:rFonts w:cs="Times New Roman"/>
          <w:szCs w:val="20"/>
          <w:lang w:val="en-GB"/>
        </w:rPr>
        <w:t>AgNP</w:t>
      </w:r>
      <w:r>
        <w:rPr>
          <w:rFonts w:cs="Times New Roman"/>
          <w:szCs w:val="20"/>
          <w:lang w:val="en-GB"/>
        </w:rPr>
        <w:t>s</w:t>
      </w:r>
      <w:r w:rsidRPr="009120E6">
        <w:rPr>
          <w:rFonts w:cs="Times New Roman"/>
          <w:szCs w:val="20"/>
          <w:lang w:val="en-GB"/>
        </w:rPr>
        <w:t xml:space="preserve"> from D0 to D9. The mRNA expression </w:t>
      </w:r>
      <w:r>
        <w:rPr>
          <w:rFonts w:cs="Times New Roman"/>
          <w:szCs w:val="20"/>
          <w:lang w:val="en-GB"/>
        </w:rPr>
        <w:t xml:space="preserve">of MUC5AC was measured in control and treated cells 48 to 72 h after </w:t>
      </w:r>
      <w:r w:rsidRPr="009120E6">
        <w:rPr>
          <w:rFonts w:cs="Times New Roman"/>
          <w:szCs w:val="20"/>
          <w:lang w:val="en-GB"/>
        </w:rPr>
        <w:t xml:space="preserve">each treatment. The dotted lines indicate </w:t>
      </w:r>
      <w:r>
        <w:rPr>
          <w:rFonts w:cs="Times New Roman"/>
          <w:szCs w:val="20"/>
          <w:lang w:val="en-GB"/>
        </w:rPr>
        <w:t xml:space="preserve">significant </w:t>
      </w:r>
      <w:r w:rsidRPr="009120E6">
        <w:rPr>
          <w:rFonts w:cs="Times New Roman"/>
          <w:szCs w:val="20"/>
          <w:lang w:val="en-GB"/>
        </w:rPr>
        <w:t>fold change.</w:t>
      </w:r>
      <w:r w:rsidRPr="003A62AA">
        <w:rPr>
          <w:rFonts w:cs="Times New Roman"/>
          <w:szCs w:val="20"/>
          <w:lang w:val="en-GB"/>
        </w:rPr>
        <w:t xml:space="preserve"> </w:t>
      </w:r>
      <w:r w:rsidRPr="009120E6">
        <w:rPr>
          <w:rFonts w:cs="Times New Roman"/>
          <w:szCs w:val="20"/>
          <w:lang w:val="en-GB"/>
        </w:rPr>
        <w:t>(N=3)</w:t>
      </w:r>
      <w:r w:rsidRPr="003A62AA">
        <w:rPr>
          <w:rFonts w:cs="Times New Roman"/>
          <w:szCs w:val="20"/>
          <w:lang w:val="en-GB"/>
        </w:rPr>
        <w:br w:type="page"/>
      </w:r>
    </w:p>
    <w:p w:rsidR="00D7239C" w:rsidRPr="003D5082" w:rsidRDefault="00D7239C" w:rsidP="00D7239C">
      <w:pPr>
        <w:spacing w:after="0" w:line="360" w:lineRule="auto"/>
        <w:jc w:val="both"/>
        <w:rPr>
          <w:rFonts w:cs="Times New Roman"/>
          <w:szCs w:val="20"/>
          <w:lang w:val="en-US" w:eastAsia="fr-FR"/>
        </w:rPr>
      </w:pPr>
    </w:p>
    <w:p w:rsidR="00D7239C" w:rsidRPr="003D5082" w:rsidRDefault="00D7239C" w:rsidP="00D7239C">
      <w:pPr>
        <w:spacing w:after="0" w:line="360" w:lineRule="auto"/>
        <w:jc w:val="center"/>
        <w:rPr>
          <w:rFonts w:cs="Times New Roman"/>
          <w:b/>
          <w:szCs w:val="20"/>
          <w:lang w:val="en-GB"/>
        </w:rPr>
      </w:pPr>
      <w:r w:rsidRPr="003D5082">
        <w:rPr>
          <w:rFonts w:cs="Times New Roman"/>
          <w:b/>
          <w:noProof/>
          <w:szCs w:val="20"/>
          <w:lang w:eastAsia="fr-FR"/>
        </w:rPr>
        <w:drawing>
          <wp:inline distT="0" distB="0" distL="0" distR="0" wp14:anchorId="395DA5CD" wp14:editId="58AE846F">
            <wp:extent cx="3240000" cy="3247945"/>
            <wp:effectExtent l="0" t="0" r="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40000" cy="3247945"/>
                    </a:xfrm>
                    <a:prstGeom prst="rect">
                      <a:avLst/>
                    </a:prstGeom>
                    <a:noFill/>
                  </pic:spPr>
                </pic:pic>
              </a:graphicData>
            </a:graphic>
          </wp:inline>
        </w:drawing>
      </w:r>
    </w:p>
    <w:p w:rsidR="00D7239C" w:rsidRPr="009120E6" w:rsidRDefault="00D7239C" w:rsidP="00D7239C">
      <w:pPr>
        <w:pStyle w:val="Lgende"/>
        <w:spacing w:after="0" w:line="360" w:lineRule="auto"/>
        <w:jc w:val="both"/>
        <w:rPr>
          <w:rFonts w:cs="Times New Roman"/>
          <w:b w:val="0"/>
          <w:szCs w:val="20"/>
          <w:lang w:val="en-GB"/>
        </w:rPr>
      </w:pPr>
      <w:bookmarkStart w:id="15" w:name="_Toc127026899"/>
      <w:bookmarkStart w:id="16" w:name="_Ref127026765"/>
      <w:r w:rsidRPr="003D5082">
        <w:rPr>
          <w:rFonts w:cs="Times New Roman"/>
          <w:szCs w:val="20"/>
        </w:rPr>
        <w:t>Figure S</w:t>
      </w:r>
      <w:bookmarkEnd w:id="15"/>
      <w:bookmarkEnd w:id="16"/>
      <w:r>
        <w:rPr>
          <w:rFonts w:cs="Times New Roman"/>
          <w:szCs w:val="20"/>
        </w:rPr>
        <w:t>9. O</w:t>
      </w:r>
      <w:r w:rsidRPr="00C335AB">
        <w:rPr>
          <w:rFonts w:cs="Times New Roman"/>
          <w:szCs w:val="20"/>
        </w:rPr>
        <w:t>xidative potential of AgNPs and copper nanoparticles</w:t>
      </w:r>
      <w:r>
        <w:rPr>
          <w:rFonts w:cs="Times New Roman"/>
          <w:szCs w:val="20"/>
        </w:rPr>
        <w:t xml:space="preserve">. </w:t>
      </w:r>
      <w:r w:rsidRPr="00C335AB">
        <w:rPr>
          <w:rFonts w:cs="Times New Roman"/>
          <w:b w:val="0"/>
          <w:szCs w:val="20"/>
          <w:lang w:val="en-GB"/>
        </w:rPr>
        <w:t>Oxidative potential of AgNP</w:t>
      </w:r>
      <w:r>
        <w:rPr>
          <w:rFonts w:cs="Times New Roman"/>
          <w:b w:val="0"/>
          <w:szCs w:val="20"/>
          <w:lang w:val="en-GB"/>
        </w:rPr>
        <w:t>s</w:t>
      </w:r>
      <w:r w:rsidRPr="00C335AB">
        <w:rPr>
          <w:rFonts w:cs="Times New Roman"/>
          <w:b w:val="0"/>
          <w:szCs w:val="20"/>
          <w:lang w:val="en-GB"/>
        </w:rPr>
        <w:t xml:space="preserve"> </w:t>
      </w:r>
      <w:r>
        <w:rPr>
          <w:rFonts w:cs="Times New Roman"/>
          <w:b w:val="0"/>
          <w:szCs w:val="20"/>
          <w:lang w:val="en-GB"/>
        </w:rPr>
        <w:t xml:space="preserve">and copper nanoparticles (CuNP) </w:t>
      </w:r>
      <w:r w:rsidRPr="00C335AB">
        <w:rPr>
          <w:rFonts w:cs="Times New Roman"/>
          <w:b w:val="0"/>
          <w:szCs w:val="20"/>
          <w:lang w:val="en-GB"/>
        </w:rPr>
        <w:t xml:space="preserve">measured by the depletion of antioxidants (%) in synthetic lung lining fluid at 37°C for NP concentrations of 1, 5, 10 µg/mL. </w:t>
      </w:r>
      <w:r w:rsidRPr="009120E6">
        <w:rPr>
          <w:rFonts w:cs="Times New Roman"/>
          <w:b w:val="0"/>
          <w:szCs w:val="20"/>
          <w:lang w:val="en-GB"/>
        </w:rPr>
        <w:t xml:space="preserve">AA: ascorbic acid. UA: uric acid. GSH: reduced glutathione. </w:t>
      </w:r>
      <w:r w:rsidRPr="003D5082">
        <w:rPr>
          <w:rFonts w:cs="Times New Roman"/>
          <w:szCs w:val="20"/>
          <w:lang w:val="en-GB"/>
        </w:rPr>
        <w:br w:type="page"/>
      </w:r>
    </w:p>
    <w:p w:rsidR="00D7239C" w:rsidRDefault="00D7239C" w:rsidP="00D7239C">
      <w:pPr>
        <w:spacing w:after="0" w:line="360" w:lineRule="auto"/>
        <w:jc w:val="center"/>
        <w:rPr>
          <w:rFonts w:cs="Times New Roman"/>
          <w:szCs w:val="20"/>
          <w:lang w:val="en-US" w:eastAsia="fr-FR"/>
        </w:rPr>
      </w:pPr>
      <w:r>
        <w:rPr>
          <w:rFonts w:cs="Times New Roman"/>
          <w:noProof/>
          <w:szCs w:val="20"/>
          <w:lang w:eastAsia="fr-FR"/>
        </w:rPr>
        <w:lastRenderedPageBreak/>
        <w:drawing>
          <wp:inline distT="0" distB="0" distL="0" distR="0" wp14:anchorId="3A1B83CC" wp14:editId="4C9BEB0C">
            <wp:extent cx="5651500" cy="4785995"/>
            <wp:effectExtent l="0" t="0" r="635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51500" cy="4785995"/>
                    </a:xfrm>
                    <a:prstGeom prst="rect">
                      <a:avLst/>
                    </a:prstGeom>
                    <a:noFill/>
                  </pic:spPr>
                </pic:pic>
              </a:graphicData>
            </a:graphic>
          </wp:inline>
        </w:drawing>
      </w:r>
    </w:p>
    <w:p w:rsidR="00D7239C" w:rsidRDefault="00D7239C" w:rsidP="00D7239C">
      <w:pPr>
        <w:pStyle w:val="Lgende"/>
        <w:spacing w:after="0" w:line="360" w:lineRule="auto"/>
        <w:jc w:val="both"/>
        <w:rPr>
          <w:rFonts w:cs="Times New Roman"/>
          <w:b w:val="0"/>
          <w:szCs w:val="20"/>
          <w:lang w:val="en-GB"/>
        </w:rPr>
      </w:pPr>
      <w:bookmarkStart w:id="17" w:name="_Ref127026773"/>
      <w:bookmarkStart w:id="18" w:name="_Toc127026900"/>
      <w:r w:rsidRPr="003D5082">
        <w:rPr>
          <w:rFonts w:cs="Times New Roman"/>
          <w:szCs w:val="20"/>
        </w:rPr>
        <w:t>Figure S</w:t>
      </w:r>
      <w:bookmarkEnd w:id="17"/>
      <w:bookmarkEnd w:id="18"/>
      <w:r>
        <w:rPr>
          <w:rFonts w:cs="Times New Roman"/>
          <w:szCs w:val="20"/>
        </w:rPr>
        <w:t xml:space="preserve">10. </w:t>
      </w:r>
      <w:r w:rsidRPr="00A877BE">
        <w:rPr>
          <w:rFonts w:cs="Times New Roman"/>
          <w:szCs w:val="20"/>
          <w:lang w:val="en-GB"/>
        </w:rPr>
        <w:t>Effect of AgNO3 on Calu-3 viability, epithelial barrier integrity and gene expression</w:t>
      </w:r>
      <w:r>
        <w:rPr>
          <w:rFonts w:cs="Times New Roman"/>
          <w:szCs w:val="20"/>
          <w:lang w:val="en-GB"/>
        </w:rPr>
        <w:t>.</w:t>
      </w:r>
      <w:r w:rsidRPr="00A877BE">
        <w:rPr>
          <w:rFonts w:cs="Times New Roman"/>
          <w:szCs w:val="20"/>
          <w:lang w:val="en-GB"/>
        </w:rPr>
        <w:t xml:space="preserve"> </w:t>
      </w:r>
      <w:r w:rsidRPr="0068370D">
        <w:rPr>
          <w:rFonts w:cs="Times New Roman"/>
          <w:b w:val="0"/>
          <w:szCs w:val="20"/>
          <w:lang w:val="en-GB"/>
        </w:rPr>
        <w:t>Calu-3 epithelial barrier was</w:t>
      </w:r>
      <w:r>
        <w:rPr>
          <w:rFonts w:cs="Times New Roman"/>
          <w:b w:val="0"/>
          <w:szCs w:val="20"/>
          <w:lang w:val="en-GB"/>
        </w:rPr>
        <w:t xml:space="preserve"> exposed to HBSS</w:t>
      </w:r>
      <w:r w:rsidRPr="000D7E73">
        <w:rPr>
          <w:rFonts w:eastAsia="Times New Roman" w:cs="Times New Roman"/>
          <w:szCs w:val="20"/>
          <w:vertAlign w:val="superscript"/>
          <w:lang w:val="en-GB"/>
        </w:rPr>
        <w:t xml:space="preserve"> </w:t>
      </w:r>
      <w:r w:rsidRPr="000D7E73">
        <w:rPr>
          <w:rFonts w:eastAsia="Times New Roman" w:cs="Times New Roman"/>
          <w:b w:val="0"/>
          <w:szCs w:val="20"/>
          <w:vertAlign w:val="superscript"/>
          <w:lang w:val="en-GB"/>
        </w:rPr>
        <w:t>Ca2+/Mg2+</w:t>
      </w:r>
      <w:r w:rsidRPr="003D5082">
        <w:rPr>
          <w:rFonts w:eastAsia="Times New Roman" w:cs="Times New Roman"/>
          <w:szCs w:val="20"/>
          <w:lang w:val="en-GB"/>
        </w:rPr>
        <w:t xml:space="preserve"> </w:t>
      </w:r>
      <w:r>
        <w:rPr>
          <w:rFonts w:cs="Times New Roman"/>
          <w:b w:val="0"/>
          <w:szCs w:val="20"/>
          <w:lang w:val="en-GB"/>
        </w:rPr>
        <w:t xml:space="preserve"> </w:t>
      </w:r>
      <w:r w:rsidRPr="0068370D">
        <w:rPr>
          <w:rFonts w:cs="Times New Roman"/>
          <w:b w:val="0"/>
          <w:szCs w:val="20"/>
          <w:lang w:val="en-GB"/>
        </w:rPr>
        <w:t xml:space="preserve">or </w:t>
      </w:r>
      <w:r w:rsidRPr="009120E6">
        <w:rPr>
          <w:rFonts w:cs="Times New Roman"/>
          <w:b w:val="0"/>
          <w:szCs w:val="20"/>
          <w:lang w:val="en-GB"/>
        </w:rPr>
        <w:t>AgNO</w:t>
      </w:r>
      <w:r w:rsidRPr="009120E6">
        <w:rPr>
          <w:rFonts w:cs="Times New Roman"/>
          <w:b w:val="0"/>
          <w:szCs w:val="20"/>
          <w:vertAlign w:val="subscript"/>
          <w:lang w:val="en-GB"/>
        </w:rPr>
        <w:t>3</w:t>
      </w:r>
      <w:r w:rsidRPr="009120E6">
        <w:rPr>
          <w:rFonts w:cs="Times New Roman"/>
          <w:b w:val="0"/>
          <w:szCs w:val="20"/>
          <w:lang w:val="en-GB"/>
        </w:rPr>
        <w:t xml:space="preserve"> at a concentration equivalent to 10 µg/cm² Ag from D0 to D2. The different endpoints were measured from D0 to D4</w:t>
      </w:r>
      <w:r>
        <w:rPr>
          <w:rFonts w:cs="Times New Roman"/>
          <w:b w:val="0"/>
          <w:szCs w:val="20"/>
          <w:lang w:val="en-GB"/>
        </w:rPr>
        <w:t>.</w:t>
      </w:r>
      <w:r w:rsidRPr="009120E6">
        <w:rPr>
          <w:rFonts w:cs="Times New Roman"/>
          <w:b w:val="0"/>
          <w:szCs w:val="20"/>
          <w:lang w:val="en-GB"/>
        </w:rPr>
        <w:t xml:space="preserve"> </w:t>
      </w:r>
      <w:r>
        <w:rPr>
          <w:rFonts w:cs="Times New Roman"/>
          <w:b w:val="0"/>
          <w:szCs w:val="20"/>
          <w:lang w:val="en-GB"/>
        </w:rPr>
        <w:t>(A) M</w:t>
      </w:r>
      <w:r w:rsidRPr="009120E6">
        <w:rPr>
          <w:rFonts w:cs="Times New Roman"/>
          <w:b w:val="0"/>
          <w:szCs w:val="20"/>
          <w:lang w:val="en-GB"/>
        </w:rPr>
        <w:t xml:space="preserve">etabolic activity </w:t>
      </w:r>
      <w:r>
        <w:rPr>
          <w:rFonts w:cs="Times New Roman"/>
          <w:b w:val="0"/>
          <w:szCs w:val="20"/>
          <w:lang w:val="en-GB"/>
        </w:rPr>
        <w:t>measured</w:t>
      </w:r>
      <w:r w:rsidRPr="009120E6">
        <w:rPr>
          <w:rFonts w:cs="Times New Roman"/>
          <w:b w:val="0"/>
          <w:szCs w:val="20"/>
          <w:lang w:val="en-GB"/>
        </w:rPr>
        <w:t xml:space="preserve"> by the AlamarBlue assay, (B) </w:t>
      </w:r>
      <w:r>
        <w:rPr>
          <w:rFonts w:cs="Times New Roman"/>
          <w:b w:val="0"/>
          <w:szCs w:val="20"/>
          <w:lang w:val="en-GB"/>
        </w:rPr>
        <w:t>TEER.</w:t>
      </w:r>
      <w:r w:rsidRPr="009120E6">
        <w:rPr>
          <w:rFonts w:cs="Times New Roman"/>
          <w:b w:val="0"/>
          <w:szCs w:val="20"/>
          <w:lang w:val="en-GB"/>
        </w:rPr>
        <w:t xml:space="preserve"> (C) </w:t>
      </w:r>
      <w:r>
        <w:rPr>
          <w:rFonts w:cs="Times New Roman"/>
          <w:b w:val="0"/>
          <w:szCs w:val="20"/>
          <w:lang w:val="en-GB"/>
        </w:rPr>
        <w:t>LY permeability. (D-I)</w:t>
      </w:r>
      <w:r w:rsidRPr="009120E6">
        <w:rPr>
          <w:rFonts w:cs="Times New Roman"/>
          <w:b w:val="0"/>
          <w:szCs w:val="20"/>
          <w:lang w:val="en-GB"/>
        </w:rPr>
        <w:t xml:space="preserve"> mRNA were extracted at D2 and D4 to </w:t>
      </w:r>
      <w:r>
        <w:rPr>
          <w:rFonts w:cs="Times New Roman"/>
          <w:b w:val="0"/>
          <w:szCs w:val="20"/>
          <w:lang w:val="en-GB"/>
        </w:rPr>
        <w:t>measure</w:t>
      </w:r>
      <w:r w:rsidRPr="009120E6">
        <w:rPr>
          <w:rFonts w:cs="Times New Roman"/>
          <w:b w:val="0"/>
          <w:szCs w:val="20"/>
          <w:lang w:val="en-GB"/>
        </w:rPr>
        <w:t xml:space="preserve"> (D) IL-6, (E) IL-8, (F) MUC5AC, (G) HO-1, (H) MT1X and (I) MT2A </w:t>
      </w:r>
      <w:r>
        <w:rPr>
          <w:rFonts w:cs="Times New Roman"/>
          <w:b w:val="0"/>
          <w:szCs w:val="20"/>
          <w:lang w:val="en-GB"/>
        </w:rPr>
        <w:t xml:space="preserve">gene expression. (N </w:t>
      </w:r>
      <w:r w:rsidRPr="009120E6">
        <w:rPr>
          <w:rFonts w:cs="Times New Roman"/>
          <w:b w:val="0"/>
          <w:szCs w:val="20"/>
          <w:lang w:val="en-GB"/>
        </w:rPr>
        <w:t>=</w:t>
      </w:r>
      <w:r>
        <w:rPr>
          <w:rFonts w:cs="Times New Roman"/>
          <w:b w:val="0"/>
          <w:szCs w:val="20"/>
          <w:lang w:val="en-GB"/>
        </w:rPr>
        <w:t xml:space="preserve"> </w:t>
      </w:r>
      <w:r w:rsidRPr="009120E6">
        <w:rPr>
          <w:rFonts w:cs="Times New Roman"/>
          <w:b w:val="0"/>
          <w:szCs w:val="20"/>
          <w:lang w:val="en-GB"/>
        </w:rPr>
        <w:t>1</w:t>
      </w:r>
      <w:r>
        <w:rPr>
          <w:rFonts w:cs="Times New Roman"/>
          <w:b w:val="0"/>
          <w:szCs w:val="20"/>
          <w:lang w:val="en-GB"/>
        </w:rPr>
        <w:t xml:space="preserve">) </w:t>
      </w:r>
    </w:p>
    <w:p w:rsidR="00D7239C" w:rsidRPr="003D5082" w:rsidRDefault="00D7239C" w:rsidP="00D7239C">
      <w:pPr>
        <w:spacing w:after="0" w:line="360" w:lineRule="auto"/>
        <w:jc w:val="center"/>
        <w:rPr>
          <w:rFonts w:cs="Times New Roman"/>
          <w:szCs w:val="20"/>
          <w:lang w:val="en-GB"/>
        </w:rPr>
      </w:pPr>
      <w:r w:rsidRPr="003D5082">
        <w:rPr>
          <w:rFonts w:cs="Times New Roman"/>
          <w:noProof/>
          <w:szCs w:val="20"/>
          <w:lang w:eastAsia="fr-FR"/>
        </w:rPr>
        <w:lastRenderedPageBreak/>
        <w:drawing>
          <wp:inline distT="0" distB="0" distL="0" distR="0" wp14:anchorId="1494FF35" wp14:editId="330F518C">
            <wp:extent cx="3499485" cy="6602730"/>
            <wp:effectExtent l="0" t="0" r="5715" b="0"/>
            <wp:docPr id="79" name="Imag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99485" cy="6602730"/>
                    </a:xfrm>
                    <a:prstGeom prst="rect">
                      <a:avLst/>
                    </a:prstGeom>
                    <a:noFill/>
                  </pic:spPr>
                </pic:pic>
              </a:graphicData>
            </a:graphic>
          </wp:inline>
        </w:drawing>
      </w:r>
    </w:p>
    <w:p w:rsidR="00D7239C" w:rsidRDefault="00D7239C" w:rsidP="00D7239C">
      <w:pPr>
        <w:pStyle w:val="Lgende"/>
        <w:spacing w:after="0" w:line="360" w:lineRule="auto"/>
        <w:jc w:val="both"/>
        <w:rPr>
          <w:rFonts w:cs="Times New Roman"/>
          <w:b w:val="0"/>
          <w:szCs w:val="20"/>
          <w:lang w:val="en-GB"/>
        </w:rPr>
      </w:pPr>
      <w:bookmarkStart w:id="19" w:name="_Toc127026901"/>
      <w:bookmarkStart w:id="20" w:name="_Ref127026781"/>
      <w:r w:rsidRPr="003D5082">
        <w:rPr>
          <w:rFonts w:cs="Times New Roman"/>
          <w:szCs w:val="20"/>
        </w:rPr>
        <w:t>Figure S</w:t>
      </w:r>
      <w:bookmarkEnd w:id="19"/>
      <w:bookmarkEnd w:id="20"/>
      <w:r>
        <w:rPr>
          <w:rFonts w:cs="Times New Roman"/>
          <w:szCs w:val="20"/>
        </w:rPr>
        <w:t xml:space="preserve">11. </w:t>
      </w:r>
      <w:r w:rsidRPr="003D5082">
        <w:rPr>
          <w:rFonts w:cs="Times New Roman"/>
          <w:szCs w:val="20"/>
          <w:lang w:val="en-GB"/>
        </w:rPr>
        <w:t xml:space="preserve">Quantitative analysis of the secretome of Calu-3 cells after </w:t>
      </w:r>
      <w:r>
        <w:rPr>
          <w:rFonts w:cs="Times New Roman"/>
          <w:szCs w:val="20"/>
          <w:lang w:val="en-GB"/>
        </w:rPr>
        <w:t xml:space="preserve">single or </w:t>
      </w:r>
      <w:r w:rsidRPr="003D5082">
        <w:rPr>
          <w:rFonts w:cs="Times New Roman"/>
          <w:szCs w:val="20"/>
          <w:lang w:val="en-GB"/>
        </w:rPr>
        <w:t xml:space="preserve">repeated exposure to AgNPs. </w:t>
      </w:r>
      <w:r w:rsidRPr="009120E6">
        <w:rPr>
          <w:rFonts w:cs="Times New Roman"/>
          <w:b w:val="0"/>
          <w:szCs w:val="20"/>
          <w:lang w:val="en-GB"/>
        </w:rPr>
        <w:t xml:space="preserve">(A) Venn diagram of the secretome composition </w:t>
      </w:r>
      <w:r>
        <w:rPr>
          <w:rFonts w:cs="Times New Roman"/>
          <w:b w:val="0"/>
          <w:szCs w:val="20"/>
          <w:lang w:val="en-GB"/>
        </w:rPr>
        <w:t>after single exposure (D2) and repeated exposure (D11) to HBSS</w:t>
      </w:r>
      <w:r w:rsidRPr="000D7E73">
        <w:rPr>
          <w:rFonts w:eastAsia="Times New Roman" w:cs="Times New Roman"/>
          <w:szCs w:val="20"/>
          <w:vertAlign w:val="superscript"/>
          <w:lang w:val="en-GB"/>
        </w:rPr>
        <w:t xml:space="preserve"> </w:t>
      </w:r>
      <w:r w:rsidRPr="000D7E73">
        <w:rPr>
          <w:rFonts w:eastAsia="Times New Roman" w:cs="Times New Roman"/>
          <w:b w:val="0"/>
          <w:szCs w:val="20"/>
          <w:vertAlign w:val="superscript"/>
          <w:lang w:val="en-GB"/>
        </w:rPr>
        <w:t>Ca2+/Mg2+</w:t>
      </w:r>
      <w:r w:rsidRPr="003D5082">
        <w:rPr>
          <w:rFonts w:eastAsia="Times New Roman" w:cs="Times New Roman"/>
          <w:szCs w:val="20"/>
          <w:lang w:val="en-GB"/>
        </w:rPr>
        <w:t xml:space="preserve"> </w:t>
      </w:r>
      <w:r>
        <w:rPr>
          <w:rFonts w:cs="Times New Roman"/>
          <w:b w:val="0"/>
          <w:szCs w:val="20"/>
          <w:lang w:val="en-GB"/>
        </w:rPr>
        <w:t xml:space="preserve"> or 10 µg/cm² AgNPs </w:t>
      </w:r>
      <w:r w:rsidRPr="009120E6">
        <w:rPr>
          <w:rFonts w:cs="Times New Roman"/>
          <w:b w:val="0"/>
          <w:szCs w:val="20"/>
          <w:lang w:val="en-GB"/>
        </w:rPr>
        <w:t xml:space="preserve">for control </w:t>
      </w:r>
      <w:r>
        <w:rPr>
          <w:rFonts w:cs="Times New Roman"/>
          <w:b w:val="0"/>
          <w:szCs w:val="20"/>
          <w:lang w:val="en-GB"/>
        </w:rPr>
        <w:t>and</w:t>
      </w:r>
      <w:r w:rsidRPr="009120E6">
        <w:rPr>
          <w:rFonts w:cs="Times New Roman"/>
          <w:b w:val="0"/>
          <w:szCs w:val="20"/>
          <w:lang w:val="en-GB"/>
        </w:rPr>
        <w:t xml:space="preserve"> treated cells respectively. (B) Heat map of the 20 most abundant extracellular proteins identified in the secretome of control and treated cells</w:t>
      </w:r>
      <w:r>
        <w:rPr>
          <w:rFonts w:cs="Times New Roman"/>
          <w:b w:val="0"/>
          <w:szCs w:val="20"/>
          <w:lang w:val="en-GB"/>
        </w:rPr>
        <w:t xml:space="preserve"> </w:t>
      </w:r>
      <w:r w:rsidRPr="009120E6">
        <w:rPr>
          <w:rFonts w:cs="Times New Roman"/>
          <w:b w:val="0"/>
          <w:szCs w:val="20"/>
          <w:lang w:val="en-GB"/>
        </w:rPr>
        <w:t>at D2 and D11. The colour</w:t>
      </w:r>
      <w:r>
        <w:rPr>
          <w:rFonts w:cs="Times New Roman"/>
          <w:b w:val="0"/>
          <w:szCs w:val="20"/>
          <w:lang w:val="en-GB"/>
        </w:rPr>
        <w:t>s</w:t>
      </w:r>
      <w:r w:rsidRPr="009120E6">
        <w:rPr>
          <w:rFonts w:cs="Times New Roman"/>
          <w:b w:val="0"/>
          <w:szCs w:val="20"/>
          <w:lang w:val="en-GB"/>
        </w:rPr>
        <w:t xml:space="preserve"> reflect the quantitative enrichment (red) or depletion (blue) of a secreted protein.</w:t>
      </w:r>
    </w:p>
    <w:p w:rsidR="00D7239C" w:rsidRDefault="00D7239C" w:rsidP="00D7239C">
      <w:pPr>
        <w:rPr>
          <w:lang w:val="en-GB" w:eastAsia="fr-FR"/>
        </w:rPr>
      </w:pPr>
    </w:p>
    <w:p w:rsidR="00D7239C" w:rsidRPr="006262C6" w:rsidRDefault="00D7239C" w:rsidP="00D7239C">
      <w:pPr>
        <w:rPr>
          <w:b/>
          <w:lang w:val="en-GB" w:eastAsia="fr-FR"/>
        </w:rPr>
      </w:pPr>
      <w:r w:rsidRPr="006262C6">
        <w:rPr>
          <w:b/>
          <w:lang w:val="en-GB" w:eastAsia="fr-FR"/>
        </w:rPr>
        <w:t>References</w:t>
      </w:r>
    </w:p>
    <w:p w:rsidR="00152C66" w:rsidRPr="00D7239C" w:rsidRDefault="00D7239C" w:rsidP="00D7239C">
      <w:pPr>
        <w:pStyle w:val="Bibliographie"/>
        <w:spacing w:after="0" w:line="360" w:lineRule="auto"/>
        <w:jc w:val="both"/>
        <w:rPr>
          <w:rFonts w:cs="Times New Roman"/>
          <w:szCs w:val="20"/>
          <w:lang w:val="en-GB"/>
        </w:rPr>
      </w:pPr>
      <w:r w:rsidRPr="003D5082">
        <w:rPr>
          <w:rFonts w:cs="Times New Roman"/>
          <w:szCs w:val="20"/>
          <w:lang w:val="en-GB"/>
        </w:rPr>
        <w:t xml:space="preserve">Sanchez-Guzman D, Boland S, Brookes O, Mc Cord C, Lai Kuen R, Sirri V, et al. Long-term evolution of the epithelial cell secretome in preclinical 3D models of the human bronchial epithelium. Sci Rep. 2021 Dec;11(1):6621. </w:t>
      </w:r>
      <w:bookmarkStart w:id="21" w:name="_GoBack"/>
      <w:bookmarkEnd w:id="21"/>
    </w:p>
    <w:sectPr w:rsidR="00152C66" w:rsidRPr="00D7239C" w:rsidSect="00F07084">
      <w:footerReference w:type="default" r:id="rId18"/>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2092114"/>
      <w:docPartObj>
        <w:docPartGallery w:val="Page Numbers (Bottom of Page)"/>
        <w:docPartUnique/>
      </w:docPartObj>
    </w:sdtPr>
    <w:sdtEndPr/>
    <w:sdtContent>
      <w:p w:rsidR="00744CEC" w:rsidRDefault="00D7239C">
        <w:pPr>
          <w:pStyle w:val="Pieddepage"/>
          <w:jc w:val="right"/>
        </w:pPr>
        <w:r>
          <w:fldChar w:fldCharType="begin"/>
        </w:r>
        <w:r>
          <w:instrText>PAGE   \* MERGEFORMAT</w:instrText>
        </w:r>
        <w:r>
          <w:fldChar w:fldCharType="separate"/>
        </w:r>
        <w:r>
          <w:rPr>
            <w:noProof/>
          </w:rPr>
          <w:t>1</w:t>
        </w:r>
        <w:r>
          <w:fldChar w:fldCharType="end"/>
        </w:r>
      </w:p>
    </w:sdtContent>
  </w:sdt>
  <w:p w:rsidR="00744CEC" w:rsidRDefault="00D7239C">
    <w:pPr>
      <w:pStyle w:val="Pieddepage"/>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DB127D"/>
    <w:multiLevelType w:val="multilevel"/>
    <w:tmpl w:val="CF74230C"/>
    <w:lvl w:ilvl="0">
      <w:start w:val="1"/>
      <w:numFmt w:val="decimal"/>
      <w:pStyle w:val="Titre1"/>
      <w:lvlText w:val="%1."/>
      <w:lvlJc w:val="left"/>
      <w:pPr>
        <w:tabs>
          <w:tab w:val="num" w:pos="720"/>
        </w:tabs>
        <w:ind w:left="720" w:hanging="720"/>
      </w:pPr>
    </w:lvl>
    <w:lvl w:ilvl="1">
      <w:start w:val="1"/>
      <w:numFmt w:val="decimal"/>
      <w:pStyle w:val="Titre2"/>
      <w:lvlText w:val="%2."/>
      <w:lvlJc w:val="left"/>
      <w:pPr>
        <w:tabs>
          <w:tab w:val="num" w:pos="9226"/>
        </w:tabs>
        <w:ind w:left="9226"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pStyle w:val="Titre5"/>
      <w:lvlText w:val="%5."/>
      <w:lvlJc w:val="left"/>
      <w:pPr>
        <w:tabs>
          <w:tab w:val="num" w:pos="3600"/>
        </w:tabs>
        <w:ind w:left="3600" w:hanging="720"/>
      </w:pPr>
    </w:lvl>
    <w:lvl w:ilvl="5">
      <w:start w:val="1"/>
      <w:numFmt w:val="decimal"/>
      <w:pStyle w:val="Titre6"/>
      <w:lvlText w:val="%6."/>
      <w:lvlJc w:val="left"/>
      <w:pPr>
        <w:tabs>
          <w:tab w:val="num" w:pos="4320"/>
        </w:tabs>
        <w:ind w:left="4320" w:hanging="720"/>
      </w:pPr>
    </w:lvl>
    <w:lvl w:ilvl="6">
      <w:start w:val="1"/>
      <w:numFmt w:val="decimal"/>
      <w:pStyle w:val="Titre7"/>
      <w:lvlText w:val="%7."/>
      <w:lvlJc w:val="left"/>
      <w:pPr>
        <w:tabs>
          <w:tab w:val="num" w:pos="5040"/>
        </w:tabs>
        <w:ind w:left="5040" w:hanging="720"/>
      </w:pPr>
    </w:lvl>
    <w:lvl w:ilvl="7">
      <w:start w:val="1"/>
      <w:numFmt w:val="decimal"/>
      <w:pStyle w:val="Titre8"/>
      <w:lvlText w:val="%8."/>
      <w:lvlJc w:val="left"/>
      <w:pPr>
        <w:tabs>
          <w:tab w:val="num" w:pos="5760"/>
        </w:tabs>
        <w:ind w:left="5760" w:hanging="720"/>
      </w:pPr>
    </w:lvl>
    <w:lvl w:ilvl="8">
      <w:start w:val="1"/>
      <w:numFmt w:val="decimal"/>
      <w:pStyle w:val="Titre9"/>
      <w:lvlText w:val="%9."/>
      <w:lvlJc w:val="left"/>
      <w:pPr>
        <w:tabs>
          <w:tab w:val="num" w:pos="6480"/>
        </w:tabs>
        <w:ind w:left="6480" w:hanging="720"/>
      </w:pPr>
    </w:lvl>
  </w:abstractNum>
  <w:abstractNum w:abstractNumId="1" w15:restartNumberingAfterBreak="0">
    <w:nsid w:val="79243290"/>
    <w:multiLevelType w:val="hybridMultilevel"/>
    <w:tmpl w:val="029454A0"/>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39C"/>
    <w:rsid w:val="00152C66"/>
    <w:rsid w:val="00D723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0BEB7D-F4E7-4562-A801-0FA515869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239C"/>
    <w:rPr>
      <w:rFonts w:ascii="Times New Roman" w:hAnsi="Times New Roman"/>
      <w:sz w:val="20"/>
    </w:rPr>
  </w:style>
  <w:style w:type="paragraph" w:styleId="Titre1">
    <w:name w:val="heading 1"/>
    <w:basedOn w:val="Normal"/>
    <w:next w:val="Normal"/>
    <w:link w:val="Titre1Car"/>
    <w:uiPriority w:val="9"/>
    <w:qFormat/>
    <w:rsid w:val="00D7239C"/>
    <w:pPr>
      <w:keepNext/>
      <w:keepLines/>
      <w:numPr>
        <w:numId w:val="1"/>
      </w:numPr>
      <w:spacing w:before="360" w:after="120" w:line="240" w:lineRule="auto"/>
      <w:outlineLvl w:val="0"/>
    </w:pPr>
    <w:rPr>
      <w:rFonts w:eastAsiaTheme="majorEastAsia" w:cstheme="majorBidi"/>
      <w:b/>
      <w:color w:val="000000" w:themeColor="text1"/>
      <w:szCs w:val="40"/>
      <w:lang w:val="en-US" w:eastAsia="fr-FR"/>
    </w:rPr>
  </w:style>
  <w:style w:type="paragraph" w:styleId="Titre2">
    <w:name w:val="heading 2"/>
    <w:basedOn w:val="Normal"/>
    <w:next w:val="Normal"/>
    <w:link w:val="Titre2Car"/>
    <w:uiPriority w:val="9"/>
    <w:unhideWhenUsed/>
    <w:qFormat/>
    <w:rsid w:val="00D7239C"/>
    <w:pPr>
      <w:keepNext/>
      <w:keepLines/>
      <w:numPr>
        <w:ilvl w:val="1"/>
        <w:numId w:val="1"/>
      </w:numPr>
      <w:spacing w:before="120" w:after="0" w:line="276" w:lineRule="auto"/>
      <w:outlineLvl w:val="1"/>
    </w:pPr>
    <w:rPr>
      <w:rFonts w:eastAsiaTheme="majorEastAsia" w:cstheme="majorBidi"/>
      <w:color w:val="833C0B" w:themeColor="accent2" w:themeShade="80"/>
      <w:sz w:val="26"/>
      <w:szCs w:val="36"/>
      <w:lang w:val="en-GB" w:eastAsia="fr-FR"/>
    </w:rPr>
  </w:style>
  <w:style w:type="paragraph" w:styleId="Titre3">
    <w:name w:val="heading 3"/>
    <w:basedOn w:val="Normal"/>
    <w:next w:val="Normal"/>
    <w:link w:val="Titre3Car"/>
    <w:uiPriority w:val="9"/>
    <w:unhideWhenUsed/>
    <w:qFormat/>
    <w:rsid w:val="00D7239C"/>
    <w:pPr>
      <w:keepNext/>
      <w:keepLines/>
      <w:numPr>
        <w:ilvl w:val="2"/>
        <w:numId w:val="1"/>
      </w:numPr>
      <w:spacing w:before="80" w:after="0" w:line="240" w:lineRule="auto"/>
      <w:outlineLvl w:val="2"/>
    </w:pPr>
    <w:rPr>
      <w:rFonts w:eastAsiaTheme="majorEastAsia" w:cstheme="majorBidi"/>
      <w:color w:val="833C0B" w:themeColor="accent2" w:themeShade="80"/>
      <w:sz w:val="24"/>
      <w:szCs w:val="24"/>
      <w:u w:val="single"/>
      <w:lang w:val="en-US" w:eastAsia="fr-FR"/>
    </w:rPr>
  </w:style>
  <w:style w:type="paragraph" w:styleId="Titre4">
    <w:name w:val="heading 4"/>
    <w:basedOn w:val="Normal"/>
    <w:next w:val="Normal"/>
    <w:link w:val="Titre4Car"/>
    <w:uiPriority w:val="9"/>
    <w:unhideWhenUsed/>
    <w:qFormat/>
    <w:rsid w:val="00D7239C"/>
    <w:pPr>
      <w:keepNext/>
      <w:keepLines/>
      <w:numPr>
        <w:ilvl w:val="3"/>
        <w:numId w:val="1"/>
      </w:numPr>
      <w:spacing w:before="80" w:after="0" w:line="240" w:lineRule="auto"/>
      <w:ind w:firstLine="979"/>
      <w:outlineLvl w:val="3"/>
    </w:pPr>
    <w:rPr>
      <w:rFonts w:eastAsiaTheme="majorEastAsia" w:cstheme="majorBidi"/>
      <w:i/>
      <w:iCs/>
      <w:color w:val="833C0B" w:themeColor="accent2" w:themeShade="80"/>
      <w:sz w:val="24"/>
      <w:szCs w:val="28"/>
      <w:lang w:val="en-US" w:eastAsia="fr-FR"/>
    </w:rPr>
  </w:style>
  <w:style w:type="paragraph" w:styleId="Titre5">
    <w:name w:val="heading 5"/>
    <w:basedOn w:val="Normal"/>
    <w:next w:val="Normal"/>
    <w:link w:val="Titre5Car"/>
    <w:uiPriority w:val="9"/>
    <w:semiHidden/>
    <w:unhideWhenUsed/>
    <w:qFormat/>
    <w:rsid w:val="00D7239C"/>
    <w:pPr>
      <w:keepNext/>
      <w:keepLines/>
      <w:numPr>
        <w:ilvl w:val="4"/>
        <w:numId w:val="1"/>
      </w:numPr>
      <w:spacing w:before="80" w:after="0" w:line="240" w:lineRule="auto"/>
      <w:outlineLvl w:val="4"/>
    </w:pPr>
    <w:rPr>
      <w:rFonts w:asciiTheme="majorHAnsi" w:eastAsiaTheme="majorEastAsia" w:hAnsiTheme="majorHAnsi" w:cstheme="majorBidi"/>
      <w:color w:val="C45911" w:themeColor="accent2" w:themeShade="BF"/>
      <w:sz w:val="24"/>
      <w:szCs w:val="24"/>
      <w:lang w:val="en-US" w:eastAsia="fr-FR"/>
    </w:rPr>
  </w:style>
  <w:style w:type="paragraph" w:styleId="Titre6">
    <w:name w:val="heading 6"/>
    <w:basedOn w:val="Normal"/>
    <w:next w:val="Normal"/>
    <w:link w:val="Titre6Car"/>
    <w:uiPriority w:val="9"/>
    <w:semiHidden/>
    <w:unhideWhenUsed/>
    <w:qFormat/>
    <w:rsid w:val="00D7239C"/>
    <w:pPr>
      <w:keepNext/>
      <w:keepLines/>
      <w:numPr>
        <w:ilvl w:val="5"/>
        <w:numId w:val="1"/>
      </w:numPr>
      <w:spacing w:before="80" w:after="0" w:line="240" w:lineRule="auto"/>
      <w:outlineLvl w:val="5"/>
    </w:pPr>
    <w:rPr>
      <w:rFonts w:asciiTheme="majorHAnsi" w:eastAsiaTheme="majorEastAsia" w:hAnsiTheme="majorHAnsi" w:cstheme="majorBidi"/>
      <w:i/>
      <w:iCs/>
      <w:color w:val="833C0B" w:themeColor="accent2" w:themeShade="80"/>
      <w:sz w:val="24"/>
      <w:szCs w:val="24"/>
      <w:lang w:val="en-US" w:eastAsia="fr-FR"/>
    </w:rPr>
  </w:style>
  <w:style w:type="paragraph" w:styleId="Titre7">
    <w:name w:val="heading 7"/>
    <w:basedOn w:val="Normal"/>
    <w:next w:val="Normal"/>
    <w:link w:val="Titre7Car"/>
    <w:uiPriority w:val="9"/>
    <w:semiHidden/>
    <w:unhideWhenUsed/>
    <w:qFormat/>
    <w:rsid w:val="00D7239C"/>
    <w:pPr>
      <w:keepNext/>
      <w:keepLines/>
      <w:numPr>
        <w:ilvl w:val="6"/>
        <w:numId w:val="1"/>
      </w:numPr>
      <w:spacing w:before="80" w:after="0" w:line="240" w:lineRule="auto"/>
      <w:outlineLvl w:val="6"/>
    </w:pPr>
    <w:rPr>
      <w:rFonts w:asciiTheme="majorHAnsi" w:eastAsiaTheme="majorEastAsia" w:hAnsiTheme="majorHAnsi" w:cstheme="majorBidi"/>
      <w:b/>
      <w:bCs/>
      <w:color w:val="833C0B" w:themeColor="accent2" w:themeShade="80"/>
      <w:lang w:val="en-US" w:eastAsia="fr-FR"/>
    </w:rPr>
  </w:style>
  <w:style w:type="paragraph" w:styleId="Titre8">
    <w:name w:val="heading 8"/>
    <w:basedOn w:val="Normal"/>
    <w:next w:val="Normal"/>
    <w:link w:val="Titre8Car"/>
    <w:uiPriority w:val="9"/>
    <w:semiHidden/>
    <w:unhideWhenUsed/>
    <w:qFormat/>
    <w:rsid w:val="00D7239C"/>
    <w:pPr>
      <w:keepNext/>
      <w:keepLines/>
      <w:numPr>
        <w:ilvl w:val="7"/>
        <w:numId w:val="1"/>
      </w:numPr>
      <w:spacing w:before="80" w:after="0" w:line="240" w:lineRule="auto"/>
      <w:outlineLvl w:val="7"/>
    </w:pPr>
    <w:rPr>
      <w:rFonts w:asciiTheme="majorHAnsi" w:eastAsiaTheme="majorEastAsia" w:hAnsiTheme="majorHAnsi" w:cstheme="majorBidi"/>
      <w:color w:val="833C0B" w:themeColor="accent2" w:themeShade="80"/>
      <w:lang w:val="en-US" w:eastAsia="fr-FR"/>
    </w:rPr>
  </w:style>
  <w:style w:type="paragraph" w:styleId="Titre9">
    <w:name w:val="heading 9"/>
    <w:basedOn w:val="Normal"/>
    <w:next w:val="Normal"/>
    <w:link w:val="Titre9Car"/>
    <w:uiPriority w:val="9"/>
    <w:semiHidden/>
    <w:unhideWhenUsed/>
    <w:qFormat/>
    <w:rsid w:val="00D7239C"/>
    <w:pPr>
      <w:keepNext/>
      <w:keepLines/>
      <w:numPr>
        <w:ilvl w:val="8"/>
        <w:numId w:val="1"/>
      </w:numPr>
      <w:spacing w:before="80" w:after="0" w:line="240" w:lineRule="auto"/>
      <w:outlineLvl w:val="8"/>
    </w:pPr>
    <w:rPr>
      <w:rFonts w:asciiTheme="majorHAnsi" w:eastAsiaTheme="majorEastAsia" w:hAnsiTheme="majorHAnsi" w:cstheme="majorBidi"/>
      <w:i/>
      <w:iCs/>
      <w:color w:val="833C0B" w:themeColor="accent2" w:themeShade="80"/>
      <w:lang w:val="en-US"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7239C"/>
    <w:rPr>
      <w:rFonts w:ascii="Times New Roman" w:eastAsiaTheme="majorEastAsia" w:hAnsi="Times New Roman" w:cstheme="majorBidi"/>
      <w:b/>
      <w:color w:val="000000" w:themeColor="text1"/>
      <w:sz w:val="20"/>
      <w:szCs w:val="40"/>
      <w:lang w:val="en-US" w:eastAsia="fr-FR"/>
    </w:rPr>
  </w:style>
  <w:style w:type="character" w:customStyle="1" w:styleId="Titre2Car">
    <w:name w:val="Titre 2 Car"/>
    <w:basedOn w:val="Policepardfaut"/>
    <w:link w:val="Titre2"/>
    <w:uiPriority w:val="9"/>
    <w:rsid w:val="00D7239C"/>
    <w:rPr>
      <w:rFonts w:ascii="Times New Roman" w:eastAsiaTheme="majorEastAsia" w:hAnsi="Times New Roman" w:cstheme="majorBidi"/>
      <w:color w:val="833C0B" w:themeColor="accent2" w:themeShade="80"/>
      <w:sz w:val="26"/>
      <w:szCs w:val="36"/>
      <w:lang w:val="en-GB" w:eastAsia="fr-FR"/>
    </w:rPr>
  </w:style>
  <w:style w:type="character" w:customStyle="1" w:styleId="Titre3Car">
    <w:name w:val="Titre 3 Car"/>
    <w:basedOn w:val="Policepardfaut"/>
    <w:link w:val="Titre3"/>
    <w:uiPriority w:val="9"/>
    <w:rsid w:val="00D7239C"/>
    <w:rPr>
      <w:rFonts w:ascii="Times New Roman" w:eastAsiaTheme="majorEastAsia" w:hAnsi="Times New Roman" w:cstheme="majorBidi"/>
      <w:color w:val="833C0B" w:themeColor="accent2" w:themeShade="80"/>
      <w:sz w:val="24"/>
      <w:szCs w:val="24"/>
      <w:u w:val="single"/>
      <w:lang w:val="en-US" w:eastAsia="fr-FR"/>
    </w:rPr>
  </w:style>
  <w:style w:type="character" w:customStyle="1" w:styleId="Titre4Car">
    <w:name w:val="Titre 4 Car"/>
    <w:basedOn w:val="Policepardfaut"/>
    <w:link w:val="Titre4"/>
    <w:uiPriority w:val="9"/>
    <w:rsid w:val="00D7239C"/>
    <w:rPr>
      <w:rFonts w:ascii="Times New Roman" w:eastAsiaTheme="majorEastAsia" w:hAnsi="Times New Roman" w:cstheme="majorBidi"/>
      <w:i/>
      <w:iCs/>
      <w:color w:val="833C0B" w:themeColor="accent2" w:themeShade="80"/>
      <w:sz w:val="24"/>
      <w:szCs w:val="28"/>
      <w:lang w:val="en-US" w:eastAsia="fr-FR"/>
    </w:rPr>
  </w:style>
  <w:style w:type="character" w:customStyle="1" w:styleId="Titre5Car">
    <w:name w:val="Titre 5 Car"/>
    <w:basedOn w:val="Policepardfaut"/>
    <w:link w:val="Titre5"/>
    <w:uiPriority w:val="9"/>
    <w:semiHidden/>
    <w:rsid w:val="00D7239C"/>
    <w:rPr>
      <w:rFonts w:asciiTheme="majorHAnsi" w:eastAsiaTheme="majorEastAsia" w:hAnsiTheme="majorHAnsi" w:cstheme="majorBidi"/>
      <w:color w:val="C45911" w:themeColor="accent2" w:themeShade="BF"/>
      <w:sz w:val="24"/>
      <w:szCs w:val="24"/>
      <w:lang w:val="en-US" w:eastAsia="fr-FR"/>
    </w:rPr>
  </w:style>
  <w:style w:type="character" w:customStyle="1" w:styleId="Titre6Car">
    <w:name w:val="Titre 6 Car"/>
    <w:basedOn w:val="Policepardfaut"/>
    <w:link w:val="Titre6"/>
    <w:uiPriority w:val="9"/>
    <w:semiHidden/>
    <w:rsid w:val="00D7239C"/>
    <w:rPr>
      <w:rFonts w:asciiTheme="majorHAnsi" w:eastAsiaTheme="majorEastAsia" w:hAnsiTheme="majorHAnsi" w:cstheme="majorBidi"/>
      <w:i/>
      <w:iCs/>
      <w:color w:val="833C0B" w:themeColor="accent2" w:themeShade="80"/>
      <w:sz w:val="24"/>
      <w:szCs w:val="24"/>
      <w:lang w:val="en-US" w:eastAsia="fr-FR"/>
    </w:rPr>
  </w:style>
  <w:style w:type="character" w:customStyle="1" w:styleId="Titre7Car">
    <w:name w:val="Titre 7 Car"/>
    <w:basedOn w:val="Policepardfaut"/>
    <w:link w:val="Titre7"/>
    <w:uiPriority w:val="9"/>
    <w:semiHidden/>
    <w:rsid w:val="00D7239C"/>
    <w:rPr>
      <w:rFonts w:asciiTheme="majorHAnsi" w:eastAsiaTheme="majorEastAsia" w:hAnsiTheme="majorHAnsi" w:cstheme="majorBidi"/>
      <w:b/>
      <w:bCs/>
      <w:color w:val="833C0B" w:themeColor="accent2" w:themeShade="80"/>
      <w:sz w:val="20"/>
      <w:lang w:val="en-US" w:eastAsia="fr-FR"/>
    </w:rPr>
  </w:style>
  <w:style w:type="character" w:customStyle="1" w:styleId="Titre8Car">
    <w:name w:val="Titre 8 Car"/>
    <w:basedOn w:val="Policepardfaut"/>
    <w:link w:val="Titre8"/>
    <w:uiPriority w:val="9"/>
    <w:semiHidden/>
    <w:rsid w:val="00D7239C"/>
    <w:rPr>
      <w:rFonts w:asciiTheme="majorHAnsi" w:eastAsiaTheme="majorEastAsia" w:hAnsiTheme="majorHAnsi" w:cstheme="majorBidi"/>
      <w:color w:val="833C0B" w:themeColor="accent2" w:themeShade="80"/>
      <w:sz w:val="20"/>
      <w:lang w:val="en-US" w:eastAsia="fr-FR"/>
    </w:rPr>
  </w:style>
  <w:style w:type="character" w:customStyle="1" w:styleId="Titre9Car">
    <w:name w:val="Titre 9 Car"/>
    <w:basedOn w:val="Policepardfaut"/>
    <w:link w:val="Titre9"/>
    <w:uiPriority w:val="9"/>
    <w:semiHidden/>
    <w:rsid w:val="00D7239C"/>
    <w:rPr>
      <w:rFonts w:asciiTheme="majorHAnsi" w:eastAsiaTheme="majorEastAsia" w:hAnsiTheme="majorHAnsi" w:cstheme="majorBidi"/>
      <w:i/>
      <w:iCs/>
      <w:color w:val="833C0B" w:themeColor="accent2" w:themeShade="80"/>
      <w:sz w:val="20"/>
      <w:lang w:val="en-US" w:eastAsia="fr-FR"/>
    </w:rPr>
  </w:style>
  <w:style w:type="paragraph" w:styleId="Lgende">
    <w:name w:val="caption"/>
    <w:basedOn w:val="Normal"/>
    <w:next w:val="Normal"/>
    <w:uiPriority w:val="35"/>
    <w:unhideWhenUsed/>
    <w:qFormat/>
    <w:rsid w:val="00D7239C"/>
    <w:pPr>
      <w:spacing w:line="240" w:lineRule="auto"/>
    </w:pPr>
    <w:rPr>
      <w:rFonts w:eastAsia="Calibri" w:cs="Calibri"/>
      <w:b/>
      <w:bCs/>
      <w:szCs w:val="16"/>
      <w:lang w:val="en-US" w:eastAsia="fr-FR"/>
    </w:rPr>
  </w:style>
  <w:style w:type="paragraph" w:styleId="Paragraphedeliste">
    <w:name w:val="List Paragraph"/>
    <w:basedOn w:val="Normal"/>
    <w:uiPriority w:val="34"/>
    <w:qFormat/>
    <w:rsid w:val="00D7239C"/>
    <w:pPr>
      <w:ind w:left="720"/>
      <w:contextualSpacing/>
    </w:pPr>
  </w:style>
  <w:style w:type="table" w:styleId="Grilledutableau">
    <w:name w:val="Table Grid"/>
    <w:basedOn w:val="TableauNormal"/>
    <w:uiPriority w:val="39"/>
    <w:rsid w:val="00D723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depage">
    <w:name w:val="footer"/>
    <w:basedOn w:val="Normal"/>
    <w:link w:val="PieddepageCar"/>
    <w:uiPriority w:val="99"/>
    <w:unhideWhenUsed/>
    <w:rsid w:val="00D7239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7239C"/>
    <w:rPr>
      <w:rFonts w:ascii="Times New Roman" w:hAnsi="Times New Roman"/>
      <w:sz w:val="20"/>
    </w:rPr>
  </w:style>
  <w:style w:type="paragraph" w:styleId="Bibliographie">
    <w:name w:val="Bibliography"/>
    <w:basedOn w:val="Normal"/>
    <w:next w:val="Normal"/>
    <w:uiPriority w:val="37"/>
    <w:unhideWhenUsed/>
    <w:rsid w:val="00D7239C"/>
    <w:pPr>
      <w:spacing w:after="240" w:line="240" w:lineRule="auto"/>
    </w:pPr>
  </w:style>
  <w:style w:type="character" w:styleId="Numrodeligne">
    <w:name w:val="line number"/>
    <w:basedOn w:val="Policepardfaut"/>
    <w:uiPriority w:val="99"/>
    <w:semiHidden/>
    <w:unhideWhenUsed/>
    <w:rsid w:val="00D723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emf"/><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4492</Words>
  <Characters>24709</Characters>
  <Application>Microsoft Office Word</Application>
  <DocSecurity>0</DocSecurity>
  <Lines>205</Lines>
  <Paragraphs>58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Armelle BAEZA</dc:creator>
  <cp:keywords/>
  <dc:description/>
  <cp:lastModifiedBy>Armelle BAEZA</cp:lastModifiedBy>
  <cp:revision>1</cp:revision>
  <dcterms:created xsi:type="dcterms:W3CDTF">2023-04-24T13:04:00Z</dcterms:created>
  <dcterms:modified xsi:type="dcterms:W3CDTF">2023-04-24T13:05:00Z</dcterms:modified>
</cp:coreProperties>
</file>