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drawing>
          <wp:inline distT="0" distB="0" distL="114300" distR="114300">
            <wp:extent cx="3001645" cy="3611880"/>
            <wp:effectExtent l="0" t="0" r="0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1645" cy="3611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jc w:val="both"/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</w:rPr>
        <w:t xml:space="preserve">Supplementary Figure </w:t>
      </w:r>
      <w: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>1</w:t>
      </w:r>
      <w:r>
        <w:rPr>
          <w:rFonts w:hint="default" w:ascii="Times New Roman" w:hAnsi="Times New Roman" w:cs="Times New Roman"/>
          <w:b/>
          <w:bCs/>
          <w:sz w:val="20"/>
          <w:szCs w:val="20"/>
        </w:rPr>
        <w:t>.</w:t>
      </w:r>
      <w:r>
        <w:rPr>
          <w:rFonts w:hint="default" w:ascii="Times New Roman" w:hAnsi="Times New Roman" w:cs="Times New Roman"/>
          <w:sz w:val="20"/>
          <w:szCs w:val="20"/>
        </w:rPr>
        <w:t xml:space="preserve"> Risk of bias summary of included studies</w:t>
      </w:r>
    </w:p>
    <w:p>
      <w:pPr>
        <w:jc w:val="both"/>
        <w:rPr>
          <w:rFonts w:hint="default" w:ascii="Times New Roman" w:hAnsi="Times New Roman" w:cs="Times New Roman"/>
        </w:rPr>
      </w:pPr>
    </w:p>
    <w:p>
      <w:pPr>
        <w:jc w:val="both"/>
        <w:rPr>
          <w:rFonts w:hint="default" w:ascii="Times New Roman" w:hAnsi="Times New Roman" w:cs="Times New Roman"/>
          <w:b/>
          <w:bCs/>
          <w:sz w:val="20"/>
          <w:szCs w:val="20"/>
        </w:rPr>
      </w:pPr>
      <w:r>
        <w:drawing>
          <wp:inline distT="0" distB="0" distL="114300" distR="114300">
            <wp:extent cx="5270500" cy="4314825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31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default" w:ascii="Times New Roman" w:hAnsi="Times New Roman" w:cs="Times New Roman"/>
          <w:b/>
          <w:bCs/>
          <w:sz w:val="20"/>
          <w:szCs w:val="20"/>
        </w:rPr>
      </w:pPr>
    </w:p>
    <w:p>
      <w:pPr>
        <w:jc w:val="both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</w:rPr>
        <w:t xml:space="preserve">Supplementary Figure </w:t>
      </w:r>
      <w: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>2</w:t>
      </w: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.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The funnel plot PFS </w:t>
      </w:r>
      <w:r>
        <w:rPr>
          <w:rFonts w:hint="default" w:ascii="Times New Roman" w:hAnsi="Times New Roman" w:eastAsia="PlantinStd" w:cs="Times New Roman"/>
          <w:color w:val="000000"/>
          <w:kern w:val="0"/>
          <w:sz w:val="20"/>
          <w:szCs w:val="20"/>
          <w:lang w:bidi="ar"/>
        </w:rPr>
        <w:t xml:space="preserve">for patients with </w:t>
      </w:r>
      <w:r>
        <w:rPr>
          <w:rFonts w:hint="default" w:ascii="Times New Roman" w:hAnsi="Times New Roman" w:eastAsia="AdvOTd710a12c" w:cs="Times New Roman"/>
          <w:kern w:val="0"/>
          <w:sz w:val="20"/>
          <w:szCs w:val="20"/>
          <w:lang w:bidi="ar"/>
        </w:rPr>
        <w:t>HR+/HER2- advance</w:t>
      </w:r>
      <w:r>
        <w:rPr>
          <w:rFonts w:hint="eastAsia" w:ascii="Times New Roman" w:hAnsi="Times New Roman" w:eastAsia="宋体" w:cs="Times New Roman"/>
          <w:kern w:val="0"/>
          <w:sz w:val="20"/>
          <w:szCs w:val="20"/>
          <w:lang w:val="en-US" w:eastAsia="zh-CN" w:bidi="ar"/>
        </w:rPr>
        <w:t>d</w:t>
      </w:r>
      <w:r>
        <w:rPr>
          <w:rFonts w:hint="default" w:ascii="Times New Roman" w:hAnsi="Times New Roman" w:eastAsia="AdvOTd710a12c" w:cs="Times New Roman"/>
          <w:kern w:val="0"/>
          <w:sz w:val="20"/>
          <w:szCs w:val="20"/>
          <w:lang w:bidi="ar"/>
        </w:rPr>
        <w:t xml:space="preserve"> breast cancer</w:t>
      </w:r>
      <w:r>
        <w:rPr>
          <w:rFonts w:hint="default" w:ascii="Times New Roman" w:hAnsi="Times New Roman" w:eastAsia="AdvTT7b515deb" w:cs="Times New Roman"/>
          <w:color w:val="000000"/>
          <w:kern w:val="0"/>
          <w:sz w:val="20"/>
          <w:szCs w:val="20"/>
          <w:lang w:bidi="ar"/>
        </w:rPr>
        <w:t xml:space="preserve"> after </w:t>
      </w:r>
      <w:r>
        <w:rPr>
          <w:rFonts w:hint="default" w:ascii="Times New Roman" w:hAnsi="Times New Roman" w:cs="Times New Roman"/>
          <w:color w:val="000000"/>
          <w:kern w:val="0"/>
          <w:sz w:val="20"/>
          <w:szCs w:val="20"/>
          <w:lang w:bidi="ar"/>
        </w:rPr>
        <w:t xml:space="preserve">progression on </w:t>
      </w:r>
      <w:r>
        <w:rPr>
          <w:rFonts w:hint="default" w:ascii="Times New Roman" w:hAnsi="Times New Roman" w:eastAsia="Cambria Math" w:cs="Times New Roman"/>
          <w:color w:val="000000"/>
          <w:kern w:val="0"/>
          <w:sz w:val="20"/>
          <w:szCs w:val="20"/>
          <w:lang w:bidi="ar"/>
        </w:rPr>
        <w:t xml:space="preserve">≥ 1 </w:t>
      </w:r>
      <w:r>
        <w:rPr>
          <w:rFonts w:hint="default" w:ascii="Times New Roman" w:hAnsi="Times New Roman" w:cs="Times New Roman"/>
          <w:color w:val="000000"/>
          <w:kern w:val="0"/>
          <w:sz w:val="20"/>
          <w:szCs w:val="20"/>
          <w:lang w:bidi="ar"/>
        </w:rPr>
        <w:t>line of endocrine treatment</w:t>
      </w:r>
      <w:r>
        <w:rPr>
          <w:rFonts w:hint="default" w:ascii="Times New Roman" w:hAnsi="Times New Roman" w:eastAsia="AdvOTd710a12c" w:cs="Times New Roman"/>
          <w:color w:val="000000"/>
          <w:kern w:val="0"/>
          <w:sz w:val="20"/>
          <w:szCs w:val="20"/>
          <w:lang w:bidi="ar"/>
        </w:rPr>
        <w:t xml:space="preserve">: (A)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The funnel plot PFS </w:t>
      </w:r>
      <w:r>
        <w:rPr>
          <w:rFonts w:hint="default" w:ascii="Times New Roman" w:hAnsi="Times New Roman" w:eastAsia="AdvOTd710a12c" w:cs="Times New Roman"/>
          <w:color w:val="000000"/>
          <w:kern w:val="0"/>
          <w:sz w:val="20"/>
          <w:szCs w:val="20"/>
          <w:lang w:bidi="ar"/>
        </w:rPr>
        <w:t xml:space="preserve">for overall patients; (B)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The funnel plot PFS </w:t>
      </w:r>
      <w:r>
        <w:rPr>
          <w:rFonts w:hint="default" w:ascii="Times New Roman" w:hAnsi="Times New Roman" w:eastAsia="AdvOTd710a12c" w:cs="Times New Roman"/>
          <w:color w:val="000000"/>
          <w:kern w:val="0"/>
          <w:sz w:val="20"/>
          <w:szCs w:val="20"/>
          <w:lang w:bidi="ar"/>
        </w:rPr>
        <w:t xml:space="preserve">for patients with </w:t>
      </w:r>
      <w:r>
        <w:rPr>
          <w:rFonts w:hint="default" w:ascii="Times New Roman" w:hAnsi="Times New Roman" w:eastAsia="URWPalladioL-Roma" w:cs="Times New Roman"/>
          <w:color w:val="000000"/>
          <w:kern w:val="0"/>
          <w:sz w:val="20"/>
          <w:szCs w:val="20"/>
          <w:lang w:bidi="ar"/>
        </w:rPr>
        <w:t xml:space="preserve">previous use of CDK4/6 inhibitors; (C)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The funnel plot PFS </w:t>
      </w:r>
      <w:r>
        <w:rPr>
          <w:rFonts w:hint="default" w:ascii="Times New Roman" w:hAnsi="Times New Roman" w:eastAsia="AdvOTd710a12c" w:cs="Times New Roman"/>
          <w:color w:val="000000"/>
          <w:kern w:val="0"/>
          <w:sz w:val="20"/>
          <w:szCs w:val="20"/>
          <w:lang w:bidi="ar"/>
        </w:rPr>
        <w:t xml:space="preserve">for  patients with ESR1m; (D)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The funnel plot PFS </w:t>
      </w:r>
      <w:r>
        <w:rPr>
          <w:rFonts w:hint="default" w:ascii="Times New Roman" w:hAnsi="Times New Roman" w:eastAsia="AdvOTd710a12c" w:cs="Times New Roman"/>
          <w:color w:val="000000"/>
          <w:kern w:val="0"/>
          <w:sz w:val="20"/>
          <w:szCs w:val="20"/>
          <w:lang w:bidi="ar"/>
        </w:rPr>
        <w:t>for</w:t>
      </w:r>
      <w:r>
        <w:rPr>
          <w:rFonts w:hint="default" w:ascii="Times New Roman" w:hAnsi="Times New Roman" w:cs="Times New Roman"/>
          <w:color w:val="000000"/>
          <w:kern w:val="0"/>
          <w:sz w:val="20"/>
          <w:szCs w:val="20"/>
          <w:lang w:bidi="ar"/>
        </w:rPr>
        <w:t xml:space="preserve"> </w:t>
      </w:r>
      <w:r>
        <w:rPr>
          <w:rFonts w:hint="default" w:ascii="Times New Roman" w:hAnsi="Times New Roman" w:eastAsia="PlantinStd" w:cs="Times New Roman"/>
          <w:color w:val="000000"/>
          <w:kern w:val="0"/>
          <w:sz w:val="20"/>
          <w:szCs w:val="20"/>
          <w:lang w:bidi="ar"/>
        </w:rPr>
        <w:t xml:space="preserve">comparing oral </w:t>
      </w:r>
      <w:r>
        <w:rPr>
          <w:rFonts w:hint="default" w:ascii="Times New Roman" w:hAnsi="Times New Roman" w:eastAsia="AdvTT7b515deb" w:cs="Times New Roman"/>
          <w:color w:val="000000"/>
          <w:kern w:val="0"/>
          <w:sz w:val="20"/>
          <w:szCs w:val="20"/>
          <w:lang w:bidi="ar"/>
        </w:rPr>
        <w:t xml:space="preserve">SERDS with </w:t>
      </w:r>
      <w:r>
        <w:rPr>
          <w:rFonts w:hint="default" w:ascii="Times New Roman" w:hAnsi="Times New Roman" w:eastAsia="BgdqbhAdvTT3713a231" w:cs="Times New Roman"/>
          <w:color w:val="231F20"/>
          <w:kern w:val="0"/>
          <w:sz w:val="20"/>
          <w:szCs w:val="20"/>
          <w:lang w:bidi="ar"/>
        </w:rPr>
        <w:t>fulvestrant</w:t>
      </w:r>
      <w:r>
        <w:rPr>
          <w:rFonts w:hint="default" w:ascii="Times New Roman" w:hAnsi="Times New Roman" w:cs="Times New Roman"/>
          <w:color w:val="231F20"/>
          <w:kern w:val="0"/>
          <w:sz w:val="20"/>
          <w:szCs w:val="20"/>
          <w:lang w:bidi="ar"/>
        </w:rPr>
        <w:t xml:space="preserve"> in</w:t>
      </w:r>
      <w:r>
        <w:rPr>
          <w:rFonts w:hint="default" w:ascii="Times New Roman" w:hAnsi="Times New Roman" w:eastAsia="AdvOTd710a12c" w:cs="Times New Roman"/>
          <w:color w:val="000000"/>
          <w:kern w:val="0"/>
          <w:sz w:val="20"/>
          <w:szCs w:val="20"/>
          <w:lang w:bidi="ar"/>
        </w:rPr>
        <w:t xml:space="preserve"> patients with ESR1m subgroup. Note</w:t>
      </w:r>
      <w:r>
        <w:rPr>
          <w:rFonts w:hint="default" w:ascii="Times New Roman" w:hAnsi="Times New Roman" w:cs="Times New Roman"/>
          <w:color w:val="000000"/>
          <w:kern w:val="0"/>
          <w:sz w:val="20"/>
          <w:szCs w:val="20"/>
          <w:lang w:bidi="ar"/>
        </w:rPr>
        <w:t xml:space="preserve">: </w:t>
      </w:r>
      <w:r>
        <w:rPr>
          <w:rFonts w:hint="default" w:ascii="Times New Roman" w:hAnsi="Times New Roman" w:eastAsia="URWPalladioL-Roma" w:cs="Times New Roman"/>
          <w:color w:val="000000"/>
          <w:kern w:val="0"/>
          <w:sz w:val="20"/>
          <w:szCs w:val="20"/>
          <w:lang w:bidi="ar"/>
        </w:rPr>
        <w:t xml:space="preserve">PFS, progression-free survival; </w:t>
      </w:r>
      <w:r>
        <w:rPr>
          <w:rFonts w:hint="default" w:ascii="Times New Roman" w:hAnsi="Times New Roman" w:eastAsia="AdvTT7b515deb" w:cs="Times New Roman"/>
          <w:color w:val="000000"/>
          <w:kern w:val="0"/>
          <w:sz w:val="20"/>
          <w:szCs w:val="20"/>
          <w:lang w:bidi="ar"/>
        </w:rPr>
        <w:t>CI, con</w:t>
      </w:r>
      <w:r>
        <w:rPr>
          <w:rFonts w:hint="default" w:ascii="Times New Roman" w:hAnsi="Times New Roman" w:eastAsia="AdvTT7b515deb + fb" w:cs="Times New Roman"/>
          <w:color w:val="000000"/>
          <w:kern w:val="0"/>
          <w:sz w:val="20"/>
          <w:szCs w:val="20"/>
          <w:lang w:bidi="ar"/>
        </w:rPr>
        <w:t>fifi</w:t>
      </w:r>
      <w:r>
        <w:rPr>
          <w:rFonts w:hint="default" w:ascii="Times New Roman" w:hAnsi="Times New Roman" w:eastAsia="AdvTT7b515deb" w:cs="Times New Roman"/>
          <w:color w:val="000000"/>
          <w:kern w:val="0"/>
          <w:sz w:val="20"/>
          <w:szCs w:val="20"/>
          <w:lang w:bidi="ar"/>
        </w:rPr>
        <w:t xml:space="preserve">dence interval; HR, hazard ratio; </w:t>
      </w:r>
      <w:r>
        <w:rPr>
          <w:rFonts w:hint="default" w:ascii="Times New Roman" w:hAnsi="Times New Roman" w:eastAsia="AdvOTd710a12c" w:cs="Times New Roman"/>
          <w:kern w:val="0"/>
          <w:sz w:val="20"/>
          <w:szCs w:val="20"/>
          <w:lang w:bidi="ar"/>
        </w:rPr>
        <w:t>HR+/HER2-,</w:t>
      </w:r>
      <w:r>
        <w:rPr>
          <w:rFonts w:hint="default" w:ascii="Times New Roman" w:hAnsi="Times New Roman" w:eastAsia="AdvTT7b515deb" w:cs="Times New Roman"/>
          <w:color w:val="000000"/>
          <w:kern w:val="0"/>
          <w:sz w:val="20"/>
          <w:szCs w:val="20"/>
          <w:lang w:bidi="ar"/>
        </w:rPr>
        <w:t xml:space="preserve"> </w:t>
      </w:r>
      <w:r>
        <w:rPr>
          <w:rFonts w:hint="default" w:ascii="Times New Roman" w:hAnsi="Times New Roman" w:cs="Times New Roman"/>
          <w:kern w:val="0"/>
          <w:sz w:val="20"/>
          <w:szCs w:val="20"/>
          <w:lang w:bidi="ar"/>
        </w:rPr>
        <w:t>hormone</w:t>
      </w:r>
      <w:r>
        <w:rPr>
          <w:rFonts w:hint="default" w:ascii="Times New Roman" w:hAnsi="Times New Roman" w:eastAsia="AdvOTd710a12c" w:cs="Times New Roman"/>
          <w:color w:val="000000"/>
          <w:kern w:val="0"/>
          <w:sz w:val="20"/>
          <w:szCs w:val="20"/>
          <w:lang w:bidi="ar"/>
        </w:rPr>
        <w:t xml:space="preserve"> receptor</w:t>
      </w:r>
      <w:r>
        <w:rPr>
          <w:rFonts w:hint="default" w:ascii="Times New Roman" w:hAnsi="Times New Roman" w:eastAsia="AdvOTd710a12c + 20" w:cs="Times New Roman"/>
          <w:color w:val="000000"/>
          <w:kern w:val="0"/>
          <w:sz w:val="20"/>
          <w:szCs w:val="20"/>
          <w:lang w:bidi="ar"/>
        </w:rPr>
        <w:t>-</w:t>
      </w:r>
      <w:r>
        <w:rPr>
          <w:rFonts w:hint="default" w:ascii="Times New Roman" w:hAnsi="Times New Roman" w:eastAsia="AdvOTd710a12c" w:cs="Times New Roman"/>
          <w:color w:val="000000"/>
          <w:kern w:val="0"/>
          <w:sz w:val="20"/>
          <w:szCs w:val="20"/>
          <w:lang w:bidi="ar"/>
        </w:rPr>
        <w:t xml:space="preserve">positive and </w:t>
      </w:r>
      <w:r>
        <w:rPr>
          <w:rFonts w:hint="default" w:ascii="Times New Roman" w:hAnsi="Times New Roman" w:cs="Times New Roman"/>
          <w:kern w:val="0"/>
          <w:sz w:val="20"/>
          <w:szCs w:val="20"/>
          <w:lang w:bidi="ar"/>
        </w:rPr>
        <w:t xml:space="preserve">human epidermal growth factor receptor 2-negative; </w:t>
      </w:r>
      <w:r>
        <w:rPr>
          <w:rFonts w:hint="default" w:ascii="Times New Roman" w:hAnsi="Times New Roman" w:eastAsia="AdvTT7b515deb" w:cs="Times New Roman"/>
          <w:color w:val="000000"/>
          <w:kern w:val="0"/>
          <w:sz w:val="20"/>
          <w:szCs w:val="20"/>
          <w:lang w:bidi="ar"/>
        </w:rPr>
        <w:t xml:space="preserve">SERDS, </w:t>
      </w:r>
      <w:r>
        <w:rPr>
          <w:rFonts w:hint="default" w:ascii="Times New Roman" w:hAnsi="Times New Roman" w:cs="Times New Roman"/>
          <w:sz w:val="20"/>
          <w:szCs w:val="20"/>
        </w:rPr>
        <w:t xml:space="preserve">selective estrogen receptor degrader; </w:t>
      </w:r>
      <w:r>
        <w:rPr>
          <w:rFonts w:hint="default" w:ascii="Times New Roman" w:hAnsi="Times New Roman" w:eastAsia="AdvOTd710a12c" w:cs="Times New Roman"/>
          <w:color w:val="000000"/>
          <w:kern w:val="0"/>
          <w:sz w:val="20"/>
          <w:szCs w:val="20"/>
          <w:lang w:bidi="ar"/>
        </w:rPr>
        <w:t xml:space="preserve">ESR1m, </w:t>
      </w:r>
      <w:r>
        <w:rPr>
          <w:rFonts w:hint="default" w:ascii="Times New Roman" w:hAnsi="Times New Roman" w:cs="Times New Roman"/>
          <w:sz w:val="20"/>
          <w:szCs w:val="20"/>
        </w:rPr>
        <w:t>estrogen receptor 1 mutations.</w:t>
      </w:r>
    </w:p>
    <w:p>
      <w:pPr>
        <w:jc w:val="both"/>
        <w:rPr>
          <w:rFonts w:hint="default" w:ascii="Times New Roman" w:hAnsi="Times New Roman" w:cs="Times New Roman" w:eastAsiaTheme="minorEastAsia"/>
          <w:sz w:val="20"/>
          <w:szCs w:val="20"/>
          <w:lang w:val="en-US" w:eastAsia="zh-CN"/>
        </w:rPr>
      </w:pPr>
    </w:p>
    <w:p>
      <w:pPr>
        <w:jc w:val="both"/>
        <w:rPr>
          <w:rFonts w:hint="default" w:ascii="Times New Roman" w:hAnsi="Times New Roman" w:cs="Times New Roman" w:eastAsiaTheme="minorEastAsia"/>
          <w:sz w:val="20"/>
          <w:szCs w:val="20"/>
          <w:lang w:val="en-US" w:eastAsia="zh-CN"/>
        </w:rPr>
      </w:pPr>
    </w:p>
    <w:p>
      <w:pPr>
        <w:jc w:val="both"/>
        <w:rPr>
          <w:rFonts w:hint="default" w:ascii="Times New Roman" w:hAnsi="Times New Roman" w:cs="Times New Roman" w:eastAsiaTheme="minorEastAsia"/>
          <w:sz w:val="20"/>
          <w:szCs w:val="20"/>
          <w:lang w:val="en-US" w:eastAsia="zh-CN"/>
        </w:rPr>
      </w:pPr>
    </w:p>
    <w:p>
      <w:pPr>
        <w:jc w:val="both"/>
        <w:rPr>
          <w:rFonts w:hint="default" w:ascii="Times New Roman" w:hAnsi="Times New Roman" w:cs="Times New Roman" w:eastAsiaTheme="minorEastAsia"/>
          <w:sz w:val="20"/>
          <w:szCs w:val="20"/>
          <w:lang w:val="en-US" w:eastAsia="zh-CN"/>
        </w:rPr>
      </w:pPr>
    </w:p>
    <w:p>
      <w:pPr>
        <w:jc w:val="both"/>
        <w:rPr>
          <w:rFonts w:hint="default" w:ascii="Times New Roman" w:hAnsi="Times New Roman" w:cs="Times New Roman" w:eastAsiaTheme="minorEastAsia"/>
          <w:sz w:val="20"/>
          <w:szCs w:val="20"/>
          <w:lang w:val="en-US" w:eastAsia="zh-CN"/>
        </w:rPr>
      </w:pPr>
      <w:r>
        <w:drawing>
          <wp:inline distT="0" distB="0" distL="114300" distR="114300">
            <wp:extent cx="5267325" cy="4241165"/>
            <wp:effectExtent l="0" t="0" r="0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4241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default" w:ascii="Times New Roman" w:hAnsi="Times New Roman" w:cs="Times New Roman" w:eastAsiaTheme="minorEastAsia"/>
          <w:sz w:val="20"/>
          <w:szCs w:val="20"/>
          <w:lang w:val="en-US" w:eastAsia="zh-CN"/>
        </w:rPr>
      </w:pPr>
    </w:p>
    <w:p>
      <w:pPr>
        <w:jc w:val="both"/>
        <w:rPr>
          <w:rFonts w:hint="default" w:ascii="Times New Roman" w:hAnsi="Times New Roman" w:eastAsia="BgdqbhAdvTT3713a231" w:cs="Times New Roman"/>
          <w:color w:val="231F20"/>
          <w:kern w:val="0"/>
          <w:sz w:val="20"/>
          <w:szCs w:val="20"/>
          <w:lang w:bidi="ar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</w:rPr>
        <w:t xml:space="preserve">Supplementary Figure </w:t>
      </w:r>
      <w: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>3</w:t>
      </w: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 xml:space="preserve">. </w:t>
      </w:r>
      <w:r>
        <w:rPr>
          <w:rFonts w:hint="default" w:ascii="Times New Roman" w:hAnsi="Times New Roman" w:eastAsia="AdvTTc9c3bd71" w:cs="Times New Roman"/>
          <w:color w:val="000000"/>
          <w:kern w:val="0"/>
          <w:sz w:val="20"/>
          <w:szCs w:val="20"/>
          <w:lang w:bidi="ar"/>
        </w:rPr>
        <w:t xml:space="preserve">The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funnel plot PFS</w:t>
      </w:r>
      <w:r>
        <w:rPr>
          <w:rFonts w:hint="default" w:ascii="Times New Roman" w:hAnsi="Times New Roman" w:eastAsia="PlantinStd" w:cs="Times New Roman"/>
          <w:color w:val="000000"/>
          <w:kern w:val="0"/>
          <w:sz w:val="20"/>
          <w:szCs w:val="20"/>
          <w:lang w:bidi="ar"/>
        </w:rPr>
        <w:t xml:space="preserve"> for patients with </w:t>
      </w:r>
      <w:r>
        <w:rPr>
          <w:rFonts w:hint="default" w:ascii="Times New Roman" w:hAnsi="Times New Roman" w:eastAsia="AdvOTd710a12c" w:cs="Times New Roman"/>
          <w:color w:val="000000"/>
          <w:kern w:val="0"/>
          <w:sz w:val="20"/>
          <w:szCs w:val="20"/>
          <w:lang w:bidi="ar"/>
        </w:rPr>
        <w:t xml:space="preserve">(A) </w:t>
      </w:r>
      <w:r>
        <w:rPr>
          <w:rFonts w:hint="default" w:ascii="Times New Roman" w:hAnsi="Times New Roman" w:eastAsia="URWPalladioL-Roma" w:cs="Times New Roman"/>
          <w:color w:val="000000"/>
          <w:kern w:val="0"/>
          <w:sz w:val="20"/>
          <w:szCs w:val="20"/>
          <w:lang w:bidi="ar"/>
        </w:rPr>
        <w:t xml:space="preserve">previous use of </w:t>
      </w:r>
      <w:r>
        <w:rPr>
          <w:rFonts w:hint="default" w:ascii="Times New Roman" w:hAnsi="Times New Roman" w:eastAsia="BgdqbhAdvTT3713a231" w:cs="Times New Roman"/>
          <w:color w:val="231F20"/>
          <w:kern w:val="0"/>
          <w:sz w:val="20"/>
          <w:szCs w:val="20"/>
          <w:lang w:bidi="ar"/>
        </w:rPr>
        <w:t xml:space="preserve">fulvestrant; </w:t>
      </w:r>
      <w:r>
        <w:rPr>
          <w:rFonts w:hint="default" w:ascii="Times New Roman" w:hAnsi="Times New Roman" w:eastAsia="AdvOTd710a12c" w:cs="Times New Roman"/>
          <w:color w:val="000000"/>
          <w:kern w:val="0"/>
          <w:sz w:val="20"/>
          <w:szCs w:val="20"/>
          <w:lang w:bidi="ar"/>
        </w:rPr>
        <w:t xml:space="preserve">(B) visceral metastasis; (C)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funnel plot for PFS </w:t>
      </w:r>
      <w:r>
        <w:rPr>
          <w:rFonts w:hint="default" w:ascii="Times New Roman" w:hAnsi="Times New Roman" w:eastAsia="PlantinStd" w:cs="Times New Roman"/>
          <w:color w:val="000000"/>
          <w:kern w:val="0"/>
          <w:sz w:val="20"/>
          <w:szCs w:val="20"/>
          <w:lang w:bidi="ar"/>
        </w:rPr>
        <w:t xml:space="preserve">comparing oral </w:t>
      </w:r>
      <w:r>
        <w:rPr>
          <w:rFonts w:hint="default" w:ascii="Times New Roman" w:hAnsi="Times New Roman" w:eastAsia="AdvTT7b515deb" w:cs="Times New Roman"/>
          <w:color w:val="000000"/>
          <w:kern w:val="0"/>
          <w:sz w:val="20"/>
          <w:szCs w:val="20"/>
          <w:lang w:bidi="ar"/>
        </w:rPr>
        <w:t xml:space="preserve">SERDS with </w:t>
      </w:r>
      <w:r>
        <w:rPr>
          <w:rFonts w:hint="default" w:ascii="Times New Roman" w:hAnsi="Times New Roman" w:eastAsia="BgdqbhAdvTT3713a231" w:cs="Times New Roman"/>
          <w:color w:val="231F20"/>
          <w:kern w:val="0"/>
          <w:sz w:val="20"/>
          <w:szCs w:val="20"/>
          <w:lang w:bidi="ar"/>
        </w:rPr>
        <w:t xml:space="preserve">fulvestrant. </w:t>
      </w:r>
      <w:r>
        <w:rPr>
          <w:rFonts w:hint="default" w:ascii="Times New Roman" w:hAnsi="Times New Roman" w:eastAsia="AdvOTd710a12c" w:cs="Times New Roman"/>
          <w:color w:val="000000"/>
          <w:kern w:val="0"/>
          <w:sz w:val="20"/>
          <w:szCs w:val="20"/>
          <w:lang w:bidi="ar"/>
        </w:rPr>
        <w:t>(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D</w:t>
      </w:r>
      <w:r>
        <w:rPr>
          <w:rFonts w:hint="default" w:ascii="Times New Roman" w:hAnsi="Times New Roman" w:eastAsia="AdvOTd710a12c" w:cs="Times New Roman"/>
          <w:color w:val="000000"/>
          <w:kern w:val="0"/>
          <w:sz w:val="20"/>
          <w:szCs w:val="20"/>
          <w:lang w:bidi="ar"/>
        </w:rPr>
        <w:t xml:space="preserve">) </w:t>
      </w:r>
      <w:r>
        <w:rPr>
          <w:rFonts w:hint="default" w:ascii="Times New Roman" w:hAnsi="Times New Roman" w:eastAsia="AdvTTc9c3bd71" w:cs="Times New Roman"/>
          <w:color w:val="000000"/>
          <w:kern w:val="0"/>
          <w:sz w:val="20"/>
          <w:szCs w:val="20"/>
          <w:lang w:bidi="ar"/>
        </w:rPr>
        <w:t xml:space="preserve">The 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funnel</w:t>
      </w:r>
      <w:r>
        <w:rPr>
          <w:rFonts w:hint="default" w:ascii="Times New Roman" w:hAnsi="Times New Roman" w:eastAsia="AdvTTc9c3bd71" w:cs="Times New Roman"/>
          <w:color w:val="000000"/>
          <w:kern w:val="0"/>
          <w:sz w:val="20"/>
          <w:szCs w:val="20"/>
          <w:lang w:bidi="ar"/>
        </w:rPr>
        <w:t xml:space="preserve"> plot for </w:t>
      </w:r>
      <w:r>
        <w:rPr>
          <w:rFonts w:hint="default" w:ascii="Times New Roman" w:hAnsi="Times New Roman" w:eastAsia="PlantinStd" w:cs="Times New Roman"/>
          <w:color w:val="000000"/>
          <w:kern w:val="0"/>
          <w:sz w:val="20"/>
          <w:szCs w:val="20"/>
          <w:lang w:bidi="ar"/>
        </w:rPr>
        <w:t xml:space="preserve">AE ≥ Grade 3 for patients with </w:t>
      </w:r>
      <w:r>
        <w:rPr>
          <w:rFonts w:hint="default" w:ascii="Times New Roman" w:hAnsi="Times New Roman" w:eastAsia="AdvOTd710a12c" w:cs="Times New Roman"/>
          <w:kern w:val="0"/>
          <w:sz w:val="20"/>
          <w:szCs w:val="20"/>
          <w:lang w:bidi="ar"/>
        </w:rPr>
        <w:t>HR+/HER2- advance</w:t>
      </w:r>
      <w:r>
        <w:rPr>
          <w:rFonts w:hint="eastAsia" w:ascii="Times New Roman" w:hAnsi="Times New Roman" w:eastAsia="宋体" w:cs="Times New Roman"/>
          <w:kern w:val="0"/>
          <w:sz w:val="20"/>
          <w:szCs w:val="20"/>
          <w:lang w:val="en-US" w:eastAsia="zh-CN" w:bidi="ar"/>
        </w:rPr>
        <w:t>d</w:t>
      </w:r>
      <w:r>
        <w:rPr>
          <w:rFonts w:hint="default" w:ascii="Times New Roman" w:hAnsi="Times New Roman" w:eastAsia="AdvOTd710a12c" w:cs="Times New Roman"/>
          <w:kern w:val="0"/>
          <w:sz w:val="20"/>
          <w:szCs w:val="20"/>
          <w:lang w:bidi="ar"/>
        </w:rPr>
        <w:t xml:space="preserve"> breast cancer</w:t>
      </w:r>
      <w:r>
        <w:rPr>
          <w:rFonts w:hint="default" w:ascii="Times New Roman" w:hAnsi="Times New Roman" w:eastAsia="AdvTT7b515deb" w:cs="Times New Roman"/>
          <w:color w:val="000000"/>
          <w:kern w:val="0"/>
          <w:sz w:val="20"/>
          <w:szCs w:val="20"/>
          <w:lang w:bidi="ar"/>
        </w:rPr>
        <w:t xml:space="preserve"> after </w:t>
      </w:r>
      <w:r>
        <w:rPr>
          <w:rFonts w:hint="default" w:ascii="Times New Roman" w:hAnsi="Times New Roman" w:cs="Times New Roman"/>
          <w:color w:val="000000"/>
          <w:kern w:val="0"/>
          <w:sz w:val="20"/>
          <w:szCs w:val="20"/>
          <w:lang w:bidi="ar"/>
        </w:rPr>
        <w:t xml:space="preserve">progression on </w:t>
      </w:r>
      <w:r>
        <w:rPr>
          <w:rFonts w:hint="default" w:ascii="Times New Roman" w:hAnsi="Times New Roman" w:eastAsia="Cambria Math" w:cs="Times New Roman"/>
          <w:color w:val="000000"/>
          <w:kern w:val="0"/>
          <w:sz w:val="20"/>
          <w:szCs w:val="20"/>
          <w:lang w:bidi="ar"/>
        </w:rPr>
        <w:t xml:space="preserve">≥ 1 </w:t>
      </w:r>
      <w:r>
        <w:rPr>
          <w:rFonts w:hint="default" w:ascii="Times New Roman" w:hAnsi="Times New Roman" w:cs="Times New Roman"/>
          <w:color w:val="000000"/>
          <w:kern w:val="0"/>
          <w:sz w:val="20"/>
          <w:szCs w:val="20"/>
          <w:lang w:bidi="ar"/>
        </w:rPr>
        <w:t>line of ET</w:t>
      </w:r>
      <w:r>
        <w:rPr>
          <w:rFonts w:hint="default" w:ascii="Times New Roman" w:hAnsi="Times New Roman" w:eastAsia="AdvOTd710a12c" w:cs="Times New Roman"/>
          <w:color w:val="000000"/>
          <w:kern w:val="0"/>
          <w:sz w:val="20"/>
          <w:szCs w:val="20"/>
          <w:lang w:bidi="ar"/>
        </w:rPr>
        <w:t>.</w:t>
      </w:r>
    </w:p>
    <w:p>
      <w:pPr>
        <w:jc w:val="both"/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</w:pPr>
      <w:r>
        <w:rPr>
          <w:rFonts w:hint="default" w:ascii="Times New Roman" w:hAnsi="Times New Roman" w:eastAsia="AdvOTd710a12c" w:cs="Times New Roman"/>
          <w:color w:val="000000"/>
          <w:kern w:val="0"/>
          <w:sz w:val="20"/>
          <w:szCs w:val="20"/>
          <w:lang w:bidi="ar"/>
        </w:rPr>
        <w:t>Note</w:t>
      </w:r>
      <w:r>
        <w:rPr>
          <w:rFonts w:hint="default" w:ascii="Times New Roman" w:hAnsi="Times New Roman" w:cs="Times New Roman"/>
          <w:color w:val="000000"/>
          <w:kern w:val="0"/>
          <w:sz w:val="20"/>
          <w:szCs w:val="20"/>
          <w:lang w:bidi="ar"/>
        </w:rPr>
        <w:t xml:space="preserve">: </w:t>
      </w:r>
      <w:r>
        <w:rPr>
          <w:rFonts w:hint="default" w:ascii="Times New Roman" w:hAnsi="Times New Roman" w:eastAsia="URWPalladioL-Roma" w:cs="Times New Roman"/>
          <w:color w:val="000000"/>
          <w:kern w:val="0"/>
          <w:sz w:val="20"/>
          <w:szCs w:val="20"/>
          <w:lang w:bidi="ar"/>
        </w:rPr>
        <w:t xml:space="preserve">PFS, progression-free survival; </w:t>
      </w:r>
      <w:r>
        <w:rPr>
          <w:rFonts w:hint="default" w:ascii="Times New Roman" w:hAnsi="Times New Roman" w:eastAsia="AdvTT7b515deb" w:cs="Times New Roman"/>
          <w:color w:val="000000"/>
          <w:kern w:val="0"/>
          <w:sz w:val="20"/>
          <w:szCs w:val="20"/>
          <w:lang w:bidi="ar"/>
        </w:rPr>
        <w:t>CI, con</w:t>
      </w:r>
      <w:r>
        <w:rPr>
          <w:rFonts w:hint="default" w:ascii="Times New Roman" w:hAnsi="Times New Roman" w:eastAsia="AdvTT7b515deb + fb" w:cs="Times New Roman"/>
          <w:color w:val="000000"/>
          <w:kern w:val="0"/>
          <w:sz w:val="20"/>
          <w:szCs w:val="20"/>
          <w:lang w:bidi="ar"/>
        </w:rPr>
        <w:t>fifi</w:t>
      </w:r>
      <w:r>
        <w:rPr>
          <w:rFonts w:hint="default" w:ascii="Times New Roman" w:hAnsi="Times New Roman" w:eastAsia="AdvTT7b515deb" w:cs="Times New Roman"/>
          <w:color w:val="000000"/>
          <w:kern w:val="0"/>
          <w:sz w:val="20"/>
          <w:szCs w:val="20"/>
          <w:lang w:bidi="ar"/>
        </w:rPr>
        <w:t xml:space="preserve">dence interval; HR, hazard ratio; </w:t>
      </w:r>
      <w:r>
        <w:rPr>
          <w:rFonts w:hint="default" w:ascii="Times New Roman" w:hAnsi="Times New Roman" w:eastAsia="AdvOTd710a12c" w:cs="Times New Roman"/>
          <w:kern w:val="0"/>
          <w:sz w:val="20"/>
          <w:szCs w:val="20"/>
          <w:lang w:bidi="ar"/>
        </w:rPr>
        <w:t>HR+/HER2-,</w:t>
      </w:r>
      <w:r>
        <w:rPr>
          <w:rFonts w:hint="default" w:ascii="Times New Roman" w:hAnsi="Times New Roman" w:eastAsia="AdvTT7b515deb" w:cs="Times New Roman"/>
          <w:color w:val="000000"/>
          <w:kern w:val="0"/>
          <w:sz w:val="20"/>
          <w:szCs w:val="20"/>
          <w:lang w:bidi="ar"/>
        </w:rPr>
        <w:t xml:space="preserve"> </w:t>
      </w:r>
      <w:r>
        <w:rPr>
          <w:rFonts w:hint="default" w:ascii="Times New Roman" w:hAnsi="Times New Roman" w:cs="Times New Roman"/>
          <w:kern w:val="0"/>
          <w:sz w:val="20"/>
          <w:szCs w:val="20"/>
          <w:lang w:bidi="ar"/>
        </w:rPr>
        <w:t>hormone</w:t>
      </w:r>
      <w:r>
        <w:rPr>
          <w:rFonts w:hint="default" w:ascii="Times New Roman" w:hAnsi="Times New Roman" w:eastAsia="AdvOTd710a12c" w:cs="Times New Roman"/>
          <w:color w:val="000000"/>
          <w:kern w:val="0"/>
          <w:sz w:val="20"/>
          <w:szCs w:val="20"/>
          <w:lang w:bidi="ar"/>
        </w:rPr>
        <w:t xml:space="preserve"> receptor</w:t>
      </w:r>
      <w:r>
        <w:rPr>
          <w:rFonts w:hint="default" w:ascii="Times New Roman" w:hAnsi="Times New Roman" w:eastAsia="AdvOTd710a12c + 20" w:cs="Times New Roman"/>
          <w:color w:val="000000"/>
          <w:kern w:val="0"/>
          <w:sz w:val="20"/>
          <w:szCs w:val="20"/>
          <w:lang w:bidi="ar"/>
        </w:rPr>
        <w:t>-</w:t>
      </w:r>
      <w:r>
        <w:rPr>
          <w:rFonts w:hint="default" w:ascii="Times New Roman" w:hAnsi="Times New Roman" w:eastAsia="AdvOTd710a12c" w:cs="Times New Roman"/>
          <w:color w:val="000000"/>
          <w:kern w:val="0"/>
          <w:sz w:val="20"/>
          <w:szCs w:val="20"/>
          <w:lang w:bidi="ar"/>
        </w:rPr>
        <w:t xml:space="preserve">positive and </w:t>
      </w:r>
      <w:r>
        <w:rPr>
          <w:rFonts w:hint="default" w:ascii="Times New Roman" w:hAnsi="Times New Roman" w:cs="Times New Roman"/>
          <w:kern w:val="0"/>
          <w:sz w:val="20"/>
          <w:szCs w:val="20"/>
          <w:lang w:bidi="ar"/>
        </w:rPr>
        <w:t xml:space="preserve">human epidermal growth factor receptor 2-negative; </w:t>
      </w:r>
      <w:r>
        <w:rPr>
          <w:rFonts w:hint="default" w:ascii="Times New Roman" w:hAnsi="Times New Roman" w:eastAsia="AdvTT7b515deb" w:cs="Times New Roman"/>
          <w:color w:val="000000"/>
          <w:kern w:val="0"/>
          <w:sz w:val="20"/>
          <w:szCs w:val="20"/>
          <w:lang w:bidi="ar"/>
        </w:rPr>
        <w:t xml:space="preserve">SERDS, </w:t>
      </w:r>
      <w:r>
        <w:rPr>
          <w:rFonts w:hint="default" w:ascii="Times New Roman" w:hAnsi="Times New Roman" w:cs="Times New Roman"/>
          <w:sz w:val="20"/>
          <w:szCs w:val="20"/>
        </w:rPr>
        <w:t>selective estrogen receptor degrader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; </w:t>
      </w:r>
      <w:r>
        <w:rPr>
          <w:rFonts w:hint="default" w:ascii="Times New Roman" w:hAnsi="Times New Roman" w:eastAsia="URWPalladioL-Roma" w:cs="Times New Roman"/>
          <w:color w:val="000000"/>
          <w:kern w:val="0"/>
          <w:sz w:val="20"/>
          <w:szCs w:val="20"/>
          <w:lang w:bidi="ar"/>
        </w:rPr>
        <w:t xml:space="preserve">AE, </w:t>
      </w:r>
      <w:r>
        <w:rPr>
          <w:rFonts w:hint="default" w:ascii="Times New Roman" w:hAnsi="Times New Roman" w:eastAsia="PlantinStd" w:cs="Times New Roman"/>
          <w:color w:val="000000"/>
          <w:kern w:val="0"/>
          <w:sz w:val="20"/>
          <w:szCs w:val="20"/>
          <w:lang w:bidi="ar"/>
        </w:rPr>
        <w:t>adverse event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.</w:t>
      </w:r>
    </w:p>
    <w:p>
      <w:pPr>
        <w:jc w:val="both"/>
        <w:rPr>
          <w:rFonts w:hint="default" w:ascii="Times New Roman" w:hAnsi="Times New Roman" w:cs="Times New Roman" w:eastAsiaTheme="minorEastAsia"/>
          <w:sz w:val="20"/>
          <w:szCs w:val="2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lantinStd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dvOTd710a12c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dvTT7b515deb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URWPalladioL-Roma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BgdqbhAdvTT3713a231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dvTT7b515deb + fb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dvOTd710a12c + 20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dvTTc9c3bd71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YxZGU2NGRkYjY1NjU0MTUwNzNiZjI5MzZiNDdkMjQifQ=="/>
    <w:docVar w:name="KSO_WPS_MARK_KEY" w:val="0fd92ab2-8d26-457e-9bbb-006d1caceca5"/>
  </w:docVars>
  <w:rsids>
    <w:rsidRoot w:val="00000000"/>
    <w:rsid w:val="063201E4"/>
    <w:rsid w:val="33C67FCC"/>
    <w:rsid w:val="40E44E90"/>
    <w:rsid w:val="588235C6"/>
    <w:rsid w:val="69990C3E"/>
    <w:rsid w:val="6DD67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189</Words>
  <Characters>1104</Characters>
  <Lines>0</Lines>
  <Paragraphs>0</Paragraphs>
  <TotalTime>2</TotalTime>
  <ScaleCrop>false</ScaleCrop>
  <LinksUpToDate>false</LinksUpToDate>
  <CharactersWithSpaces>1290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2023-03-20T11:34:00Z</dcterms:created>
  <dc:creator>25735</dc:creator>
  <cp:lastModifiedBy>空白</cp:lastModifiedBy>
  <dcterms:modified xsi:type="dcterms:W3CDTF">2023-04-01T06:27:10Z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95980B7862E24EF3B4BC62125F8F3F72</vt:lpwstr>
  </property>
</Properties>
</file>