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S1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sz w:val="24"/>
          <w:szCs w:val="24"/>
        </w:rPr>
        <w:t xml:space="preserve"> The annual effective accumulated temperature  and cumulative precipitations for each month from 2018-2021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S2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142A">
        <w:rPr>
          <w:rFonts w:ascii="Times New Roman" w:hAnsi="Times New Roman"/>
          <w:sz w:val="24"/>
          <w:szCs w:val="24"/>
        </w:rPr>
        <w:t>The  amount of fertilizer applied for each treatment at different stages (kg·ha</w:t>
      </w:r>
      <w:r w:rsidRPr="00E5142A">
        <w:rPr>
          <w:rFonts w:ascii="Times New Roman" w:hAnsi="Times New Roman"/>
          <w:sz w:val="24"/>
          <w:szCs w:val="24"/>
          <w:vertAlign w:val="superscript"/>
        </w:rPr>
        <w:t>-1</w:t>
      </w:r>
      <w:r w:rsidRPr="00E5142A">
        <w:rPr>
          <w:rFonts w:ascii="Times New Roman" w:hAnsi="Times New Roman"/>
          <w:sz w:val="24"/>
          <w:szCs w:val="24"/>
        </w:rPr>
        <w:t>)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S3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sz w:val="24"/>
          <w:szCs w:val="24"/>
        </w:rPr>
        <w:t xml:space="preserve"> Analysis of variance summary for fruit quality as affect by fertilization treatment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 S4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sz w:val="24"/>
          <w:szCs w:val="24"/>
        </w:rPr>
        <w:t xml:space="preserve"> Total variance  explained  of  the  contribution  rate  and  accumulative  of  contribution  rate  with  eigenvalues  was calculated by Principal Component Analysis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 S5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sz w:val="24"/>
          <w:szCs w:val="24"/>
        </w:rPr>
        <w:t xml:space="preserve"> The  components  are  extracted  matrix  by  principal component analysis of fruit quality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S6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sz w:val="24"/>
          <w:szCs w:val="24"/>
        </w:rPr>
        <w:t xml:space="preserve"> The score and rank of the comprehensive fruit quality parameters calculated in a Principal component analysis of all the treatments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S7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sz w:val="24"/>
          <w:szCs w:val="24"/>
        </w:rPr>
        <w:t xml:space="preserve"> Proﬁling of mineral-elements in di</w:t>
      </w:r>
      <w:r w:rsidRPr="00E5142A">
        <w:rPr>
          <w:rFonts w:ascii="Cambria" w:hAnsi="Cambria" w:cs="Cambria"/>
          <w:sz w:val="24"/>
          <w:szCs w:val="24"/>
        </w:rPr>
        <w:t>ﬀ</w:t>
      </w:r>
      <w:r w:rsidRPr="00E5142A">
        <w:rPr>
          <w:rFonts w:ascii="Times New Roman" w:hAnsi="Times New Roman"/>
          <w:sz w:val="24"/>
          <w:szCs w:val="24"/>
        </w:rPr>
        <w:t>erent stages of tissues development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S8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sz w:val="24"/>
          <w:szCs w:val="24"/>
        </w:rPr>
        <w:t xml:space="preserve"> Pearson correlation analysis of mineral elements content at FBS, VS and MS of fruit, leaf and petiole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S9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sz w:val="24"/>
          <w:szCs w:val="24"/>
        </w:rPr>
        <w:t xml:space="preserve"> Pairwise  comparisons of nutrition and quality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r w:rsidRPr="00E5142A">
        <w:rPr>
          <w:rFonts w:ascii="Times New Roman" w:hAnsi="Times New Roman"/>
          <w:b/>
          <w:bCs/>
          <w:sz w:val="24"/>
          <w:szCs w:val="24"/>
        </w:rPr>
        <w:t>Table S10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r w:rsidRPr="00E5142A">
        <w:rPr>
          <w:rFonts w:ascii="Times New Roman" w:hAnsi="Times New Roman"/>
          <w:sz w:val="24"/>
          <w:szCs w:val="24"/>
        </w:rPr>
        <w:t xml:space="preserve"> The pairwise correlations (Pearson's r) between 5 traits and mineral element content</w:t>
      </w:r>
    </w:p>
    <w:p w:rsidR="00A42D86" w:rsidRPr="00E5142A" w:rsidRDefault="00A42D86" w:rsidP="00A42D86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E5142A">
        <w:rPr>
          <w:rFonts w:ascii="Times New Roman" w:hAnsi="Times New Roman"/>
          <w:b/>
          <w:bCs/>
          <w:sz w:val="24"/>
          <w:szCs w:val="24"/>
        </w:rPr>
        <w:t>Table S11</w:t>
      </w:r>
      <w:r w:rsidR="00E5142A" w:rsidRPr="00E5142A">
        <w:rPr>
          <w:rFonts w:ascii="Times New Roman" w:hAnsi="Times New Roman"/>
          <w:b/>
          <w:bCs/>
          <w:sz w:val="24"/>
          <w:szCs w:val="24"/>
        </w:rPr>
        <w:t>.</w:t>
      </w:r>
      <w:bookmarkEnd w:id="0"/>
      <w:r w:rsidRPr="00E5142A">
        <w:rPr>
          <w:rFonts w:ascii="Times New Roman" w:hAnsi="Times New Roman"/>
          <w:sz w:val="24"/>
          <w:szCs w:val="24"/>
        </w:rPr>
        <w:t xml:space="preserve"> Estimation of intermediate quality based on the cumulative variance of log ratio of nutrients from 64 vineyards</w:t>
      </w:r>
    </w:p>
    <w:p w:rsidR="00E5142A" w:rsidRDefault="00E514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F2D0D" w:rsidRPr="00320E77" w:rsidRDefault="001A6869" w:rsidP="006F2D0D">
      <w:pPr>
        <w:spacing w:line="360" w:lineRule="auto"/>
        <w:rPr>
          <w:rFonts w:ascii="Times New Roman" w:hAnsi="Times New Roman"/>
          <w:sz w:val="24"/>
          <w:szCs w:val="24"/>
        </w:rPr>
      </w:pPr>
      <w:r w:rsidRPr="00320E77">
        <w:rPr>
          <w:rFonts w:ascii="Times New Roman" w:hAnsi="Times New Roman" w:cs="Times New Roman"/>
        </w:rPr>
        <w:lastRenderedPageBreak/>
        <w:t xml:space="preserve"> </w:t>
      </w:r>
      <w:r w:rsidR="006F2D0D" w:rsidRPr="00320E77">
        <w:rPr>
          <w:rFonts w:ascii="Times New Roman" w:hAnsi="Times New Roman"/>
          <w:b/>
          <w:bCs/>
          <w:sz w:val="24"/>
          <w:szCs w:val="24"/>
        </w:rPr>
        <w:t>Figure 1.</w:t>
      </w:r>
      <w:r w:rsidR="006F2D0D" w:rsidRPr="00320E77">
        <w:rPr>
          <w:rFonts w:ascii="Times New Roman" w:hAnsi="Times New Roman"/>
          <w:sz w:val="24"/>
          <w:szCs w:val="24"/>
        </w:rPr>
        <w:t xml:space="preserve"> The annual effective accumulated temperature and cumulative precipitations for each month from 2018 to 2021. CP and EAT represent cumulative precipitations and effective accumulated temperature, respectively.</w:t>
      </w:r>
    </w:p>
    <w:p w:rsidR="002D1F49" w:rsidRPr="00320E77" w:rsidRDefault="006F2D0D" w:rsidP="001A6869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320E77">
        <w:rPr>
          <w:rFonts w:ascii="Times New Roman" w:hAnsi="Times New Roman"/>
          <w:b/>
          <w:bCs/>
          <w:sz w:val="24"/>
          <w:szCs w:val="24"/>
        </w:rPr>
        <w:t xml:space="preserve">Figure 2. </w:t>
      </w:r>
      <w:r w:rsidRPr="00320E77">
        <w:rPr>
          <w:rFonts w:ascii="Times New Roman" w:hAnsi="Times New Roman"/>
          <w:sz w:val="24"/>
          <w:szCs w:val="24"/>
        </w:rPr>
        <w:t xml:space="preserve">Effects of fertilization treatments on HGW (100 grain weight, </w:t>
      </w:r>
      <w:r w:rsidRPr="00320E77">
        <w:rPr>
          <w:rFonts w:ascii="Times New Roman" w:hAnsi="Times New Roman"/>
          <w:b/>
          <w:bCs/>
          <w:sz w:val="24"/>
          <w:szCs w:val="24"/>
        </w:rPr>
        <w:t>A</w:t>
      </w:r>
      <w:r w:rsidRPr="00320E77">
        <w:rPr>
          <w:rFonts w:ascii="Times New Roman" w:hAnsi="Times New Roman"/>
          <w:sz w:val="24"/>
          <w:szCs w:val="24"/>
        </w:rPr>
        <w:t>), PFR (peel-to-fruit ratio,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B</w:t>
      </w:r>
      <w:r w:rsidRPr="00320E77">
        <w:rPr>
          <w:rFonts w:ascii="Times New Roman" w:hAnsi="Times New Roman"/>
          <w:sz w:val="24"/>
          <w:szCs w:val="24"/>
        </w:rPr>
        <w:t>), SFR (seed-to-fruit ratio,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C</w:t>
      </w:r>
      <w:r w:rsidRPr="00320E77">
        <w:rPr>
          <w:rFonts w:ascii="Times New Roman" w:hAnsi="Times New Roman"/>
          <w:sz w:val="24"/>
          <w:szCs w:val="24"/>
        </w:rPr>
        <w:t>), SN (number of seeds,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D</w:t>
      </w:r>
      <w:r w:rsidRPr="00320E77">
        <w:rPr>
          <w:rFonts w:ascii="Times New Roman" w:hAnsi="Times New Roman"/>
          <w:sz w:val="24"/>
          <w:szCs w:val="24"/>
        </w:rPr>
        <w:t>), TSS (total soluble solids,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E</w:t>
      </w:r>
      <w:r w:rsidRPr="00320E77">
        <w:rPr>
          <w:rFonts w:ascii="Times New Roman" w:hAnsi="Times New Roman"/>
          <w:sz w:val="24"/>
          <w:szCs w:val="24"/>
        </w:rPr>
        <w:t>), PA (peel anthocyanins,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F</w:t>
      </w:r>
      <w:r w:rsidRPr="00320E77">
        <w:rPr>
          <w:rFonts w:ascii="Times New Roman" w:hAnsi="Times New Roman"/>
          <w:sz w:val="24"/>
          <w:szCs w:val="24"/>
        </w:rPr>
        <w:t>), PP (total peel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E77">
        <w:rPr>
          <w:rFonts w:ascii="Times New Roman" w:hAnsi="Times New Roman"/>
          <w:sz w:val="24"/>
          <w:szCs w:val="24"/>
        </w:rPr>
        <w:t>phenols,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G</w:t>
      </w:r>
      <w:r w:rsidRPr="00320E77">
        <w:rPr>
          <w:rFonts w:ascii="Times New Roman" w:hAnsi="Times New Roman"/>
          <w:sz w:val="24"/>
          <w:szCs w:val="24"/>
        </w:rPr>
        <w:t>), SP (total seed phenols,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H</w:t>
      </w:r>
      <w:r w:rsidRPr="00320E77">
        <w:rPr>
          <w:rFonts w:ascii="Times New Roman" w:hAnsi="Times New Roman"/>
          <w:sz w:val="24"/>
          <w:szCs w:val="24"/>
        </w:rPr>
        <w:t>), PFI (total peel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E77">
        <w:rPr>
          <w:rFonts w:ascii="Times New Roman" w:hAnsi="Times New Roman"/>
          <w:sz w:val="24"/>
          <w:szCs w:val="24"/>
        </w:rPr>
        <w:t xml:space="preserve">flavanols, </w:t>
      </w:r>
      <w:r w:rsidRPr="00320E77">
        <w:rPr>
          <w:rFonts w:ascii="Times New Roman" w:hAnsi="Times New Roman"/>
          <w:b/>
          <w:bCs/>
          <w:sz w:val="24"/>
          <w:szCs w:val="24"/>
        </w:rPr>
        <w:t>I</w:t>
      </w:r>
      <w:r w:rsidRPr="00320E77">
        <w:rPr>
          <w:rFonts w:ascii="Times New Roman" w:hAnsi="Times New Roman"/>
          <w:sz w:val="24"/>
          <w:szCs w:val="24"/>
        </w:rPr>
        <w:t>), SFI (total seed flavanols,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J</w:t>
      </w:r>
      <w:r w:rsidRPr="00320E77">
        <w:rPr>
          <w:rFonts w:ascii="Times New Roman" w:hAnsi="Times New Roman"/>
          <w:sz w:val="24"/>
          <w:szCs w:val="24"/>
        </w:rPr>
        <w:t>), PFD (total peel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E77">
        <w:rPr>
          <w:rFonts w:ascii="Times New Roman" w:hAnsi="Times New Roman"/>
          <w:sz w:val="24"/>
          <w:szCs w:val="24"/>
        </w:rPr>
        <w:t xml:space="preserve">flavonoids, </w:t>
      </w:r>
      <w:r w:rsidRPr="00320E77">
        <w:rPr>
          <w:rFonts w:ascii="Times New Roman" w:hAnsi="Times New Roman"/>
          <w:b/>
          <w:bCs/>
          <w:sz w:val="24"/>
          <w:szCs w:val="24"/>
        </w:rPr>
        <w:t>K</w:t>
      </w:r>
      <w:r w:rsidRPr="00320E77">
        <w:rPr>
          <w:rFonts w:ascii="Times New Roman" w:hAnsi="Times New Roman"/>
          <w:sz w:val="24"/>
          <w:szCs w:val="24"/>
        </w:rPr>
        <w:t>), SFD (total seed flavonoids,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L</w:t>
      </w:r>
      <w:r w:rsidRPr="00320E77">
        <w:rPr>
          <w:rFonts w:ascii="Times New Roman" w:hAnsi="Times New Roman"/>
          <w:sz w:val="24"/>
          <w:szCs w:val="24"/>
        </w:rPr>
        <w:t>), PT (total peel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E77">
        <w:rPr>
          <w:rFonts w:ascii="Times New Roman" w:hAnsi="Times New Roman"/>
          <w:sz w:val="24"/>
          <w:szCs w:val="24"/>
        </w:rPr>
        <w:t>tannins,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M</w:t>
      </w:r>
      <w:r w:rsidRPr="00320E77">
        <w:rPr>
          <w:rFonts w:ascii="Times New Roman" w:hAnsi="Times New Roman"/>
          <w:sz w:val="24"/>
          <w:szCs w:val="24"/>
        </w:rPr>
        <w:t>), ST (total seed tannins,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N</w:t>
      </w:r>
      <w:r w:rsidRPr="00320E77">
        <w:rPr>
          <w:rFonts w:ascii="Times New Roman" w:hAnsi="Times New Roman"/>
          <w:sz w:val="24"/>
          <w:szCs w:val="24"/>
        </w:rPr>
        <w:t>) in four consecutive growing seasons in 2018-2021. Boxes show the 25</w:t>
      </w:r>
      <w:r w:rsidRPr="00320E77">
        <w:rPr>
          <w:rFonts w:ascii="Times New Roman" w:hAnsi="Times New Roman"/>
          <w:sz w:val="24"/>
          <w:szCs w:val="24"/>
          <w:vertAlign w:val="superscript"/>
        </w:rPr>
        <w:t>th</w:t>
      </w:r>
      <w:r w:rsidRPr="00320E77">
        <w:rPr>
          <w:rFonts w:ascii="Times New Roman" w:hAnsi="Times New Roman"/>
          <w:sz w:val="24"/>
          <w:szCs w:val="24"/>
        </w:rPr>
        <w:t xml:space="preserve"> and 75</w:t>
      </w:r>
      <w:r w:rsidRPr="00320E77">
        <w:rPr>
          <w:rFonts w:ascii="Times New Roman" w:hAnsi="Times New Roman"/>
          <w:sz w:val="24"/>
          <w:szCs w:val="24"/>
          <w:vertAlign w:val="superscript"/>
        </w:rPr>
        <w:t>th</w:t>
      </w:r>
      <w:r w:rsidRPr="00320E77">
        <w:rPr>
          <w:rFonts w:ascii="Times New Roman" w:hAnsi="Times New Roman"/>
          <w:sz w:val="24"/>
          <w:szCs w:val="24"/>
        </w:rPr>
        <w:t xml:space="preserve"> percentiles. Lines in the boxes show the median values. Data are the means of twelve replicates; four growing seasons and three replications per treatment.</w:t>
      </w:r>
    </w:p>
    <w:p w:rsidR="006F2D0D" w:rsidRPr="00320E77" w:rsidRDefault="006F2D0D" w:rsidP="006F2D0D">
      <w:pPr>
        <w:spacing w:line="360" w:lineRule="auto"/>
        <w:rPr>
          <w:rFonts w:ascii="Times New Roman" w:hAnsi="Times New Roman"/>
          <w:sz w:val="24"/>
          <w:szCs w:val="24"/>
        </w:rPr>
      </w:pPr>
      <w:r w:rsidRPr="00320E77">
        <w:rPr>
          <w:rFonts w:ascii="Times New Roman" w:hAnsi="Times New Roman"/>
          <w:b/>
          <w:bCs/>
          <w:sz w:val="24"/>
          <w:szCs w:val="24"/>
        </w:rPr>
        <w:t xml:space="preserve">Figure 3. </w:t>
      </w:r>
      <w:r w:rsidRPr="00320E77">
        <w:rPr>
          <w:rFonts w:ascii="Times New Roman" w:hAnsi="Times New Roman"/>
          <w:sz w:val="24"/>
          <w:szCs w:val="24"/>
        </w:rPr>
        <w:t>Heatmap showing the variations of mineral elements mean content among different developmental stages of 3 tissues in four consecutive growing seasons in 2018-2021. Values with the same uppercase and lowercase letters were not signiﬁcantly di</w:t>
      </w:r>
      <w:r w:rsidRPr="00320E77">
        <w:rPr>
          <w:rFonts w:ascii="Cambria" w:hAnsi="Cambria" w:cs="Cambria"/>
          <w:sz w:val="24"/>
          <w:szCs w:val="24"/>
        </w:rPr>
        <w:t>ﬀ</w:t>
      </w:r>
      <w:r w:rsidRPr="00320E77">
        <w:rPr>
          <w:rFonts w:ascii="Times New Roman" w:hAnsi="Times New Roman"/>
          <w:sz w:val="24"/>
          <w:szCs w:val="24"/>
        </w:rPr>
        <w:t>erent (</w:t>
      </w:r>
      <w:r w:rsidRPr="00320E77">
        <w:rPr>
          <w:rFonts w:ascii="Times New Roman" w:hAnsi="Times New Roman"/>
          <w:i/>
          <w:iCs/>
          <w:sz w:val="24"/>
          <w:szCs w:val="24"/>
        </w:rPr>
        <w:t>p</w:t>
      </w:r>
      <w:r w:rsidRPr="00320E77">
        <w:rPr>
          <w:rFonts w:ascii="Times New Roman" w:hAnsi="Times New Roman"/>
          <w:sz w:val="24"/>
          <w:szCs w:val="24"/>
        </w:rPr>
        <w:t xml:space="preserve">&lt; 0.05) between different stages and tissues, respectively. </w:t>
      </w:r>
      <w:r w:rsidRPr="00320E77">
        <w:rPr>
          <w:rFonts w:ascii="Times New Roman" w:hAnsi="Times New Roman"/>
          <w:bCs/>
          <w:sz w:val="24"/>
          <w:szCs w:val="24"/>
          <w:shd w:val="clear" w:color="auto" w:fill="FCFCFE"/>
        </w:rPr>
        <w:t>FBS, VS and MS represent</w:t>
      </w:r>
      <w:r w:rsidRPr="00320E77">
        <w:rPr>
          <w:rFonts w:ascii="Times New Roman" w:hAnsi="Times New Roman"/>
          <w:sz w:val="24"/>
          <w:szCs w:val="24"/>
        </w:rPr>
        <w:t xml:space="preserve"> </w:t>
      </w:r>
      <w:r w:rsidRPr="00320E77">
        <w:rPr>
          <w:rFonts w:ascii="Times New Roman" w:hAnsi="Times New Roman"/>
          <w:bCs/>
          <w:sz w:val="24"/>
          <w:szCs w:val="24"/>
          <w:shd w:val="clear" w:color="auto" w:fill="FCFCFE"/>
        </w:rPr>
        <w:t xml:space="preserve">full-bloom stage, </w:t>
      </w:r>
      <w:hyperlink r:id="rId6" w:anchor="keyfrom=E2Ctranslation" w:history="1">
        <w:r w:rsidRPr="00320E77">
          <w:rPr>
            <w:rStyle w:val="a7"/>
            <w:bCs/>
            <w:color w:val="auto"/>
            <w:sz w:val="24"/>
            <w:szCs w:val="24"/>
            <w:u w:val="none"/>
            <w:shd w:val="clear" w:color="auto" w:fill="FCFCFE"/>
          </w:rPr>
          <w:t>veraison</w:t>
        </w:r>
      </w:hyperlink>
      <w:r w:rsidRPr="00320E77">
        <w:rPr>
          <w:rFonts w:ascii="Times New Roman" w:hAnsi="Times New Roman"/>
          <w:sz w:val="24"/>
          <w:szCs w:val="24"/>
        </w:rPr>
        <w:t xml:space="preserve"> stage and </w:t>
      </w:r>
      <w:hyperlink r:id="rId7" w:anchor="keyfrom=E2Ctranslation" w:history="1">
        <w:r w:rsidRPr="00320E77">
          <w:rPr>
            <w:rStyle w:val="a7"/>
            <w:bCs/>
            <w:color w:val="auto"/>
            <w:sz w:val="24"/>
            <w:szCs w:val="24"/>
            <w:u w:val="none"/>
            <w:shd w:val="clear" w:color="auto" w:fill="FCFCFE"/>
          </w:rPr>
          <w:t>maturation stage</w:t>
        </w:r>
      </w:hyperlink>
      <w:r w:rsidRPr="00320E77">
        <w:rPr>
          <w:rStyle w:val="a7"/>
          <w:bCs/>
          <w:color w:val="auto"/>
          <w:sz w:val="24"/>
          <w:szCs w:val="24"/>
          <w:u w:val="none"/>
          <w:shd w:val="clear" w:color="auto" w:fill="FCFCFE"/>
        </w:rPr>
        <w:t>, respectively.</w:t>
      </w:r>
      <w:r w:rsidRPr="00320E77">
        <w:rPr>
          <w:rFonts w:ascii="Times New Roman" w:hAnsi="Times New Roman"/>
          <w:sz w:val="24"/>
          <w:szCs w:val="24"/>
        </w:rPr>
        <w:t xml:space="preserve"> F, L and P </w:t>
      </w:r>
      <w:r w:rsidRPr="00320E77">
        <w:rPr>
          <w:rFonts w:ascii="Times New Roman" w:hAnsi="Times New Roman"/>
          <w:bCs/>
          <w:sz w:val="24"/>
          <w:szCs w:val="24"/>
          <w:shd w:val="clear" w:color="auto" w:fill="FCFCFE"/>
        </w:rPr>
        <w:t>represent</w:t>
      </w:r>
      <w:r w:rsidRPr="00320E77">
        <w:rPr>
          <w:rFonts w:ascii="Times New Roman" w:hAnsi="Times New Roman"/>
          <w:sz w:val="24"/>
          <w:szCs w:val="24"/>
        </w:rPr>
        <w:t xml:space="preserve"> fruit, leaves, and petioles</w:t>
      </w:r>
      <w:r w:rsidRPr="00320E77">
        <w:rPr>
          <w:rStyle w:val="a7"/>
          <w:bCs/>
          <w:color w:val="auto"/>
          <w:sz w:val="24"/>
          <w:szCs w:val="24"/>
          <w:u w:val="none"/>
          <w:shd w:val="clear" w:color="auto" w:fill="FCFCFE"/>
        </w:rPr>
        <w:t>, respectively.</w:t>
      </w:r>
    </w:p>
    <w:p w:rsidR="006F2D0D" w:rsidRPr="00320E77" w:rsidRDefault="006F2D0D" w:rsidP="006F2D0D">
      <w:pPr>
        <w:spacing w:line="360" w:lineRule="auto"/>
        <w:rPr>
          <w:rFonts w:ascii="Times New Roman" w:hAnsi="Times New Roman"/>
          <w:sz w:val="24"/>
          <w:szCs w:val="24"/>
        </w:rPr>
      </w:pPr>
      <w:r w:rsidRPr="00320E77">
        <w:rPr>
          <w:rFonts w:ascii="Times New Roman" w:hAnsi="Times New Roman"/>
          <w:b/>
          <w:bCs/>
          <w:sz w:val="24"/>
          <w:szCs w:val="24"/>
        </w:rPr>
        <w:t xml:space="preserve">Figure 4. </w:t>
      </w:r>
      <w:r w:rsidRPr="00320E77">
        <w:rPr>
          <w:rFonts w:ascii="Times New Roman" w:hAnsi="Times New Roman"/>
          <w:sz w:val="24"/>
          <w:szCs w:val="24"/>
        </w:rPr>
        <w:t xml:space="preserve">Pearson correlation analysis of mineral elements content at FBS, VS and MS of fruit, leaf and petiole. Significant correlation values at p&lt;0.05 and p&lt;0.01 are labelled. </w:t>
      </w:r>
      <w:r w:rsidRPr="00320E77">
        <w:rPr>
          <w:rFonts w:ascii="Times New Roman" w:hAnsi="Times New Roman"/>
          <w:bCs/>
          <w:sz w:val="24"/>
          <w:szCs w:val="24"/>
          <w:shd w:val="clear" w:color="auto" w:fill="FCFCFE"/>
        </w:rPr>
        <w:t>FBS, VS and MS represent</w:t>
      </w:r>
      <w:r w:rsidRPr="00320E77">
        <w:rPr>
          <w:rFonts w:ascii="Times New Roman" w:hAnsi="Times New Roman"/>
          <w:sz w:val="24"/>
          <w:szCs w:val="24"/>
        </w:rPr>
        <w:t xml:space="preserve"> </w:t>
      </w:r>
      <w:r w:rsidRPr="00320E77">
        <w:rPr>
          <w:rFonts w:ascii="Times New Roman" w:hAnsi="Times New Roman"/>
          <w:bCs/>
          <w:sz w:val="24"/>
          <w:szCs w:val="24"/>
          <w:shd w:val="clear" w:color="auto" w:fill="FCFCFE"/>
        </w:rPr>
        <w:t xml:space="preserve">full-bloom stage, </w:t>
      </w:r>
      <w:hyperlink r:id="rId8" w:anchor="keyfrom=E2Ctranslation" w:history="1">
        <w:r w:rsidRPr="00320E77">
          <w:rPr>
            <w:rStyle w:val="a7"/>
            <w:bCs/>
            <w:color w:val="auto"/>
            <w:sz w:val="24"/>
            <w:szCs w:val="24"/>
            <w:u w:val="none"/>
            <w:shd w:val="clear" w:color="auto" w:fill="FCFCFE"/>
          </w:rPr>
          <w:t>veraison</w:t>
        </w:r>
      </w:hyperlink>
      <w:r w:rsidRPr="00320E77">
        <w:rPr>
          <w:rFonts w:ascii="Times New Roman" w:hAnsi="Times New Roman"/>
          <w:sz w:val="24"/>
          <w:szCs w:val="24"/>
        </w:rPr>
        <w:t xml:space="preserve"> stage and </w:t>
      </w:r>
      <w:hyperlink r:id="rId9" w:anchor="keyfrom=E2Ctranslation" w:history="1">
        <w:r w:rsidRPr="00320E77">
          <w:rPr>
            <w:rStyle w:val="a7"/>
            <w:bCs/>
            <w:color w:val="auto"/>
            <w:sz w:val="24"/>
            <w:szCs w:val="24"/>
            <w:u w:val="none"/>
            <w:shd w:val="clear" w:color="auto" w:fill="FCFCFE"/>
          </w:rPr>
          <w:t>maturation stage</w:t>
        </w:r>
      </w:hyperlink>
      <w:r w:rsidRPr="00320E77">
        <w:rPr>
          <w:rStyle w:val="a7"/>
          <w:bCs/>
          <w:color w:val="auto"/>
          <w:sz w:val="24"/>
          <w:szCs w:val="24"/>
          <w:u w:val="none"/>
          <w:shd w:val="clear" w:color="auto" w:fill="FCFCFE"/>
        </w:rPr>
        <w:t>, respectively.</w:t>
      </w:r>
    </w:p>
    <w:p w:rsidR="006F2D0D" w:rsidRPr="00320E77" w:rsidRDefault="006F2D0D" w:rsidP="006F2D0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320E77">
        <w:rPr>
          <w:rFonts w:ascii="Times New Roman" w:hAnsi="Times New Roman"/>
          <w:b/>
          <w:bCs/>
          <w:sz w:val="24"/>
          <w:szCs w:val="24"/>
        </w:rPr>
        <w:t>Figure 5. Plant element drivers of the fruit quality composition</w:t>
      </w:r>
    </w:p>
    <w:p w:rsidR="006F2D0D" w:rsidRPr="00320E77" w:rsidRDefault="006F2D0D" w:rsidP="006F2D0D">
      <w:pPr>
        <w:spacing w:line="360" w:lineRule="auto"/>
        <w:rPr>
          <w:rFonts w:ascii="Times New Roman" w:hAnsi="Times New Roman"/>
          <w:sz w:val="24"/>
          <w:szCs w:val="24"/>
        </w:rPr>
      </w:pPr>
      <w:r w:rsidRPr="00320E77">
        <w:rPr>
          <w:rFonts w:ascii="Times New Roman" w:hAnsi="Times New Roman"/>
          <w:sz w:val="24"/>
          <w:szCs w:val="24"/>
        </w:rPr>
        <w:t xml:space="preserve">The diagonal plots below show correlation coefﬁcients, with signiﬁcant differences indicated by * p &lt; 0.05, ** p &lt; 0.01, *** p &lt; 0.001, and values without an asterisks are not signiﬁcant at p &lt; 0.05. Pairwise comparisons of plant elemental factors are shown, with a color gradient indicating correlation coefficients. Edge width corresponds to the </w:t>
      </w:r>
      <w:r w:rsidRPr="00320E77">
        <w:rPr>
          <w:rFonts w:ascii="Times New Roman" w:hAnsi="Times New Roman"/>
          <w:sz w:val="24"/>
          <w:szCs w:val="24"/>
        </w:rPr>
        <w:lastRenderedPageBreak/>
        <w:t>Mantel’s r statistic of the corresponding distance correlations, and edge color indicates the statistical significance. CI</w:t>
      </w:r>
      <w:r w:rsidRPr="00320E77">
        <w:rPr>
          <w:rFonts w:ascii="Times New Roman" w:hAnsi="Times New Roman" w:hint="eastAsia"/>
          <w:sz w:val="24"/>
          <w:szCs w:val="24"/>
        </w:rPr>
        <w:t>，</w:t>
      </w:r>
      <w:r w:rsidRPr="00320E77">
        <w:rPr>
          <w:rFonts w:ascii="Times New Roman" w:hAnsi="Times New Roman"/>
          <w:sz w:val="24"/>
          <w:szCs w:val="24"/>
        </w:rPr>
        <w:t>TSS</w:t>
      </w:r>
      <w:r w:rsidRPr="00320E77">
        <w:rPr>
          <w:rFonts w:ascii="Times New Roman" w:hAnsi="Times New Roman" w:hint="eastAsia"/>
          <w:sz w:val="24"/>
          <w:szCs w:val="24"/>
        </w:rPr>
        <w:t>，</w:t>
      </w:r>
      <w:r w:rsidRPr="00320E77">
        <w:rPr>
          <w:rFonts w:ascii="Times New Roman" w:hAnsi="Times New Roman"/>
          <w:sz w:val="24"/>
          <w:szCs w:val="24"/>
        </w:rPr>
        <w:t xml:space="preserve">HGW,  PFR, SFR, SN, PP, SP, PA, PFD, SFD, PFI, SFI, PT, ST </w:t>
      </w:r>
      <w:r w:rsidRPr="00320E77">
        <w:rPr>
          <w:rFonts w:ascii="Times New Roman" w:hAnsi="Times New Roman"/>
          <w:bCs/>
          <w:sz w:val="24"/>
          <w:szCs w:val="24"/>
          <w:shd w:val="clear" w:color="auto" w:fill="FCFCFE"/>
        </w:rPr>
        <w:t>represent</w:t>
      </w:r>
      <w:r w:rsidRPr="00320E77">
        <w:rPr>
          <w:rFonts w:ascii="Times New Roman" w:hAnsi="Times New Roman"/>
          <w:sz w:val="24"/>
          <w:szCs w:val="24"/>
        </w:rPr>
        <w:t xml:space="preserve"> score of the comprehensive fruit quality parameters calculated in a PCA</w:t>
      </w:r>
      <w:r w:rsidRPr="00320E77">
        <w:rPr>
          <w:rFonts w:ascii="Times New Roman" w:hAnsi="Times New Roman" w:hint="eastAsia"/>
          <w:sz w:val="24"/>
          <w:szCs w:val="24"/>
        </w:rPr>
        <w:t>，</w:t>
      </w:r>
      <w:r w:rsidRPr="00320E77">
        <w:rPr>
          <w:rFonts w:ascii="Times New Roman" w:hAnsi="Times New Roman"/>
          <w:sz w:val="24"/>
          <w:szCs w:val="24"/>
        </w:rPr>
        <w:t>total soluble solids</w:t>
      </w:r>
      <w:r w:rsidRPr="00320E77">
        <w:rPr>
          <w:rFonts w:ascii="Times New Roman" w:hAnsi="Times New Roman" w:hint="eastAsia"/>
          <w:sz w:val="24"/>
          <w:szCs w:val="24"/>
        </w:rPr>
        <w:t>，</w:t>
      </w:r>
      <w:r w:rsidRPr="00320E77">
        <w:rPr>
          <w:rFonts w:ascii="Times New Roman" w:hAnsi="Times New Roman"/>
          <w:sz w:val="24"/>
          <w:szCs w:val="24"/>
        </w:rPr>
        <w:t>100 grain weight, peel-to-fruit ratio, seed-to-fruit ratio, number of seeds, total peel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E77">
        <w:rPr>
          <w:rFonts w:ascii="Times New Roman" w:hAnsi="Times New Roman"/>
          <w:sz w:val="24"/>
          <w:szCs w:val="24"/>
        </w:rPr>
        <w:t>phenols, total seed phenols, peel anthocyanins, total peel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E77">
        <w:rPr>
          <w:rFonts w:ascii="Times New Roman" w:hAnsi="Times New Roman"/>
          <w:sz w:val="24"/>
          <w:szCs w:val="24"/>
        </w:rPr>
        <w:t>flavonoids, total seed flavonoids, total peel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E77">
        <w:rPr>
          <w:rFonts w:ascii="Times New Roman" w:hAnsi="Times New Roman"/>
          <w:sz w:val="24"/>
          <w:szCs w:val="24"/>
        </w:rPr>
        <w:t>flavanols, total seed flavanols, total peel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E77">
        <w:rPr>
          <w:rFonts w:ascii="Times New Roman" w:hAnsi="Times New Roman"/>
          <w:sz w:val="24"/>
          <w:szCs w:val="24"/>
        </w:rPr>
        <w:t>tannins, total seed tannins,</w:t>
      </w:r>
      <w:r w:rsidRPr="00320E7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0E77">
        <w:rPr>
          <w:rStyle w:val="a7"/>
          <w:bCs/>
          <w:color w:val="auto"/>
          <w:sz w:val="24"/>
          <w:szCs w:val="24"/>
          <w:u w:val="none"/>
          <w:shd w:val="clear" w:color="auto" w:fill="FCFCFE"/>
        </w:rPr>
        <w:t>respectively.</w:t>
      </w:r>
    </w:p>
    <w:p w:rsidR="006F2D0D" w:rsidRPr="00320E77" w:rsidRDefault="006F2D0D" w:rsidP="001A6869">
      <w:pPr>
        <w:spacing w:line="480" w:lineRule="auto"/>
        <w:jc w:val="both"/>
        <w:rPr>
          <w:rFonts w:ascii="Times New Roman" w:hAnsi="Times New Roman" w:cs="Times New Roman"/>
        </w:rPr>
      </w:pPr>
    </w:p>
    <w:sectPr w:rsidR="006F2D0D" w:rsidRPr="00320E77" w:rsidSect="00EA7BC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468" w:rsidRDefault="00546468" w:rsidP="00192CE3">
      <w:pPr>
        <w:spacing w:after="0" w:line="240" w:lineRule="auto"/>
      </w:pPr>
      <w:r>
        <w:separator/>
      </w:r>
    </w:p>
  </w:endnote>
  <w:endnote w:type="continuationSeparator" w:id="0">
    <w:p w:rsidR="00546468" w:rsidRDefault="00546468" w:rsidP="00192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468" w:rsidRDefault="00546468" w:rsidP="00192CE3">
      <w:pPr>
        <w:spacing w:after="0" w:line="240" w:lineRule="auto"/>
      </w:pPr>
      <w:r>
        <w:separator/>
      </w:r>
    </w:p>
  </w:footnote>
  <w:footnote w:type="continuationSeparator" w:id="0">
    <w:p w:rsidR="00546468" w:rsidRDefault="00546468" w:rsidP="00192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CE3"/>
    <w:rsid w:val="00097789"/>
    <w:rsid w:val="000C65AC"/>
    <w:rsid w:val="00192CE3"/>
    <w:rsid w:val="001A6869"/>
    <w:rsid w:val="001E06BF"/>
    <w:rsid w:val="0025623B"/>
    <w:rsid w:val="00281008"/>
    <w:rsid w:val="002939DA"/>
    <w:rsid w:val="002D1F49"/>
    <w:rsid w:val="00320E77"/>
    <w:rsid w:val="003818F6"/>
    <w:rsid w:val="00454849"/>
    <w:rsid w:val="004770E5"/>
    <w:rsid w:val="005334C7"/>
    <w:rsid w:val="00546468"/>
    <w:rsid w:val="00553B77"/>
    <w:rsid w:val="00661D81"/>
    <w:rsid w:val="00695CC4"/>
    <w:rsid w:val="006F2D0D"/>
    <w:rsid w:val="006F5A4D"/>
    <w:rsid w:val="008E4EA6"/>
    <w:rsid w:val="009F08BC"/>
    <w:rsid w:val="00A42D86"/>
    <w:rsid w:val="00A833E1"/>
    <w:rsid w:val="00AF7318"/>
    <w:rsid w:val="00C00169"/>
    <w:rsid w:val="00C237BE"/>
    <w:rsid w:val="00C648C5"/>
    <w:rsid w:val="00D3543C"/>
    <w:rsid w:val="00D57904"/>
    <w:rsid w:val="00DD47E1"/>
    <w:rsid w:val="00E5142A"/>
    <w:rsid w:val="00EA7BC1"/>
    <w:rsid w:val="00EB013F"/>
    <w:rsid w:val="00F513D0"/>
    <w:rsid w:val="00F71E19"/>
    <w:rsid w:val="00FB2E6B"/>
    <w:rsid w:val="00FE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E8C9D"/>
  <w15:docId w15:val="{DB65147F-E638-4E83-85FE-8E2AD978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C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192CE3"/>
  </w:style>
  <w:style w:type="paragraph" w:styleId="a5">
    <w:name w:val="footer"/>
    <w:basedOn w:val="a"/>
    <w:link w:val="a6"/>
    <w:uiPriority w:val="99"/>
    <w:unhideWhenUsed/>
    <w:rsid w:val="00192C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192CE3"/>
  </w:style>
  <w:style w:type="character" w:styleId="a7">
    <w:name w:val="Hyperlink"/>
    <w:basedOn w:val="a0"/>
    <w:uiPriority w:val="99"/>
    <w:unhideWhenUsed/>
    <w:qFormat/>
    <w:rsid w:val="006F2D0D"/>
    <w:rPr>
      <w:rFonts w:ascii="Times New Roman" w:eastAsia="宋体" w:hAnsi="Times New Roman" w:cs="Times New Roman"/>
      <w:color w:val="0000FF"/>
      <w:u w:val="single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.youdao.com/w/verais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ict.youdao.com/w/maturation%20stag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ct.youdao.com/w/veraiso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dict.youdao.com/w/maturation%20stage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Xinlu Cheng</dc:creator>
  <cp:keywords/>
  <dc:description/>
  <cp:lastModifiedBy>XL WANG</cp:lastModifiedBy>
  <cp:revision>26</cp:revision>
  <dcterms:created xsi:type="dcterms:W3CDTF">2016-03-10T14:02:00Z</dcterms:created>
  <dcterms:modified xsi:type="dcterms:W3CDTF">2023-02-10T07:01:00Z</dcterms:modified>
</cp:coreProperties>
</file>